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Consolation</w:t>
      </w:r>
      <w:r>
        <w:t xml:space="preserve"> </w:t>
      </w:r>
      <w:r>
        <w:t xml:space="preserve">and</w:t>
      </w:r>
      <w:r>
        <w:t xml:space="preserve"> </w:t>
      </w:r>
      <w:r>
        <w:t xml:space="preserve">Commemoration</w:t>
      </w:r>
      <w:r>
        <w:t xml:space="preserve"> </w:t>
      </w:r>
      <w:r>
        <w:t xml:space="preserve">in</w:t>
      </w:r>
      <w:r>
        <w:t xml:space="preserve"> </w:t>
      </w:r>
      <w:r>
        <w:t xml:space="preserve">Horace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</w:t>
      </w:r>
      <w:r>
        <w:t xml:space="preserve"> </w:t>
      </w:r>
      <w:r>
        <w:t xml:space="preserve">and</w:t>
      </w:r>
      <w:r>
        <w:t xml:space="preserve"> </w:t>
      </w:r>
      <w:r>
        <w:t xml:space="preserve">4.12</w:t>
      </w:r>
    </w:p>
    <w:p>
      <w:pPr>
        <w:pStyle w:val="BlockQuote"/>
      </w:pPr>
      <w:r>
        <w:t xml:space="preserve">For it shall be my dirge and chant me down  Over the mournful flood to the dim shore,  Where I shall find Quintilius and our tears. Yes, farewell, Horace! Unto you I leave  The laurel and the letters that we loved;  Till we shall meet again. I cannot hold  Your light yet heavy Epicurean creed;  Your lays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shall outlive brass and pyramid</w:t>
      </w:r>
      <w:r>
        <w:rPr>
          <w:i/>
        </w:rPr>
        <w:t xml:space="preserve">”</w:t>
      </w:r>
      <w:r>
        <w:t xml:space="preserve">,  But he that made them shall outlive the lays,  Though how or where we know not. </w:t>
      </w:r>
    </w:p>
    <w:p>
      <w:r>
        <w:t xml:space="preserve">– 328-37, from</w:t>
      </w:r>
      <w:r>
        <w:t xml:space="preserve"> </w:t>
      </w:r>
      <w:r>
        <w:rPr>
          <w:i/>
        </w:rPr>
        <w:t xml:space="preserve">The Death of Virgil, A Dramatic Narrative</w:t>
      </w:r>
      <w:r>
        <w:t xml:space="preserve"> </w:t>
      </w:r>
      <w:r>
        <w:t xml:space="preserve">(1907) by Sir Thomas H. Warren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The death of Vergil was no doubt a tragic event for Rome and her citizens, and even more so for his friends, among whom would surely be the poet Horace.</w:t>
      </w:r>
      <w:r>
        <w:rPr>
          <w:rStyle w:val="FootnoteRef"/>
        </w:rPr>
        <w:footnoteReference w:id="22"/>
      </w:r>
      <w:r>
        <w:t xml:space="preserve"> </w:t>
      </w:r>
      <w:r>
        <w:t xml:space="preserve">Unfortunately, we have little extant which might shed light on their friendship more generally and Horace’s reaction to Vergil’s death in particular;</w:t>
      </w:r>
      <w:r>
        <w:rPr>
          <w:rStyle w:val="FootnoteRef"/>
        </w:rPr>
        <w:footnoteReference w:id="23"/>
      </w:r>
      <w:r>
        <w:t xml:space="preserve"> </w:t>
      </w:r>
      <w:r>
        <w:t xml:space="preserve">little, that is, save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4.12. An odd poem, it invites Vergil to join Horace at a symposium, although the poem was published six years after Vergil’s death in 19 BC.</w:t>
      </w:r>
      <w:r>
        <w:rPr>
          <w:rStyle w:val="FootnoteRef"/>
        </w:rPr>
        <w:footnoteReference w:id="24"/>
      </w:r>
      <w:r>
        <w:t xml:space="preserve"> </w:t>
      </w:r>
      <w:r>
        <w:t xml:space="preserve">This post-mortem poem to Vergil forms an odd pair with an earlier ode also addressed to Vergil and also written following the death of a friend—</w:t>
      </w:r>
      <w:r>
        <w:rPr>
          <w:i/>
        </w:rPr>
        <w:t xml:space="preserve">Odes</w:t>
      </w:r>
      <w:r>
        <w:t xml:space="preserve"> </w:t>
      </w:r>
      <w:r>
        <w:t xml:space="preserve">1.24. In this poem Vergil receives frank criticism for his excessive and misguided mourning after the death of their mutual friend Quintilius Varus.</w:t>
      </w:r>
      <w:r>
        <w:rPr>
          <w:rStyle w:val="FootnoteRef"/>
        </w:rPr>
        <w:footnoteReference w:id="25"/>
      </w:r>
      <w:r>
        <w:t xml:space="preserve"> </w:t>
      </w:r>
      <w:r>
        <w:t xml:space="preserve">While in 1.24 Horace consoles the aggrieved Vergil, in 4.12 Horace finds himself in Vergil’s position—grieving the death of a friend. </w:t>
      </w:r>
    </w:p>
    <w:p>
      <w:r>
        <w:t xml:space="preserve">Horace confronts grief and death directly in both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 and 4.12, and each poem ends with a generalizing</w:t>
      </w:r>
      <w:r>
        <w:t xml:space="preserve"> </w:t>
      </w:r>
      <w:r>
        <w:rPr>
          <w:i/>
        </w:rPr>
        <w:t xml:space="preserve">sententia</w:t>
      </w:r>
      <w:r>
        <w:t xml:space="preserve">, yet their import would appear contradictory. On the one hand,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 recommends the consolatory power of patience:</w:t>
      </w:r>
    </w:p>
    <w:p>
      <w:pPr>
        <w:pStyle w:val="BlockQuote"/>
      </w:pPr>
      <w:r>
        <w:t xml:space="preserve">Durum; sed levius fit patientia</w:t>
      </w:r>
      <w:r>
        <w:br w:type="textWrapping"/>
      </w:r>
      <w:r>
        <w:t xml:space="preserve">     quicquid corrigere est nefas</w:t>
      </w:r>
      <w:r>
        <w:br w:type="textWrapping"/>
      </w:r>
      <w:r>
        <w:t xml:space="preserve">–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1.24.19-20</w:t>
      </w:r>
      <w:r>
        <w:br w:type="textWrapping"/>
      </w:r>
      <w:r>
        <w:br w:type="textWrapping"/>
      </w:r>
      <w:r>
        <w:t xml:space="preserve">It is hard; but whatever is forbidden to correct becomes easier to bear with patience.</w:t>
      </w:r>
      <w:r>
        <w:rPr>
          <w:rStyle w:val="FootnoteRef"/>
        </w:rPr>
        <w:footnoteReference w:id="26"/>
      </w:r>
    </w:p>
    <w:p>
      <w:r>
        <w:t xml:space="preserve">On the other hand,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 turns to the sweetness of folly:</w:t>
      </w:r>
    </w:p>
    <w:p>
      <w:pPr>
        <w:pStyle w:val="BlockQuote"/>
      </w:pPr>
      <w:r>
        <w:t xml:space="preserve">misce stultitiam consiliis brevem:</w:t>
      </w:r>
      <w:r>
        <w:br w:type="textWrapping"/>
      </w:r>
      <w:r>
        <w:t xml:space="preserve">     dulce est desipere in loco.</w:t>
      </w:r>
      <w:r>
        <w:br w:type="textWrapping"/>
      </w:r>
      <w:r>
        <w:t xml:space="preserve">–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4.12.25-28</w:t>
      </w:r>
      <w:r>
        <w:br w:type="textWrapping"/>
      </w:r>
      <w:r>
        <w:br w:type="textWrapping"/>
      </w:r>
      <w:r>
        <w:t xml:space="preserve">Mix brief folly into your plans: it is sweet to act the fool in the proper place.</w:t>
      </w:r>
    </w:p>
    <w:p>
      <w:r>
        <w:t xml:space="preserve">This seeming contradiction forces the question: How ought one to understand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 in relation to 1.24? More specifically, this paper considers whether Horace has contradicted his own advice in 1.24 by addressing Vergil as if alive in 4.12. Taken together, these two post-mortem poems addressed to Vergil form a diptych of sorts, offering insight into how Horace believes one ought to or can mourn. In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 Horace, in the persona of a philosophical teacher, advises that one</w:t>
      </w:r>
      <w:r>
        <w:t xml:space="preserve"> </w:t>
      </w:r>
      <w:r>
        <w:rPr>
          <w:i/>
        </w:rPr>
        <w:t xml:space="preserve">ought</w:t>
      </w:r>
      <w:r>
        <w:t xml:space="preserve"> </w:t>
      </w:r>
      <w:r>
        <w:t xml:space="preserve">to mourn moderately and patiently; in 4.12, however, Horace the convivial poet suggests that the foolishness of mourning has its proper place. I argue that this is not an about-face in Horace’s philosophy, but rather a shift in emphasis. </w:t>
      </w:r>
    </w:p>
    <w:p>
      <w:r>
        <w:t xml:space="preserve">New line.</w:t>
      </w:r>
    </w:p>
    <w:p>
      <w:r>
        <w:t xml:space="preserve">This paper begins with brief but thorough readings of the two odes, paying particular attention to their consolatory elements. I demonstrate that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 offers a consolation built upon Epicurean philosophy and emotional therapy, while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4.12 draws heavily from the Epicurean practice of commemoration. This leads me to my final argument, that the symposium of 4.12 represents a poetic memorial of Horace and Vergil’s friendship. In the end I argue that Horace, in an attempt to console himself, imagines and invokes Vergil’s literary persona to share in a poetic dialogue, thereby creating a poetic space in which the acknowledged folly of such a post-mortem invocation is permitted.</w:t>
      </w:r>
    </w:p>
    <w:bookmarkStart w:id="27" w:name="references"/>
    <w:p>
      <w:pPr>
        <w:pStyle w:val="Heading1"/>
      </w:pPr>
      <w:r>
        <w:t xml:space="preserve">References</w:t>
      </w:r>
    </w:p>
    <w:bookmarkEnd w:id="27"/>
    <w:p>
      <w:r>
        <w:t xml:space="preserve">Armstrong, David. 2008. “Be angry and sin not”: Philodemus versus the Stoics on natural bites and natural emotions.</w:t>
      </w:r>
      <w:r>
        <w:t xml:space="preserve"> </w:t>
      </w:r>
      <w:r>
        <w:rPr>
          <w:i/>
        </w:rPr>
        <w:t xml:space="preserve">Passions and Moral Progress in Greco-Roman Thought</w:t>
      </w:r>
      <w:r>
        <w:t xml:space="preserve">.</w:t>
      </w:r>
    </w:p>
    <w:p>
      <w:r>
        <w:t xml:space="preserve">Campbell, John Scott. 1987. Animae Dimidium Meae: Horace’s Tribute to Vergil.</w:t>
      </w:r>
      <w:r>
        <w:t xml:space="preserve"> </w:t>
      </w:r>
      <w:r>
        <w:rPr>
          <w:i/>
        </w:rPr>
        <w:t xml:space="preserve">Classical Journal</w:t>
      </w:r>
      <w:r>
        <w:t xml:space="preserve">: 314–18.</w:t>
      </w:r>
      <w:r>
        <w:t xml:space="preserve"> </w:t>
      </w:r>
      <w:hyperlink r:id="rId28">
        <w:r>
          <w:rPr>
            <w:rStyle w:val="Link"/>
          </w:rPr>
          <w:t xml:space="preserve">http://www.jstor.org/stable/3298001</w:t>
        </w:r>
      </w:hyperlink>
      <w:r>
        <w:t xml:space="preserve">.</w:t>
      </w:r>
    </w:p>
    <w:p>
      <w:r>
        <w:t xml:space="preserve">Commager, Steele. 1995.</w:t>
      </w:r>
      <w:r>
        <w:t xml:space="preserve"> </w:t>
      </w:r>
      <w:r>
        <w:rPr>
          <w:i/>
        </w:rPr>
        <w:t xml:space="preserve">The odes of Horace: a critical study</w:t>
      </w:r>
      <w:r>
        <w:t xml:space="preserve">. University of Oklahoma Press.</w:t>
      </w:r>
      <w:r>
        <w:t xml:space="preserve"> </w:t>
      </w:r>
      <w:hyperlink r:id="rId29">
        <w:r>
          <w:rPr>
            <w:rStyle w:val="Link"/>
          </w:rPr>
          <w:t xml:space="preserve">http://books.google.com/books?hl=en\&amp;lr=\&amp;id=Qv1znLxFKDQC\&amp;oi=fnd\&amp;pg=PR3\&amp;dq=Commager,+Steele.+The+Odes+of+Horace:+A+Critical+Study\&amp;ots=GKKWnmY34y\&amp;sig=HtKsS\_sVsxLyiQ4E7KV6Q9pTLZA</w:t>
        </w:r>
      </w:hyperlink>
      <w:r>
        <w:t xml:space="preserve">.</w:t>
      </w:r>
    </w:p>
    <w:p>
      <w:r>
        <w:t xml:space="preserve">Duckworth, George E. 1956. Supplementary Paper: Animae Dimidium Meae: Two Poets of Rome.</w:t>
      </w:r>
      <w:r>
        <w:t xml:space="preserve"> </w:t>
      </w:r>
      <w:r>
        <w:rPr>
          <w:i/>
        </w:rPr>
        <w:t xml:space="preserve">Transactions and Proceedings of the American Philological Association</w:t>
      </w:r>
      <w:r>
        <w:t xml:space="preserve">. JSTOR.</w:t>
      </w:r>
      <w:r>
        <w:t xml:space="preserve"> </w:t>
      </w:r>
      <w:hyperlink r:id="rId30">
        <w:r>
          <w:rPr>
            <w:rStyle w:val="Link"/>
          </w:rPr>
          <w:t xml:space="preserve">http://www.jstor.org/stable/283884</w:t>
        </w:r>
      </w:hyperlink>
      <w:r>
        <w:t xml:space="preserve">.</w:t>
      </w:r>
    </w:p>
    <w:p>
      <w:r>
        <w:t xml:space="preserve">Horace, and David Alexander West. 1995.</w:t>
      </w:r>
      <w:r>
        <w:t xml:space="preserve"> </w:t>
      </w:r>
      <w:r>
        <w:rPr>
          <w:i/>
        </w:rPr>
        <w:t xml:space="preserve">Horace Odes I: carpe diem</w:t>
      </w:r>
      <w:r>
        <w:t xml:space="preserve">. Clarendon Press.</w:t>
      </w:r>
    </w:p>
    <w:p>
      <w:r>
        <w:t xml:space="preserve">Khan, H. Akbar. 1967. Horace’s Ode to Virgil on the Death of Quintilius: 1, 24.</w:t>
      </w:r>
      <w:r>
        <w:t xml:space="preserve"> </w:t>
      </w:r>
      <w:r>
        <w:rPr>
          <w:i/>
        </w:rPr>
        <w:t xml:space="preserve">Latomus</w:t>
      </w:r>
      <w:r>
        <w:t xml:space="preserve">: 107–17.</w:t>
      </w:r>
      <w:r>
        <w:t xml:space="preserve"> </w:t>
      </w:r>
      <w:hyperlink r:id="rId31">
        <w:r>
          <w:rPr>
            <w:rStyle w:val="Link"/>
          </w:rPr>
          <w:t xml:space="preserve">http://www.jstor.org/stable/41526288</w:t>
        </w:r>
      </w:hyperlink>
      <w:r>
        <w:t xml:space="preserve">.</w:t>
      </w:r>
    </w:p>
    <w:p>
      <w:r>
        <w:t xml:space="preserve">Lowrie, Michèle. 1994. Lyric’s“ Elegos” and the Aristotelian Mean: Horace,“ C.” 1.24, 1.33, and 2.9.</w:t>
      </w:r>
      <w:r>
        <w:t xml:space="preserve"> </w:t>
      </w:r>
      <w:r>
        <w:rPr>
          <w:i/>
        </w:rPr>
        <w:t xml:space="preserve">The Classical World</w:t>
      </w:r>
      <w:r>
        <w:t xml:space="preserve">: 377–94.</w:t>
      </w:r>
      <w:r>
        <w:t xml:space="preserve"> </w:t>
      </w:r>
      <w:hyperlink r:id="rId32">
        <w:r>
          <w:rPr>
            <w:rStyle w:val="Link"/>
          </w:rPr>
          <w:t xml:space="preserve">http://www.jstor.org/stable/4351534</w:t>
        </w:r>
      </w:hyperlink>
      <w:r>
        <w:t xml:space="preserve">.</w:t>
      </w:r>
    </w:p>
    <w:p>
      <w:r>
        <w:t xml:space="preserve">Moritz, L. A. 1969. Horace’s Virgil.</w:t>
      </w:r>
      <w:r>
        <w:t xml:space="preserve"> </w:t>
      </w:r>
      <w:r>
        <w:rPr>
          <w:i/>
        </w:rPr>
        <w:t xml:space="preserve">Greece and Rome (Second Series)</w:t>
      </w:r>
      <w:r>
        <w:t xml:space="preserve"> </w:t>
      </w:r>
      <w:r>
        <w:t xml:space="preserve">16, no. 02: 174–93.</w:t>
      </w:r>
      <w:r>
        <w:t xml:space="preserve"> </w:t>
      </w:r>
      <w:hyperlink r:id="rId33">
        <w:r>
          <w:rPr>
            <w:rStyle w:val="Link"/>
          </w:rPr>
          <w:t xml:space="preserve">http://journals.cambridge.org/abstract\_S0017383500017010</w:t>
        </w:r>
      </w:hyperlink>
      <w:r>
        <w:t xml:space="preserve">.</w:t>
      </w:r>
    </w:p>
    <w:p>
      <w:r>
        <w:t xml:space="preserve">Nisbet-Hubbard, A. 1970.</w:t>
      </w:r>
      <w:r>
        <w:t xml:space="preserve"> </w:t>
      </w:r>
      <w:r>
        <w:rPr>
          <w:i/>
        </w:rPr>
        <w:t xml:space="preserve">Commentary on Horace: Odes Book i</w:t>
      </w:r>
      <w:r>
        <w:t xml:space="preserve">. Oxford.</w:t>
      </w:r>
    </w:p>
    <w:p>
      <w:r>
        <w:t xml:space="preserve">Putnam, Michael CJ. 1992. The Languages of Horace“ Odes” 1.24.</w:t>
      </w:r>
      <w:r>
        <w:t xml:space="preserve"> </w:t>
      </w:r>
      <w:r>
        <w:rPr>
          <w:i/>
        </w:rPr>
        <w:t xml:space="preserve">Classical Journal</w:t>
      </w:r>
      <w:r>
        <w:t xml:space="preserve">: 123–35.</w:t>
      </w:r>
      <w:r>
        <w:t xml:space="preserve"> </w:t>
      </w:r>
      <w:hyperlink r:id="rId34">
        <w:r>
          <w:rPr>
            <w:rStyle w:val="Link"/>
          </w:rPr>
          <w:t xml:space="preserve">http://www.jstor.org/stable/3297631</w:t>
        </w:r>
      </w:hyperlink>
      <w:r>
        <w:t xml:space="preserve">.</w:t>
      </w:r>
    </w:p>
    <w:p>
      <w:r>
        <w:t xml:space="preserve">Thibodeau, Philip. 2003. Can Vergil Cry? Epicureanism in Horace Odes 1.24.</w:t>
      </w:r>
      <w:r>
        <w:t xml:space="preserve"> </w:t>
      </w:r>
      <w:r>
        <w:rPr>
          <w:i/>
        </w:rPr>
        <w:t xml:space="preserve">Classical Journal</w:t>
      </w:r>
      <w:r>
        <w:t xml:space="preserve">: 243–56.</w:t>
      </w:r>
      <w:r>
        <w:t xml:space="preserve"> </w:t>
      </w:r>
      <w:hyperlink r:id="rId35">
        <w:r>
          <w:rPr>
            <w:rStyle w:val="Link"/>
          </w:rPr>
          <w:t xml:space="preserve">http://www.jstor.org/stable/3298047</w:t>
        </w:r>
      </w:hyperlink>
      <w:r>
        <w:t xml:space="preserve">.</w:t>
      </w:r>
    </w:p>
    <w:p>
      <w:r>
        <w:t xml:space="preserve">Thomas, Richard F. 2001.</w:t>
      </w:r>
      <w:r>
        <w:t xml:space="preserve"> </w:t>
      </w:r>
      <w:r>
        <w:rPr>
          <w:i/>
        </w:rPr>
        <w:t xml:space="preserve">Virgil and the Augustan reception</w:t>
      </w:r>
      <w:r>
        <w:t xml:space="preserve">. Cambridge University Press Cambridge.</w:t>
      </w:r>
      <w:r>
        <w:t xml:space="preserve"> </w:t>
      </w:r>
      <w:hyperlink r:id="rId36">
        <w:r>
          <w:rPr>
            <w:rStyle w:val="Link"/>
          </w:rPr>
          <w:t xml:space="preserve">http://catdir.loc.gov/catdir/samples/cam033/00033712.pdf</w:t>
        </w:r>
      </w:hyperlink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jord One">
    <w:panose1 w:val="02060503050500050A03"/>
    <w:charset w:val="00"/>
    <w:family w:val="auto"/>
    <w:pitch w:val="variable"/>
    <w:sig w:usb0="A00000AF" w:usb1="40000002" w:usb2="00000000" w:usb3="00000000" w:csb0="0000019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2">
    <w:p>
      <w:pPr>
        <w:pStyle w:val="FootnoteText"/>
      </w:pPr>
      <w:r>
        <w:rPr>
          <w:rStyle w:val="FootnoteRef"/>
        </w:rPr>
        <w:footnoteRef/>
      </w:r>
      <w:r>
        <w:t xml:space="preserve"> On their friendship,</w:t>
      </w:r>
      <w:r>
        <w:t xml:space="preserve"> </w:t>
      </w:r>
      <w:r>
        <w:t xml:space="preserve">(see Campbell 1987, 314–18; Duckworth 1956, 281–316)</w:t>
      </w:r>
      <w:r>
        <w:t xml:space="preserve">; that the two were not friends by the time of the</w:t>
      </w:r>
      <w:r>
        <w:t xml:space="preserve"> </w:t>
      </w:r>
      <w:r>
        <w:rPr>
          <w:i/>
        </w:rPr>
        <w:t xml:space="preserve">Odes</w:t>
      </w:r>
      <w:r>
        <w:t xml:space="preserve">,</w:t>
      </w:r>
      <w:r>
        <w:t xml:space="preserve"> </w:t>
      </w:r>
      <w:r>
        <w:t xml:space="preserve">(see Thomas 2001, 60)</w:t>
      </w:r>
      <w:r>
        <w:t xml:space="preserve"> </w:t>
      </w:r>
      <w:r>
        <w:t xml:space="preserve">who argues that Horace and Vergil were only acquaintances and</w:t>
      </w:r>
      <w:r>
        <w:t xml:space="preserve"> </w:t>
      </w:r>
      <w:r>
        <w:t xml:space="preserve">(Moritz 1969, 13)</w:t>
      </w:r>
      <w:r>
        <w:t xml:space="preserve"> </w:t>
      </w:r>
      <w:r>
        <w:t xml:space="preserve">who believes that the friendship was strained by the publication of the</w:t>
      </w:r>
      <w:r>
        <w:t xml:space="preserve"> </w:t>
      </w:r>
      <w:r>
        <w:rPr>
          <w:i/>
        </w:rPr>
        <w:t xml:space="preserve">Odes</w:t>
      </w:r>
      <w:r>
        <w:t xml:space="preserve">. For a response to such readings, see Margheim 2012.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 Horace’s poetry provides the sole basis for positing a friendship. Vergil never mentions Horace by name in his poetry, and no other contemporary or near-contemporary sources ascribe</w:t>
      </w:r>
      <w:r>
        <w:t xml:space="preserve"> </w:t>
      </w:r>
      <w:r>
        <w:rPr>
          <w:i/>
        </w:rPr>
        <w:t xml:space="preserve">amicitia</w:t>
      </w:r>
      <w:r>
        <w:t xml:space="preserve"> </w:t>
      </w:r>
      <w:r>
        <w:t xml:space="preserve">to the two poets, although by 380 St. Jerome assumes a friendship. Horace names Vergil ten times throughout his corpus (</w:t>
      </w:r>
      <w:r>
        <w:rPr>
          <w:i/>
        </w:rPr>
        <w:t xml:space="preserve">Sat</w:t>
      </w:r>
      <w:r>
        <w:t xml:space="preserve">. 1.5.40, 48, 1.6.55, 1.10.45, 81;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1.3.6, 1.24.10, 4.12.13;</w:t>
      </w:r>
      <w:r>
        <w:t xml:space="preserve"> </w:t>
      </w:r>
      <w:r>
        <w:rPr>
          <w:i/>
        </w:rPr>
        <w:t xml:space="preserve">Ep</w:t>
      </w:r>
      <w:r>
        <w:t xml:space="preserve">. 2.1.247;</w:t>
      </w:r>
      <w:r>
        <w:t xml:space="preserve"> </w:t>
      </w:r>
      <w:r>
        <w:rPr>
          <w:i/>
        </w:rPr>
        <w:t xml:space="preserve">A.P</w:t>
      </w:r>
      <w:r>
        <w:t xml:space="preserve">. 55), five times in the</w:t>
      </w:r>
      <w:r>
        <w:t xml:space="preserve"> </w:t>
      </w:r>
      <w:r>
        <w:rPr>
          <w:i/>
        </w:rPr>
        <w:t xml:space="preserve">Satires</w:t>
      </w:r>
      <w:r>
        <w:t xml:space="preserve"> </w:t>
      </w:r>
      <w:r>
        <w:t xml:space="preserve">alone, where Vergil consistently appears as a friend and colleague. 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 Though there is some debate whether the Vergilius of 4.12 is Virgil the poet, the</w:t>
      </w:r>
      <w:r>
        <w:t xml:space="preserve"> </w:t>
      </w:r>
      <w:r>
        <w:rPr>
          <w:i/>
        </w:rPr>
        <w:t xml:space="preserve">opinio communis</w:t>
      </w:r>
      <w:r>
        <w:t xml:space="preserve"> </w:t>
      </w:r>
      <w:r>
        <w:t xml:space="preserve">today asserts this identification (see below, p. 10).</w:t>
      </w:r>
    </w:p>
  </w:footnote>
  <w:footnote w:id="25">
    <w:p>
      <w:pPr>
        <w:pStyle w:val="FootnoteText"/>
      </w:pPr>
      <w:r>
        <w:rPr>
          <w:rStyle w:val="FootnoteRef"/>
        </w:rPr>
        <w:footnoteRef/>
      </w:r>
      <w:r>
        <w:t xml:space="preserve"> For readings of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1.24,</w:t>
      </w:r>
      <w:r>
        <w:t xml:space="preserve"> </w:t>
      </w:r>
      <w:r>
        <w:t xml:space="preserve">(see Commager 1995, 287–90; Khan 1967; Nisbet-Hubbard 1970, 279–89; Lowrie 1994, 377–94; Putnam 1992; Horace and West 1995, 112–15)</w:t>
      </w:r>
      <w:r>
        <w:t xml:space="preserve">. For the Epicurean, and specifically Philodeman, influence on the ode,</w:t>
      </w:r>
      <w:r>
        <w:t xml:space="preserve"> </w:t>
      </w:r>
      <w:r>
        <w:t xml:space="preserve">(Thibodeau 2003, 243–56, and</w:t>
      </w:r>
      <w:r>
        <w:t xml:space="preserve"> </w:t>
      </w:r>
      <w:r>
        <w:t xml:space="preserve">Armstrong (2008)</w:t>
      </w:r>
      <w:r>
        <w:t xml:space="preserve"> </w:t>
      </w:r>
      <w:r>
        <w:t xml:space="preserve">p. 97-99)</w:t>
      </w:r>
      <w:r>
        <w:t xml:space="preserve">.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r>
        <w:t xml:space="preserve"> Unless noted, Latin text of Horace’s</w:t>
      </w:r>
      <w:r>
        <w:t xml:space="preserve"> </w:t>
      </w:r>
      <w:r>
        <w:rPr>
          <w:i/>
        </w:rPr>
        <w:t xml:space="preserve">Odes</w:t>
      </w:r>
      <w:r>
        <w:t xml:space="preserve"> </w:t>
      </w:r>
      <w:r>
        <w:t xml:space="preserve">is Garrison 1991 and translations are my own.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963616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4F1DDD"/>
    <w:rsid w:val="005638E2"/>
    <w:rsid w:val="00590D07"/>
    <w:rsid w:val="00784D58"/>
    <w:rsid w:val="007C1813"/>
    <w:rsid w:val="008A6C9E"/>
    <w:rsid w:val="008D6863"/>
    <w:rsid w:val="00B86B75"/>
    <w:rsid w:val="00BB399F"/>
    <w:rsid w:val="00BC48D5"/>
    <w:rsid w:val="00C36279"/>
    <w:rsid w:val="00CA6A28"/>
    <w:rsid w:val="00D8403E"/>
    <w:rsid w:val="00E315A3"/>
    <w:rsid w:val="00FD15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4BAA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638E2"/>
    <w:pPr>
      <w:spacing w:after="0" w:line="480" w:lineRule="auto"/>
      <w:ind w:firstLine="720"/>
      <w:jc w:val="both"/>
    </w:pPr>
    <w:rPr>
      <w:rFonts w:ascii="Hoefler Text" w:hAnsi="Hoefler Text"/>
    </w:rPr>
  </w:style>
  <w:style w:type="paragraph" w:styleId="Heading1">
    <w:name w:val="heading 1"/>
    <w:basedOn w:val="Normal"/>
    <w:next w:val="Normal"/>
    <w:uiPriority w:val="9"/>
    <w:qFormat/>
    <w:rsid w:val="007C1813"/>
    <w:pPr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bCs/>
      <w:sz w:val="2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C1813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Cs/>
      <w:smallCaps/>
    </w:rPr>
  </w:style>
  <w:style w:type="paragraph" w:styleId="Heading3">
    <w:name w:val="heading 3"/>
    <w:basedOn w:val="Normal"/>
    <w:next w:val="Normal"/>
    <w:uiPriority w:val="9"/>
    <w:unhideWhenUsed/>
    <w:qFormat/>
    <w:rsid w:val="007C1813"/>
    <w:pPr>
      <w:keepNext/>
      <w:keepLines/>
      <w:spacing w:before="240" w:after="240" w:line="240" w:lineRule="auto"/>
      <w:ind w:firstLine="0"/>
      <w:jc w:val="left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7C1813"/>
    <w:pPr>
      <w:keepNext/>
      <w:keepLines/>
      <w:spacing w:before="120" w:after="120" w:line="240" w:lineRule="auto"/>
      <w:ind w:firstLine="0"/>
      <w:jc w:val="left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7C1813"/>
    <w:pPr>
      <w:keepNext/>
      <w:keepLines/>
      <w:spacing w:before="120" w:after="120" w:line="240" w:lineRule="auto"/>
      <w:ind w:firstLine="0"/>
      <w:jc w:val="left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C1813"/>
    <w:pPr>
      <w:spacing w:before="100" w:beforeAutospacing="1" w:after="100" w:afterAutospacing="1" w:line="240" w:lineRule="auto"/>
      <w:ind w:firstLine="0"/>
      <w:jc w:val="left"/>
    </w:pPr>
  </w:style>
  <w:style w:type="paragraph" w:styleId="Title">
    <w:name w:val="Title"/>
    <w:basedOn w:val="Normal"/>
    <w:next w:val="Normal"/>
    <w:qFormat/>
    <w:rsid w:val="00D8403E"/>
    <w:pPr>
      <w:keepNext/>
      <w:keepLines/>
      <w:spacing w:before="240" w:after="240"/>
      <w:jc w:val="center"/>
    </w:pPr>
    <w:rPr>
      <w:rFonts w:eastAsiaTheme="majorEastAsia" w:cstheme="majorBidi"/>
      <w:bCs/>
      <w:sz w:val="28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4F1DDD"/>
    <w:pPr>
      <w:spacing w:before="240" w:after="240" w:line="240" w:lineRule="auto"/>
      <w:ind w:left="1440" w:right="144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C1813"/>
    <w:pPr>
      <w:spacing w:after="120" w:line="240" w:lineRule="auto"/>
      <w:ind w:firstLine="0"/>
    </w:pPr>
    <w:rPr>
      <w:sz w:val="20"/>
    </w:rPr>
  </w:style>
  <w:style w:type="paragraph" w:customStyle="1" w:styleId="DefinitionTerm">
    <w:name w:val="Definition Term"/>
    <w:basedOn w:val="Normal"/>
    <w:next w:val="Definition"/>
    <w:rsid w:val="007C1813"/>
    <w:pPr>
      <w:keepNext/>
      <w:keepLines/>
      <w:ind w:firstLine="0"/>
      <w:jc w:val="left"/>
    </w:pPr>
    <w:rPr>
      <w:bCs/>
      <w:caps/>
      <w:sz w:val="20"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7C1813"/>
    <w:rPr>
      <w:rFonts w:ascii="Consolas" w:hAnsi="Consolas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7C1813"/>
    <w:rPr>
      <w:rFonts w:ascii="Fjord One" w:hAnsi="Fjord One"/>
      <w:color w:val="4F81BD" w:themeColor="accent1"/>
      <w:sz w:val="24"/>
    </w:rPr>
  </w:style>
  <w:style w:type="paragraph" w:customStyle="1" w:styleId="SourceCode">
    <w:name w:val="Source Code"/>
    <w:basedOn w:val="Normal"/>
    <w:link w:val="VerbatimChar"/>
    <w:rsid w:val="007C1813"/>
    <w:pPr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</w:rPr>
  </w:style>
  <w:style w:type="character" w:customStyle="1" w:styleId="DecValTok">
    <w:name w:val="DecValTok"/>
    <w:basedOn w:val="VerbatimChar"/>
    <w:rPr>
      <w:rFonts w:ascii="Consolas" w:hAnsi="Consolas"/>
      <w:color w:val="40A070"/>
    </w:rPr>
  </w:style>
  <w:style w:type="character" w:customStyle="1" w:styleId="BaseNTok">
    <w:name w:val="BaseNTok"/>
    <w:basedOn w:val="VerbatimChar"/>
    <w:rPr>
      <w:rFonts w:ascii="Consolas" w:hAnsi="Consolas"/>
      <w:color w:val="40A070"/>
    </w:rPr>
  </w:style>
  <w:style w:type="character" w:customStyle="1" w:styleId="FloatTok">
    <w:name w:val="FloatTok"/>
    <w:basedOn w:val="VerbatimChar"/>
    <w:rPr>
      <w:rFonts w:ascii="Consolas" w:hAnsi="Consolas"/>
      <w:color w:val="40A070"/>
    </w:rPr>
  </w:style>
  <w:style w:type="character" w:customStyle="1" w:styleId="CharTok">
    <w:name w:val="CharTok"/>
    <w:basedOn w:val="VerbatimChar"/>
    <w:rPr>
      <w:rFonts w:ascii="Consolas" w:hAnsi="Consolas"/>
      <w:color w:val="4070A0"/>
    </w:rPr>
  </w:style>
  <w:style w:type="character" w:customStyle="1" w:styleId="StringTok">
    <w:name w:val="StringTok"/>
    <w:basedOn w:val="VerbatimChar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</w:rPr>
  </w:style>
  <w:style w:type="character" w:customStyle="1" w:styleId="OtherTok">
    <w:name w:val="OtherTok"/>
    <w:basedOn w:val="VerbatimChar"/>
    <w:rPr>
      <w:rFonts w:ascii="Consolas" w:hAnsi="Consolas"/>
      <w:color w:val="0070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</w:rPr>
  </w:style>
  <w:style w:type="character" w:customStyle="1" w:styleId="RegionMarkerTok">
    <w:name w:val="RegionMarkerTok"/>
    <w:basedOn w:val="VerbatimChar"/>
    <w:rPr>
      <w:rFonts w:ascii="Consolas" w:hAnsi="Consolas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</w:rPr>
  </w:style>
  <w:style w:type="character" w:customStyle="1" w:styleId="NormalTok">
    <w:name w:val="NormalTok"/>
    <w:basedOn w:val="VerbatimChar"/>
    <w:rPr>
      <w:rFonts w:ascii="Consolas" w:hAnsi="Consola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books.google.com/books?hl=en\&amp;lr=\&amp;id=Qv1znLxFKDQC\&amp;oi=fnd\&amp;pg=PR3\&amp;dq=Commager,+Steele.+The+Odes+of+Horace:+A+Critical+Study\&amp;ots=GKKWnmY34y\&amp;sig=HtKsS\_sVsxLyiQ4E7KV6Q9pTLZA" TargetMode="External" /><Relationship Type="http://schemas.openxmlformats.org/officeDocument/2006/relationships/hyperlink" Id="rId36" Target="http://catdir.loc.gov/catdir/samples/cam033/00033712.pdf" TargetMode="External" /><Relationship Type="http://schemas.openxmlformats.org/officeDocument/2006/relationships/hyperlink" Id="rId33" Target="http://journals.cambridge.org/abstract\_S0017383500017010" TargetMode="External" /><Relationship Type="http://schemas.openxmlformats.org/officeDocument/2006/relationships/hyperlink" Id="rId30" Target="http://www.jstor.org/stable/283884" TargetMode="External" /><Relationship Type="http://schemas.openxmlformats.org/officeDocument/2006/relationships/hyperlink" Id="rId34" Target="http://www.jstor.org/stable/3297631" TargetMode="External" /><Relationship Type="http://schemas.openxmlformats.org/officeDocument/2006/relationships/hyperlink" Id="rId28" Target="http://www.jstor.org/stable/3298001" TargetMode="External" /><Relationship Type="http://schemas.openxmlformats.org/officeDocument/2006/relationships/hyperlink" Id="rId35" Target="http://www.jstor.org/stable/3298047" TargetMode="External" /><Relationship Type="http://schemas.openxmlformats.org/officeDocument/2006/relationships/hyperlink" Id="rId31" Target="http://www.jstor.org/stable/41526288" TargetMode="External" /><Relationship Type="http://schemas.openxmlformats.org/officeDocument/2006/relationships/hyperlink" Id="rId32" Target="http://www.jstor.org/stable/43515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books.google.com/books?hl=en\&amp;lr=\&amp;id=Qv1znLxFKDQC\&amp;oi=fnd\&amp;pg=PR3\&amp;dq=Commager,+Steele.+The+Odes+of+Horace:+A+Critical+Study\&amp;ots=GKKWnmY34y\&amp;sig=HtKsS\_sVsxLyiQ4E7KV6Q9pTLZA" TargetMode="External" /><Relationship Type="http://schemas.openxmlformats.org/officeDocument/2006/relationships/hyperlink" Id="rId36" Target="http://catdir.loc.gov/catdir/samples/cam033/00033712.pdf" TargetMode="External" /><Relationship Type="http://schemas.openxmlformats.org/officeDocument/2006/relationships/hyperlink" Id="rId33" Target="http://journals.cambridge.org/abstract\_S0017383500017010" TargetMode="External" /><Relationship Type="http://schemas.openxmlformats.org/officeDocument/2006/relationships/hyperlink" Id="rId30" Target="http://www.jstor.org/stable/283884" TargetMode="External" /><Relationship Type="http://schemas.openxmlformats.org/officeDocument/2006/relationships/hyperlink" Id="rId34" Target="http://www.jstor.org/stable/3297631" TargetMode="External" /><Relationship Type="http://schemas.openxmlformats.org/officeDocument/2006/relationships/hyperlink" Id="rId28" Target="http://www.jstor.org/stable/3298001" TargetMode="External" /><Relationship Type="http://schemas.openxmlformats.org/officeDocument/2006/relationships/hyperlink" Id="rId35" Target="http://www.jstor.org/stable/3298047" TargetMode="External" /><Relationship Type="http://schemas.openxmlformats.org/officeDocument/2006/relationships/hyperlink" Id="rId31" Target="http://www.jstor.org/stable/41526288" TargetMode="External" /><Relationship Type="http://schemas.openxmlformats.org/officeDocument/2006/relationships/hyperlink" Id="rId32" Target="http://www.jstor.org/stable/43515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786</Words>
  <Characters>4485</Characters>
  <Application>Microsoft Macintosh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Consolation and Commemoration in Horace Odes 1.24 and 4.12</dc:title>
  <dc:creator/>
</cp:coreProperties>
</file>