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Consolation</w:t>
      </w:r>
      <w:r>
        <w:t xml:space="preserve"> </w:t>
      </w:r>
      <w:r>
        <w:t xml:space="preserve">and</w:t>
      </w:r>
      <w:r>
        <w:t xml:space="preserve"> </w:t>
      </w:r>
      <w:r>
        <w:t xml:space="preserve">Commemoration</w:t>
      </w:r>
      <w:r>
        <w:t xml:space="preserve"> </w:t>
      </w:r>
      <w:r>
        <w:t xml:space="preserve">in</w:t>
      </w:r>
      <w:r>
        <w:t xml:space="preserve"> </w:t>
      </w:r>
      <w:r>
        <w:t xml:space="preserve">Horace</w:t>
      </w:r>
      <w:r>
        <w:t xml:space="preserve"> </w:t>
      </w:r>
      <w:r>
        <w:rPr>
          <w:i/>
        </w:rPr>
        <w:t xml:space="preserve">Odes</w:t>
      </w:r>
      <w:r>
        <w:t xml:space="preserve"> </w:t>
      </w:r>
      <w:r>
        <w:t xml:space="preserve">1.24</w:t>
      </w:r>
      <w:r>
        <w:t xml:space="preserve"> </w:t>
      </w:r>
      <w:r>
        <w:t xml:space="preserve">and</w:t>
      </w:r>
      <w:r>
        <w:t xml:space="preserve"> </w:t>
      </w:r>
      <w:r>
        <w:t xml:space="preserve">4.12</w:t>
      </w:r>
    </w:p>
    <w:p>
      <w:pPr>
        <w:pStyle w:val="BlockQuote"/>
      </w:pPr>
      <w:r>
        <w:t xml:space="preserve">For it shall be my dirge and chant me down  Over the mournful flood to the dim shore,  Where I shall find Quintilius and our tears. Yes, farewell, Horace! Unto you I leave  The laurel and the letters that we loved;  Till we shall meet again. I cannot hold  Your light yet heavy Epicurean creed;  Your lays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shall outlive brass and pyramid</w:t>
      </w:r>
      <w:r>
        <w:rPr>
          <w:i/>
        </w:rPr>
        <w:t xml:space="preserve">”</w:t>
      </w:r>
      <w:r>
        <w:t xml:space="preserve">,  But he that made them shall outlive the lays,  Though how or where we know not. </w:t>
      </w:r>
    </w:p>
    <w:p>
      <w:r>
        <w:t xml:space="preserve">– 328-37, from</w:t>
      </w:r>
      <w:r>
        <w:t xml:space="preserve"> </w:t>
      </w:r>
      <w:r>
        <w:rPr>
          <w:i/>
        </w:rPr>
        <w:t xml:space="preserve">The Death of Virgil, A Dramatic Narrative</w:t>
      </w:r>
      <w:r>
        <w:t xml:space="preserve"> </w:t>
      </w:r>
      <w:r>
        <w:t xml:space="preserve">(1907) by Sir Thomas H. Warren</w:t>
      </w:r>
    </w:p>
    <w:bookmarkStart w:id="21" w:name="introduction"/>
    <w:p>
      <w:pPr>
        <w:pStyle w:val="Heading2"/>
      </w:pPr>
      <w:r>
        <w:t xml:space="preserve">Introduction</w:t>
      </w:r>
    </w:p>
    <w:bookmarkEnd w:id="21"/>
    <w:p>
      <w:r>
        <w:t xml:space="preserve">The death of Vergil was no doubt a tragic event for Rome and her citizens, and even more so for his friends, among whom would surely be the poet Horace.</w:t>
      </w:r>
      <w:r>
        <w:rPr>
          <w:rStyle w:val="FootnoteRef"/>
        </w:rPr>
        <w:footnoteReference w:id="22"/>
      </w:r>
      <w:r>
        <w:t xml:space="preserve"> </w:t>
      </w:r>
      <w:r>
        <w:t xml:space="preserve">Unfortunately, we have little extant which might shed light on their friendship more generally and Horace’s reaction to Vergil’s death in particular;</w:t>
      </w:r>
      <w:r>
        <w:rPr>
          <w:rStyle w:val="FootnoteRef"/>
        </w:rPr>
        <w:footnoteReference w:id="23"/>
      </w:r>
      <w:r>
        <w:t xml:space="preserve"> </w:t>
      </w:r>
      <w:r>
        <w:t xml:space="preserve">little, that is, save</w:t>
      </w:r>
      <w:r>
        <w:t xml:space="preserve"> </w:t>
      </w:r>
      <w:r>
        <w:rPr>
          <w:i/>
        </w:rPr>
        <w:t xml:space="preserve">Odes</w:t>
      </w:r>
      <w:r>
        <w:t xml:space="preserve"> </w:t>
      </w:r>
      <w:r>
        <w:t xml:space="preserve">4.12. An odd poem, it invites Vergil to join Horace at a symposium, although the poem was published six years after Vergil’s death in 19 BC.</w:t>
      </w:r>
      <w:r>
        <w:rPr>
          <w:rStyle w:val="FootnoteRef"/>
        </w:rPr>
        <w:footnoteReference w:id="24"/>
      </w:r>
      <w:r>
        <w:t xml:space="preserve"> </w:t>
      </w:r>
      <w:r>
        <w:t xml:space="preserve">This post-mortem poem to Vergil forms an odd pair with an earlier ode also addressed to Vergil and also written following the death of a friend—</w:t>
      </w:r>
      <w:r>
        <w:rPr>
          <w:i/>
        </w:rPr>
        <w:t xml:space="preserve">Odes</w:t>
      </w:r>
      <w:r>
        <w:t xml:space="preserve"> </w:t>
      </w:r>
      <w:r>
        <w:t xml:space="preserve">1.24. In this poem Vergil receives frank criticism for his excessive and misguided mourning after the death of their mutual friend Quintilius Varus.</w:t>
      </w:r>
      <w:r>
        <w:rPr>
          <w:rStyle w:val="FootnoteRef"/>
        </w:rPr>
        <w:footnoteReference w:id="25"/>
      </w:r>
      <w:r>
        <w:t xml:space="preserve"> </w:t>
      </w:r>
      <w:r>
        <w:t xml:space="preserve">While in 1.24 Horace consoles the aggrieved Vergil, in 4.12 Horace finds himself in Vergil’s position—grieving the death of a friend. </w:t>
      </w:r>
    </w:p>
    <w:p>
      <w:r>
        <w:t xml:space="preserve">Horace confronts grief and death directly in both</w:t>
      </w:r>
      <w:r>
        <w:t xml:space="preserve"> </w:t>
      </w:r>
      <w:r>
        <w:rPr>
          <w:i/>
        </w:rPr>
        <w:t xml:space="preserve">Odes</w:t>
      </w:r>
      <w:r>
        <w:t xml:space="preserve"> </w:t>
      </w:r>
      <w:r>
        <w:t xml:space="preserve">1.24 and 4.12, and each poem ends with a generalizing</w:t>
      </w:r>
      <w:r>
        <w:t xml:space="preserve"> </w:t>
      </w:r>
      <w:r>
        <w:rPr>
          <w:i/>
        </w:rPr>
        <w:t xml:space="preserve">sententia</w:t>
      </w:r>
      <w:r>
        <w:t xml:space="preserve">, yet their import would appear contradictory. On the one hand,</w:t>
      </w:r>
      <w:r>
        <w:t xml:space="preserve"> </w:t>
      </w:r>
      <w:r>
        <w:rPr>
          <w:i/>
        </w:rPr>
        <w:t xml:space="preserve">Odes</w:t>
      </w:r>
      <w:r>
        <w:t xml:space="preserve"> </w:t>
      </w:r>
      <w:r>
        <w:t xml:space="preserve">1.24 recommends the consolatory power of patience:</w:t>
      </w:r>
    </w:p>
    <w:p>
      <w:pPr>
        <w:pStyle w:val="BlockQuote"/>
      </w:pPr>
      <w:r>
        <w:t xml:space="preserve">Durum; sed levius fit patientia</w:t>
      </w:r>
    </w:p>
    <w:p>
      <w:pPr>
        <w:pStyle w:val="BlockQuote"/>
      </w:pPr>
      <w:r>
        <w:t xml:space="preserve">     quicquid corrigere est nefas</w:t>
      </w:r>
      <w:r>
        <w:br w:type="textWrapping"/>
      </w:r>
      <w:r>
        <w:t xml:space="preserve">–</w:t>
      </w:r>
      <w:r>
        <w:t xml:space="preserve"> </w:t>
      </w:r>
      <w:r>
        <w:rPr>
          <w:i/>
        </w:rPr>
        <w:t xml:space="preserve">Odes</w:t>
      </w:r>
      <w:r>
        <w:t xml:space="preserve"> </w:t>
      </w:r>
      <w:r>
        <w:t xml:space="preserve">1.24.19-20</w:t>
      </w:r>
      <w:r>
        <w:br w:type="textWrapping"/>
      </w:r>
      <w:r>
        <w:br w:type="textWrapping"/>
      </w:r>
      <w:r>
        <w:t xml:space="preserve">It is hard; but whatever is forbidden to correct becomes easier to bear with patience.,</w:t>
      </w:r>
      <w:r>
        <w:rPr>
          <w:rStyle w:val="FootnoteRef"/>
        </w:rPr>
        <w:footnoteReference w:id="26"/>
      </w:r>
    </w:p>
    <w:p>
      <w:r>
        <w:t xml:space="preserve">On the other hand,</w:t>
      </w:r>
      <w:r>
        <w:t xml:space="preserve"> </w:t>
      </w:r>
      <w:r>
        <w:rPr>
          <w:i/>
        </w:rPr>
        <w:t xml:space="preserve">Odes</w:t>
      </w:r>
      <w:r>
        <w:t xml:space="preserve"> </w:t>
      </w:r>
      <w:r>
        <w:t xml:space="preserve">4.12 turns to the sweetness of folly:</w:t>
      </w:r>
    </w:p>
    <w:p>
      <w:pPr>
        <w:pStyle w:val="BlockQuote"/>
      </w:pPr>
      <w:r>
        <w:t xml:space="preserve">misce stultitiam consiliis brevem:</w:t>
      </w:r>
    </w:p>
    <w:p>
      <w:pPr>
        <w:pStyle w:val="BlockQuote"/>
      </w:pPr>
      <w:r>
        <w:t xml:space="preserve">     dulce est desipere in loco.</w:t>
      </w:r>
      <w:r>
        <w:br w:type="textWrapping"/>
      </w:r>
      <w:r>
        <w:t xml:space="preserve">–</w:t>
      </w:r>
      <w:r>
        <w:t xml:space="preserve"> </w:t>
      </w:r>
      <w:r>
        <w:rPr>
          <w:i/>
        </w:rPr>
        <w:t xml:space="preserve">Odes</w:t>
      </w:r>
      <w:r>
        <w:t xml:space="preserve"> </w:t>
      </w:r>
      <w:r>
        <w:t xml:space="preserve">4.12.25-28</w:t>
      </w:r>
      <w:r>
        <w:br w:type="textWrapping"/>
      </w:r>
      <w:r>
        <w:br w:type="textWrapping"/>
      </w:r>
      <w:r>
        <w:t xml:space="preserve">Mix brief folly into your plans: it is sweet to act the fool in the proper place.</w:t>
      </w:r>
    </w:p>
    <w:p>
      <w:r>
        <w:t xml:space="preserve">This seeming contradiction forces the question: How ought one to understand</w:t>
      </w:r>
      <w:r>
        <w:t xml:space="preserve"> </w:t>
      </w:r>
      <w:r>
        <w:rPr>
          <w:i/>
        </w:rPr>
        <w:t xml:space="preserve">Odes</w:t>
      </w:r>
      <w:r>
        <w:t xml:space="preserve"> </w:t>
      </w:r>
      <w:r>
        <w:t xml:space="preserve">4.12 in relation to 1.24? More specifically, this paper considers whether Horace has contradicted his own advice in 1.24 by addressing Vergil as if alive in 4.12. Taken together, these two post-mortem poems addressed to Vergil form a diptych of sorts, offering insight into how Horace believes one ought to or can mourn. In</w:t>
      </w:r>
      <w:r>
        <w:t xml:space="preserve"> </w:t>
      </w:r>
      <w:r>
        <w:rPr>
          <w:i/>
        </w:rPr>
        <w:t xml:space="preserve">Odes</w:t>
      </w:r>
      <w:r>
        <w:t xml:space="preserve"> </w:t>
      </w:r>
      <w:r>
        <w:t xml:space="preserve">1.24 Horace, in the persona of a philosophical teacher, advises that one</w:t>
      </w:r>
      <w:r>
        <w:t xml:space="preserve"> </w:t>
      </w:r>
      <w:r>
        <w:rPr>
          <w:i/>
        </w:rPr>
        <w:t xml:space="preserve">ought</w:t>
      </w:r>
      <w:r>
        <w:t xml:space="preserve"> </w:t>
      </w:r>
      <w:r>
        <w:t xml:space="preserve">to mourn moderately and patiently; in 4.12, however, Horace the convivial poet suggests that the foolishness of mourning has its proper place. I argue that this is not an about-face in Horace’s philosophy, but rather a shift in emphasis. </w:t>
      </w:r>
    </w:p>
    <w:p>
      <w:r>
        <w:t xml:space="preserve">This paper begins with brief but thorough readings of the two odes, paying particular attention to their consolatory elements. I demonstrate that</w:t>
      </w:r>
      <w:r>
        <w:t xml:space="preserve"> </w:t>
      </w:r>
      <w:r>
        <w:rPr>
          <w:i/>
        </w:rPr>
        <w:t xml:space="preserve">Odes</w:t>
      </w:r>
      <w:r>
        <w:t xml:space="preserve"> </w:t>
      </w:r>
      <w:r>
        <w:t xml:space="preserve">1.24 offers a consolation built upon Epicurean philosophy and emotional therapy, while</w:t>
      </w:r>
      <w:r>
        <w:t xml:space="preserve"> </w:t>
      </w:r>
      <w:r>
        <w:rPr>
          <w:i/>
        </w:rPr>
        <w:t xml:space="preserve">Odes</w:t>
      </w:r>
      <w:r>
        <w:t xml:space="preserve"> </w:t>
      </w:r>
      <w:r>
        <w:t xml:space="preserve">4.12 draws heavily from the Epicurean practice of commemoration. This leads me to my final argument, that the symposium of 4.12 represents a poetic memorial of Horace and Vergil’s friendship. In the end I argue that Horace, in an attempt to console himself, imagines and invokes Vergil’s literary persona to share in a poetic dialogue, thereby creating a poetic space in which the acknowledged folly of such a post-mortem invocation is permitted.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Fjord One">
    <w:panose1 w:val="02060503050500050A03"/>
    <w:charset w:val="00"/>
    <w:family w:val="auto"/>
    <w:pitch w:val="variable"/>
    <w:sig w:usb0="A00000AF" w:usb1="40000002" w:usb2="00000000" w:usb3="00000000" w:csb0="0000019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22">
    <w:p>
      <w:pPr>
        <w:pStyle w:val="FootnoteText"/>
      </w:pPr>
      <w:r>
        <w:rPr>
          <w:rStyle w:val="FootnoteRef"/>
        </w:rPr>
        <w:footnoteRef/>
      </w:r>
      <w:r>
        <w:t xml:space="preserve"> On their friendship, see Campbell 1987: 314-318 and Duckworth 1956: 281-316; that the two were not friends by the time of the</w:t>
      </w:r>
      <w:r>
        <w:t xml:space="preserve"> </w:t>
      </w:r>
      <w:r>
        <w:rPr>
          <w:i/>
        </w:rPr>
        <w:t xml:space="preserve">Odes</w:t>
      </w:r>
      <w:r>
        <w:t xml:space="preserve">, see Thomas 2001: 60 who argues that Horace and Vergil were only acquaintances and Moritz 1969: 13 who believes that the friendship was strained by the publication of the</w:t>
      </w:r>
      <w:r>
        <w:t xml:space="preserve"> </w:t>
      </w:r>
      <w:r>
        <w:rPr>
          <w:i/>
        </w:rPr>
        <w:t xml:space="preserve">Odes</w:t>
      </w:r>
      <w:r>
        <w:t xml:space="preserve">. For a response to such readings, see Margheim 2012.</w:t>
      </w:r>
    </w:p>
  </w:footnote>
  <w:footnote w:id="23">
    <w:p>
      <w:pPr>
        <w:pStyle w:val="FootnoteText"/>
      </w:pPr>
      <w:r>
        <w:rPr>
          <w:rStyle w:val="FootnoteRef"/>
        </w:rPr>
        <w:footnoteRef/>
      </w:r>
      <w:r>
        <w:t xml:space="preserve"> Horace’s poetry provides the sole basis for positing a friendship. Vergil never mentions Horace by name in his poetry, and no other contemporary or near-contemporary sources ascribe</w:t>
      </w:r>
      <w:r>
        <w:t xml:space="preserve"> </w:t>
      </w:r>
      <w:r>
        <w:rPr>
          <w:i/>
        </w:rPr>
        <w:t xml:space="preserve">amicitia</w:t>
      </w:r>
      <w:r>
        <w:t xml:space="preserve"> </w:t>
      </w:r>
      <w:r>
        <w:t xml:space="preserve">to the two poets, although by 380 St. Jerome assumes a friendship. Horace names Vergil ten times throughout his corpus (</w:t>
      </w:r>
      <w:r>
        <w:rPr>
          <w:i/>
        </w:rPr>
        <w:t xml:space="preserve">Sat</w:t>
      </w:r>
      <w:r>
        <w:t xml:space="preserve">. 1.5.40, 48, 1.6.55, 1.10.45, 81;</w:t>
      </w:r>
      <w:r>
        <w:t xml:space="preserve"> </w:t>
      </w:r>
      <w:r>
        <w:rPr>
          <w:i/>
        </w:rPr>
        <w:t xml:space="preserve">Odes</w:t>
      </w:r>
      <w:r>
        <w:t xml:space="preserve"> </w:t>
      </w:r>
      <w:r>
        <w:t xml:space="preserve">1.3.6, 1.24.10, 4.12.13;</w:t>
      </w:r>
      <w:r>
        <w:t xml:space="preserve"> </w:t>
      </w:r>
      <w:r>
        <w:rPr>
          <w:i/>
        </w:rPr>
        <w:t xml:space="preserve">Ep</w:t>
      </w:r>
      <w:r>
        <w:t xml:space="preserve">. 2.1.247;</w:t>
      </w:r>
      <w:r>
        <w:t xml:space="preserve"> </w:t>
      </w:r>
      <w:r>
        <w:rPr>
          <w:i/>
        </w:rPr>
        <w:t xml:space="preserve">A.P</w:t>
      </w:r>
      <w:r>
        <w:t xml:space="preserve">. 55), five times in the</w:t>
      </w:r>
      <w:r>
        <w:t xml:space="preserve"> </w:t>
      </w:r>
      <w:r>
        <w:rPr>
          <w:i/>
        </w:rPr>
        <w:t xml:space="preserve">Satires</w:t>
      </w:r>
      <w:r>
        <w:t xml:space="preserve"> </w:t>
      </w:r>
      <w:r>
        <w:t xml:space="preserve">alone, where Vergil consistently appears as a friend and colleague. </w:t>
      </w:r>
    </w:p>
  </w:footnote>
  <w:footnote w:id="24">
    <w:p>
      <w:pPr>
        <w:pStyle w:val="FootnoteText"/>
      </w:pPr>
      <w:r>
        <w:rPr>
          <w:rStyle w:val="FootnoteRef"/>
        </w:rPr>
        <w:footnoteRef/>
      </w:r>
      <w:r>
        <w:t xml:space="preserve"> Though there is some debate whether the Vergilius of 4.12 is Virgil the poet, the</w:t>
      </w:r>
      <w:r>
        <w:t xml:space="preserve"> </w:t>
      </w:r>
      <w:r>
        <w:rPr>
          <w:i/>
        </w:rPr>
        <w:t xml:space="preserve">opinio communis</w:t>
      </w:r>
      <w:r>
        <w:t xml:space="preserve"> </w:t>
      </w:r>
      <w:r>
        <w:t xml:space="preserve">today asserts this identification (see below, p. –).</w:t>
      </w:r>
    </w:p>
  </w:footnote>
  <w:footnote w:id="25">
    <w:p>
      <w:pPr>
        <w:pStyle w:val="FootnoteText"/>
      </w:pPr>
      <w:r>
        <w:rPr>
          <w:rStyle w:val="FootnoteRef"/>
        </w:rPr>
        <w:footnoteRef/>
      </w:r>
      <w:r>
        <w:t xml:space="preserve"> For readings of</w:t>
      </w:r>
      <w:r>
        <w:t xml:space="preserve"> </w:t>
      </w:r>
      <w:r>
        <w:rPr>
          <w:i/>
        </w:rPr>
        <w:t xml:space="preserve">Odes</w:t>
      </w:r>
      <w:r>
        <w:t xml:space="preserve"> </w:t>
      </w:r>
      <w:r>
        <w:t xml:space="preserve">1.24, see Commager 1995: 287-90, Khan 1999, Nisbet and Hubbard 1970: 279-89, Lowrie 1994: 377-394, Putnam 1993, and West 1995: 112-15. For the Epicurean, and specifically Philodeman, influence on the ode, see Thibodeau 2003: 243-56 and Armstrong 2008: 97-99.</w:t>
      </w:r>
    </w:p>
  </w:footnote>
  <w:footnote w:id="26">
    <w:p>
      <w:pPr>
        <w:pStyle w:val="FootnoteText"/>
      </w:pPr>
      <w:r>
        <w:rPr>
          <w:rStyle w:val="FootnoteRef"/>
        </w:rPr>
        <w:footnoteRef/>
      </w:r>
      <w:r>
        <w:t xml:space="preserve"> Unless noted, Latin text of Horace’s</w:t>
      </w:r>
      <w:r>
        <w:t xml:space="preserve"> </w:t>
      </w:r>
      <w:r>
        <w:rPr>
          <w:i/>
        </w:rPr>
        <w:t xml:space="preserve">Odes</w:t>
      </w:r>
      <w:r>
        <w:t xml:space="preserve"> </w:t>
      </w:r>
      <w:r>
        <w:t xml:space="preserve">is Garrison 1991 and translations are my own.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69a4c4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4F1DDD"/>
    <w:rsid w:val="005638E2"/>
    <w:rsid w:val="00590D07"/>
    <w:rsid w:val="00784D58"/>
    <w:rsid w:val="007C1813"/>
    <w:rsid w:val="008D6863"/>
    <w:rsid w:val="00B86B75"/>
    <w:rsid w:val="00BB399F"/>
    <w:rsid w:val="00BC48D5"/>
    <w:rsid w:val="00C36279"/>
    <w:rsid w:val="00CA6A28"/>
    <w:rsid w:val="00D8403E"/>
    <w:rsid w:val="00E315A3"/>
    <w:rsid w:val="00FD15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74BAA4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638E2"/>
    <w:pPr>
      <w:spacing w:after="0" w:line="480" w:lineRule="auto"/>
      <w:ind w:firstLine="720"/>
      <w:jc w:val="both"/>
    </w:pPr>
    <w:rPr>
      <w:rFonts w:ascii="Hoefler Text" w:hAnsi="Hoefler Text"/>
    </w:rPr>
  </w:style>
  <w:style w:type="paragraph" w:styleId="Heading1">
    <w:name w:val="heading 1"/>
    <w:basedOn w:val="Normal"/>
    <w:next w:val="Normal"/>
    <w:uiPriority w:val="9"/>
    <w:qFormat/>
    <w:rsid w:val="007C1813"/>
    <w:pPr>
      <w:keepLines/>
      <w:spacing w:before="240" w:after="240" w:line="240" w:lineRule="auto"/>
      <w:ind w:firstLine="0"/>
      <w:jc w:val="left"/>
      <w:outlineLvl w:val="0"/>
    </w:pPr>
    <w:rPr>
      <w:rFonts w:eastAsiaTheme="majorEastAsia" w:cstheme="majorBidi"/>
      <w:b/>
      <w:bCs/>
      <w:sz w:val="2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7C1813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 w:cstheme="majorBidi"/>
      <w:bCs/>
      <w:smallCaps/>
    </w:rPr>
  </w:style>
  <w:style w:type="paragraph" w:styleId="Heading3">
    <w:name w:val="heading 3"/>
    <w:basedOn w:val="Normal"/>
    <w:next w:val="Normal"/>
    <w:uiPriority w:val="9"/>
    <w:unhideWhenUsed/>
    <w:qFormat/>
    <w:rsid w:val="007C1813"/>
    <w:pPr>
      <w:keepNext/>
      <w:keepLines/>
      <w:spacing w:before="240" w:after="240" w:line="240" w:lineRule="auto"/>
      <w:ind w:firstLine="0"/>
      <w:jc w:val="left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7C1813"/>
    <w:pPr>
      <w:keepNext/>
      <w:keepLines/>
      <w:spacing w:before="120" w:after="120" w:line="240" w:lineRule="auto"/>
      <w:ind w:firstLine="0"/>
      <w:jc w:val="left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7C1813"/>
    <w:pPr>
      <w:keepNext/>
      <w:keepLines/>
      <w:spacing w:before="120" w:after="120" w:line="240" w:lineRule="auto"/>
      <w:ind w:firstLine="0"/>
      <w:jc w:val="left"/>
      <w:outlineLvl w:val="4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7C1813"/>
    <w:pPr>
      <w:spacing w:before="100" w:beforeAutospacing="1" w:after="100" w:afterAutospacing="1" w:line="240" w:lineRule="auto"/>
      <w:ind w:firstLine="0"/>
      <w:jc w:val="left"/>
    </w:pPr>
  </w:style>
  <w:style w:type="paragraph" w:styleId="Title">
    <w:name w:val="Title"/>
    <w:basedOn w:val="Normal"/>
    <w:next w:val="Normal"/>
    <w:qFormat/>
    <w:rsid w:val="00D8403E"/>
    <w:pPr>
      <w:keepNext/>
      <w:keepLines/>
      <w:spacing w:before="240" w:after="240"/>
      <w:jc w:val="center"/>
    </w:pPr>
    <w:rPr>
      <w:rFonts w:eastAsiaTheme="majorEastAsia" w:cstheme="majorBidi"/>
      <w:bCs/>
      <w:sz w:val="28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4F1DDD"/>
    <w:pPr>
      <w:spacing w:before="240" w:after="240" w:line="240" w:lineRule="auto"/>
      <w:ind w:left="1440" w:right="1440" w:firstLine="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7C1813"/>
    <w:pPr>
      <w:spacing w:after="120" w:line="240" w:lineRule="auto"/>
      <w:ind w:firstLine="0"/>
    </w:pPr>
    <w:rPr>
      <w:sz w:val="20"/>
    </w:rPr>
  </w:style>
  <w:style w:type="paragraph" w:customStyle="1" w:styleId="DefinitionTerm">
    <w:name w:val="Definition Term"/>
    <w:basedOn w:val="Normal"/>
    <w:next w:val="Definition"/>
    <w:rsid w:val="007C1813"/>
    <w:pPr>
      <w:keepNext/>
      <w:keepLines/>
      <w:ind w:firstLine="0"/>
      <w:jc w:val="left"/>
    </w:pPr>
    <w:rPr>
      <w:bCs/>
      <w:caps/>
      <w:sz w:val="20"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7C1813"/>
    <w:rPr>
      <w:rFonts w:ascii="Consolas" w:hAnsi="Consolas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sid w:val="007C1813"/>
    <w:rPr>
      <w:rFonts w:ascii="Fjord One" w:hAnsi="Fjord One"/>
      <w:color w:val="4F81BD" w:themeColor="accent1"/>
      <w:sz w:val="24"/>
    </w:rPr>
  </w:style>
  <w:style w:type="paragraph" w:customStyle="1" w:styleId="SourceCode">
    <w:name w:val="Source Code"/>
    <w:basedOn w:val="Normal"/>
    <w:link w:val="VerbatimChar"/>
    <w:rsid w:val="007C1813"/>
    <w:pPr>
      <w:wordWrap w:val="0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</w:rPr>
  </w:style>
  <w:style w:type="character" w:customStyle="1" w:styleId="DataTypeTok">
    <w:name w:val="DataTypeTok"/>
    <w:basedOn w:val="VerbatimChar"/>
    <w:rPr>
      <w:rFonts w:ascii="Consolas" w:hAnsi="Consolas"/>
      <w:color w:val="902000"/>
    </w:rPr>
  </w:style>
  <w:style w:type="character" w:customStyle="1" w:styleId="DecValTok">
    <w:name w:val="DecValTok"/>
    <w:basedOn w:val="VerbatimChar"/>
    <w:rPr>
      <w:rFonts w:ascii="Consolas" w:hAnsi="Consolas"/>
      <w:color w:val="40A070"/>
    </w:rPr>
  </w:style>
  <w:style w:type="character" w:customStyle="1" w:styleId="BaseNTok">
    <w:name w:val="BaseNTok"/>
    <w:basedOn w:val="VerbatimChar"/>
    <w:rPr>
      <w:rFonts w:ascii="Consolas" w:hAnsi="Consolas"/>
      <w:color w:val="40A070"/>
    </w:rPr>
  </w:style>
  <w:style w:type="character" w:customStyle="1" w:styleId="FloatTok">
    <w:name w:val="FloatTok"/>
    <w:basedOn w:val="VerbatimChar"/>
    <w:rPr>
      <w:rFonts w:ascii="Consolas" w:hAnsi="Consolas"/>
      <w:color w:val="40A070"/>
    </w:rPr>
  </w:style>
  <w:style w:type="character" w:customStyle="1" w:styleId="CharTok">
    <w:name w:val="CharTok"/>
    <w:basedOn w:val="VerbatimChar"/>
    <w:rPr>
      <w:rFonts w:ascii="Consolas" w:hAnsi="Consolas"/>
      <w:color w:val="4070A0"/>
    </w:rPr>
  </w:style>
  <w:style w:type="character" w:customStyle="1" w:styleId="StringTok">
    <w:name w:val="StringTok"/>
    <w:basedOn w:val="VerbatimChar"/>
    <w:rPr>
      <w:rFonts w:ascii="Consolas" w:hAnsi="Consolas"/>
      <w:color w:val="4070A0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</w:rPr>
  </w:style>
  <w:style w:type="character" w:customStyle="1" w:styleId="OtherTok">
    <w:name w:val="OtherTok"/>
    <w:basedOn w:val="VerbatimChar"/>
    <w:rPr>
      <w:rFonts w:ascii="Consolas" w:hAnsi="Consolas"/>
      <w:color w:val="007020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</w:rPr>
  </w:style>
  <w:style w:type="character" w:customStyle="1" w:styleId="FunctionTok">
    <w:name w:val="FunctionTok"/>
    <w:basedOn w:val="VerbatimChar"/>
    <w:rPr>
      <w:rFonts w:ascii="Consolas" w:hAnsi="Consolas"/>
      <w:color w:val="06287E"/>
    </w:rPr>
  </w:style>
  <w:style w:type="character" w:customStyle="1" w:styleId="RegionMarkerTok">
    <w:name w:val="RegionMarkerTok"/>
    <w:basedOn w:val="VerbatimChar"/>
    <w:rPr>
      <w:rFonts w:ascii="Consolas" w:hAnsi="Consolas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</w:rPr>
  </w:style>
  <w:style w:type="character" w:customStyle="1" w:styleId="NormalTok">
    <w:name w:val="NormalTok"/>
    <w:basedOn w:val="VerbatimChar"/>
    <w:rPr>
      <w:rFonts w:ascii="Consolas" w:hAnsi="Consola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786</Words>
  <Characters>4481</Characters>
  <Application>Microsoft Macintosh Word</Application>
  <DocSecurity>0</DocSecurity>
  <Lines>37</Lines>
  <Paragraphs>10</Paragraphs>
  <ScaleCrop>false</ScaleCrop>
  <Company/>
  <LinksUpToDate>false</LinksUpToDate>
  <CharactersWithSpaces>5257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Consolation and Commemoration in Horace Odes 1.24 and 4.12</dc:title>
  <dc:creator/>
</cp:coreProperties>
</file>