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F6AF5" w14:textId="77777777" w:rsidR="00FD1563" w:rsidRDefault="00D8403E">
      <w:pPr>
        <w:pStyle w:val="Title"/>
      </w:pPr>
      <w:proofErr w:type="spellStart"/>
      <w:r>
        <w:t>Pandoc</w:t>
      </w:r>
      <w:proofErr w:type="spellEnd"/>
      <w:r>
        <w:t xml:space="preserve"> Markdown Example Document</w:t>
      </w:r>
    </w:p>
    <w:p w14:paraId="1D17038F" w14:textId="77777777" w:rsidR="00FD1563" w:rsidRDefault="00D8403E">
      <w:pPr>
        <w:pStyle w:val="Heading1"/>
      </w:pPr>
      <w:bookmarkStart w:id="0" w:name="atx-header-1"/>
      <w:proofErr w:type="spellStart"/>
      <w:r>
        <w:t>Atx</w:t>
      </w:r>
      <w:proofErr w:type="spellEnd"/>
      <w:r>
        <w:t xml:space="preserve"> Header 1</w:t>
      </w:r>
    </w:p>
    <w:p w14:paraId="1CE76EC6" w14:textId="77777777" w:rsidR="00FD1563" w:rsidRDefault="00D8403E">
      <w:pPr>
        <w:pStyle w:val="Heading2"/>
      </w:pPr>
      <w:bookmarkStart w:id="1" w:name="atx-header-2"/>
      <w:bookmarkEnd w:id="0"/>
      <w:proofErr w:type="spellStart"/>
      <w:r>
        <w:t>Atx</w:t>
      </w:r>
      <w:proofErr w:type="spellEnd"/>
      <w:r>
        <w:t xml:space="preserve"> Header 2</w:t>
      </w:r>
    </w:p>
    <w:p w14:paraId="6793F9C4" w14:textId="77777777" w:rsidR="00FD1563" w:rsidRDefault="00D8403E">
      <w:pPr>
        <w:pStyle w:val="Heading3"/>
      </w:pPr>
      <w:bookmarkStart w:id="2" w:name="atx-header-3"/>
      <w:bookmarkEnd w:id="1"/>
      <w:proofErr w:type="spellStart"/>
      <w:r>
        <w:t>Atx</w:t>
      </w:r>
      <w:proofErr w:type="spellEnd"/>
      <w:r>
        <w:t xml:space="preserve"> Header 3</w:t>
      </w:r>
    </w:p>
    <w:p w14:paraId="18151FB4" w14:textId="77777777" w:rsidR="00FD1563" w:rsidRDefault="00D8403E">
      <w:pPr>
        <w:pStyle w:val="Heading4"/>
      </w:pPr>
      <w:bookmarkStart w:id="3" w:name="atx-header-4"/>
      <w:bookmarkEnd w:id="2"/>
      <w:proofErr w:type="spellStart"/>
      <w:r>
        <w:t>Atx</w:t>
      </w:r>
      <w:proofErr w:type="spellEnd"/>
      <w:r>
        <w:t xml:space="preserve"> Header 4</w:t>
      </w:r>
    </w:p>
    <w:p w14:paraId="1254AE88" w14:textId="77777777" w:rsidR="00FD1563" w:rsidRDefault="00D8403E">
      <w:pPr>
        <w:pStyle w:val="Heading5"/>
      </w:pPr>
      <w:bookmarkStart w:id="4" w:name="atx-header-5"/>
      <w:bookmarkEnd w:id="3"/>
      <w:proofErr w:type="spellStart"/>
      <w:r>
        <w:t>Atx</w:t>
      </w:r>
      <w:proofErr w:type="spellEnd"/>
      <w:r>
        <w:t xml:space="preserve"> Header 5</w:t>
      </w:r>
    </w:p>
    <w:p w14:paraId="1DC0E7E0" w14:textId="77777777" w:rsidR="00FD1563" w:rsidRDefault="00D8403E">
      <w:pPr>
        <w:pStyle w:val="Heading2"/>
      </w:pPr>
      <w:bookmarkStart w:id="5" w:name="atx-header-2-with-italics"/>
      <w:bookmarkEnd w:id="4"/>
      <w:proofErr w:type="spellStart"/>
      <w:r>
        <w:t>Atx</w:t>
      </w:r>
      <w:proofErr w:type="spellEnd"/>
      <w:r>
        <w:t xml:space="preserve"> Header 2 with </w:t>
      </w:r>
      <w:r>
        <w:rPr>
          <w:i/>
        </w:rPr>
        <w:t>italics</w:t>
      </w:r>
    </w:p>
    <w:p w14:paraId="7A22C3B5" w14:textId="77777777" w:rsidR="00FD1563" w:rsidRDefault="00D8403E">
      <w:pPr>
        <w:pStyle w:val="Heading1"/>
      </w:pPr>
      <w:bookmarkStart w:id="6" w:name="foo"/>
      <w:bookmarkEnd w:id="5"/>
      <w:proofErr w:type="spellStart"/>
      <w:r>
        <w:t>Setext</w:t>
      </w:r>
      <w:proofErr w:type="spellEnd"/>
      <w:r>
        <w:t xml:space="preserve"> Header 1 with ID</w:t>
      </w:r>
    </w:p>
    <w:p w14:paraId="78FFEDFD" w14:textId="77777777" w:rsidR="00FD1563" w:rsidRDefault="00D8403E">
      <w:pPr>
        <w:pStyle w:val="Heading2"/>
      </w:pPr>
      <w:bookmarkStart w:id="7" w:name="setext-header-2"/>
      <w:bookmarkEnd w:id="6"/>
      <w:proofErr w:type="spellStart"/>
      <w:r>
        <w:t>Setext</w:t>
      </w:r>
      <w:proofErr w:type="spellEnd"/>
      <w:r>
        <w:t xml:space="preserve"> header 2</w:t>
      </w:r>
    </w:p>
    <w:bookmarkEnd w:id="7"/>
    <w:p w14:paraId="0D5A0A3C" w14:textId="109B4A07" w:rsidR="00FD1563" w:rsidRDefault="008A6C9E" w:rsidP="008A6C9E">
      <w:r>
        <w:t xml:space="preserve">This is </w:t>
      </w:r>
      <w:proofErr w:type="gramStart"/>
      <w:r>
        <w:rPr>
          <w:i/>
        </w:rPr>
        <w:t>italics</w:t>
      </w:r>
      <w:proofErr w:type="gramEnd"/>
      <w:r>
        <w:t xml:space="preserve">, and this is also </w:t>
      </w:r>
      <w:r>
        <w:rPr>
          <w:i/>
        </w:rPr>
        <w:t>italics</w:t>
      </w:r>
      <w:r>
        <w:t xml:space="preserve">. This is </w:t>
      </w:r>
      <w:r>
        <w:rPr>
          <w:b/>
        </w:rPr>
        <w:t>bold</w:t>
      </w:r>
      <w:r>
        <w:t xml:space="preserve">, and this is also </w:t>
      </w:r>
      <w:r>
        <w:rPr>
          <w:b/>
        </w:rPr>
        <w:t>bold</w:t>
      </w:r>
      <w:r>
        <w:t xml:space="preserve">. This </w:t>
      </w:r>
      <w:r>
        <w:rPr>
          <w:strike/>
        </w:rPr>
        <w:t>is deleted text.</w:t>
      </w:r>
      <w:r>
        <w:t xml:space="preserve"> This is subscript: H</w:t>
      </w:r>
      <w:r>
        <w:rPr>
          <w:vertAlign w:val="subscript"/>
        </w:rPr>
        <w:t>2</w:t>
      </w:r>
      <w:r>
        <w:t>O. This is superscript: 2</w:t>
      </w:r>
      <w:r>
        <w:rPr>
          <w:vertAlign w:val="superscript"/>
        </w:rPr>
        <w:t>10</w:t>
      </w:r>
      <w:r>
        <w:t xml:space="preserve"> </w:t>
      </w:r>
      <w:proofErr w:type="gramStart"/>
      <w:r>
        <w:t>is</w:t>
      </w:r>
      <w:proofErr w:type="gramEnd"/>
      <w:r>
        <w:t xml:space="preserve"> 1024. Body text. This is an inline link with a title: </w:t>
      </w:r>
      <w:hyperlink r:id="rId8">
        <w:r>
          <w:rPr>
            <w:rStyle w:val="Link"/>
          </w:rPr>
          <w:t>example</w:t>
        </w:r>
      </w:hyperlink>
      <w:r>
        <w:rPr>
          <w:rStyle w:val="Link"/>
        </w:rPr>
        <w:t>.</w:t>
      </w:r>
      <w:r>
        <w:t xml:space="preserve"> This is a reference link with a title: </w:t>
      </w:r>
      <w:hyperlink r:id="rId9">
        <w:r>
          <w:rPr>
            <w:rStyle w:val="Link"/>
          </w:rPr>
          <w:t>example2</w:t>
        </w:r>
      </w:hyperlink>
      <w:r>
        <w:t xml:space="preserve">. </w:t>
      </w:r>
      <w:r w:rsidR="00D8403E">
        <w:t>This is image syntax (in verbatim mode)</w:t>
      </w:r>
      <w:proofErr w:type="gramStart"/>
      <w:r w:rsidR="00D8403E">
        <w:t xml:space="preserve">: </w:t>
      </w:r>
      <w:r w:rsidR="00D8403E">
        <w:rPr>
          <w:rStyle w:val="VerbatimChar"/>
        </w:rPr>
        <w:t>![</w:t>
      </w:r>
      <w:proofErr w:type="gramEnd"/>
      <w:r w:rsidR="00D8403E">
        <w:rPr>
          <w:rStyle w:val="VerbatimChar"/>
        </w:rPr>
        <w:t>alt text](/path/img.jpg "Title")</w:t>
      </w:r>
    </w:p>
    <w:p w14:paraId="52475512" w14:textId="1AC2708F" w:rsidR="00FD1563" w:rsidRDefault="00D8403E">
      <w:pPr>
        <w:pStyle w:val="BlockQuote"/>
      </w:pPr>
      <w:r>
        <w:t>This is a block quote. This paragraph has two lines.</w:t>
      </w:r>
      <w:r w:rsidR="00CA6A28">
        <w:t xml:space="preserve"> This block quote continues for quite some time and will require multiple lines to complete its thought. What is that thought? To be honest, I’m not sure, but the amount of text needed to articulate it is fascinating…</w:t>
      </w:r>
    </w:p>
    <w:p w14:paraId="15977300" w14:textId="77777777" w:rsidR="00FD1563" w:rsidRDefault="00D8403E" w:rsidP="008A6C9E">
      <w:pPr>
        <w:ind w:firstLine="0"/>
      </w:pPr>
      <w:r>
        <w:t>In contrast, this is a code-block:</w:t>
      </w:r>
    </w:p>
    <w:p w14:paraId="6E238A35" w14:textId="77777777" w:rsidR="00FD1563" w:rsidRDefault="00D8403E">
      <w:pPr>
        <w:pStyle w:val="SourceCode"/>
      </w:pPr>
      <w:proofErr w:type="gramStart"/>
      <w:r>
        <w:rPr>
          <w:rStyle w:val="VerbatimChar"/>
        </w:rPr>
        <w:t>example</w:t>
      </w:r>
      <w:proofErr w:type="gramEnd"/>
      <w:r>
        <w:rPr>
          <w:rStyle w:val="VerbatimChar"/>
        </w:rPr>
        <w:t xml:space="preserve"> code-block</w:t>
      </w:r>
    </w:p>
    <w:p w14:paraId="647A10D5" w14:textId="77777777" w:rsidR="00FD1563" w:rsidRDefault="00D8403E" w:rsidP="008A6C9E">
      <w:pPr>
        <w:ind w:firstLine="0"/>
      </w:pPr>
      <w:r>
        <w:t>Below is an example of a Line Block:</w:t>
      </w:r>
    </w:p>
    <w:p w14:paraId="39E4A5B4" w14:textId="77777777" w:rsidR="00FD1563" w:rsidRDefault="00D8403E" w:rsidP="008A6C9E">
      <w:pPr>
        <w:ind w:firstLine="0"/>
        <w:jc w:val="left"/>
      </w:pPr>
      <w:r>
        <w:t>The limerick packs laughs anatomical</w:t>
      </w:r>
      <w:r>
        <w:br/>
      </w:r>
      <w:proofErr w:type="gramStart"/>
      <w:r>
        <w:t>In</w:t>
      </w:r>
      <w:proofErr w:type="gramEnd"/>
      <w:r>
        <w:t xml:space="preserve"> space that is quite economical.</w:t>
      </w:r>
      <w:r>
        <w:br/>
        <w:t>   But the good ones I’ve seen</w:t>
      </w:r>
      <w:r>
        <w:br/>
      </w:r>
      <w:proofErr w:type="gramStart"/>
      <w:r>
        <w:t>   So</w:t>
      </w:r>
      <w:proofErr w:type="gramEnd"/>
      <w:r>
        <w:t xml:space="preserve"> seldom are clean</w:t>
      </w:r>
      <w:r>
        <w:br/>
        <w:t>And the clean ones so seldom are comical</w:t>
      </w:r>
    </w:p>
    <w:p w14:paraId="13B5BA91" w14:textId="77777777" w:rsidR="00FD1563" w:rsidRDefault="00D8403E">
      <w:pPr>
        <w:pStyle w:val="Heading2"/>
      </w:pPr>
      <w:bookmarkStart w:id="8" w:name="lists"/>
      <w:r>
        <w:lastRenderedPageBreak/>
        <w:t>Lists</w:t>
      </w:r>
    </w:p>
    <w:p w14:paraId="3DC30DCA" w14:textId="77777777" w:rsidR="00FD1563" w:rsidRDefault="00D8403E">
      <w:pPr>
        <w:pStyle w:val="Heading3"/>
      </w:pPr>
      <w:bookmarkStart w:id="9" w:name="bullet-lists"/>
      <w:bookmarkEnd w:id="8"/>
      <w:r>
        <w:t>Bullet lists</w:t>
      </w:r>
    </w:p>
    <w:bookmarkEnd w:id="9"/>
    <w:p w14:paraId="7EF4D24D" w14:textId="77777777" w:rsidR="00FD1563" w:rsidRDefault="00D8403E">
      <w:r>
        <w:t>A bullet list is a list of bulleted list items. A bulleted list item begins with a bullet (</w:t>
      </w:r>
      <w:r>
        <w:rPr>
          <w:rStyle w:val="VerbatimChar"/>
        </w:rPr>
        <w:t>*</w:t>
      </w:r>
      <w:r>
        <w:t xml:space="preserve">, </w:t>
      </w:r>
      <w:r>
        <w:rPr>
          <w:rStyle w:val="VerbatimChar"/>
        </w:rPr>
        <w:t>+</w:t>
      </w:r>
      <w:r>
        <w:t xml:space="preserve">, or </w:t>
      </w:r>
      <w:r>
        <w:rPr>
          <w:rStyle w:val="VerbatimChar"/>
        </w:rPr>
        <w:t>-</w:t>
      </w:r>
      <w:r>
        <w:t>). Here is a simple example:</w:t>
      </w:r>
    </w:p>
    <w:p w14:paraId="1134BE99" w14:textId="77777777" w:rsidR="00FD1563" w:rsidRDefault="00D8403E">
      <w:pPr>
        <w:pStyle w:val="Compact"/>
        <w:numPr>
          <w:ilvl w:val="0"/>
          <w:numId w:val="2"/>
        </w:numPr>
      </w:pPr>
      <w:proofErr w:type="gramStart"/>
      <w:r>
        <w:t>one</w:t>
      </w:r>
      <w:proofErr w:type="gramEnd"/>
    </w:p>
    <w:p w14:paraId="2F80B957" w14:textId="77777777" w:rsidR="00FD1563" w:rsidRDefault="00D8403E">
      <w:pPr>
        <w:pStyle w:val="Compact"/>
        <w:numPr>
          <w:ilvl w:val="0"/>
          <w:numId w:val="2"/>
        </w:numPr>
      </w:pPr>
      <w:proofErr w:type="gramStart"/>
      <w:r>
        <w:t>two</w:t>
      </w:r>
      <w:proofErr w:type="gramEnd"/>
    </w:p>
    <w:p w14:paraId="78531C90" w14:textId="77777777" w:rsidR="00FD1563" w:rsidRDefault="00D8403E">
      <w:pPr>
        <w:pStyle w:val="Compact"/>
        <w:numPr>
          <w:ilvl w:val="0"/>
          <w:numId w:val="2"/>
        </w:numPr>
      </w:pPr>
      <w:proofErr w:type="gramStart"/>
      <w:r>
        <w:t>three</w:t>
      </w:r>
      <w:proofErr w:type="gramEnd"/>
    </w:p>
    <w:p w14:paraId="277BB7FA" w14:textId="77777777" w:rsidR="00FD1563" w:rsidRDefault="00D8403E">
      <w:r>
        <w:t>This will produce a “compact” list. If you want a “loose” list, in which each item is formatted as a paragraph, put spaces between the items:</w:t>
      </w:r>
    </w:p>
    <w:p w14:paraId="504DA871" w14:textId="77777777" w:rsidR="00FD1563" w:rsidRDefault="00D8403E">
      <w:pPr>
        <w:numPr>
          <w:ilvl w:val="0"/>
          <w:numId w:val="3"/>
        </w:numPr>
      </w:pPr>
      <w:proofErr w:type="gramStart"/>
      <w:r>
        <w:t>one</w:t>
      </w:r>
      <w:proofErr w:type="gramEnd"/>
    </w:p>
    <w:p w14:paraId="4E43E0D9" w14:textId="77777777" w:rsidR="00FD1563" w:rsidRDefault="00D8403E">
      <w:pPr>
        <w:numPr>
          <w:ilvl w:val="0"/>
          <w:numId w:val="3"/>
        </w:numPr>
      </w:pPr>
      <w:proofErr w:type="gramStart"/>
      <w:r>
        <w:t>two</w:t>
      </w:r>
      <w:proofErr w:type="gramEnd"/>
    </w:p>
    <w:p w14:paraId="1D15D0F5" w14:textId="77777777" w:rsidR="00FD1563" w:rsidRDefault="00D8403E">
      <w:pPr>
        <w:numPr>
          <w:ilvl w:val="0"/>
          <w:numId w:val="3"/>
        </w:numPr>
      </w:pPr>
      <w:proofErr w:type="gramStart"/>
      <w:r>
        <w:t>three</w:t>
      </w:r>
      <w:proofErr w:type="gramEnd"/>
    </w:p>
    <w:p w14:paraId="68FDFE99" w14:textId="77777777" w:rsidR="00FD1563" w:rsidRDefault="00D8403E">
      <w:r>
        <w:t>The bullets need not be flush with the left margin; they may be indented one, two, or three spaces. The bullet must be followed by whitespace.</w:t>
      </w:r>
    </w:p>
    <w:p w14:paraId="731D2B3D" w14:textId="77777777" w:rsidR="00FD1563" w:rsidRDefault="00D8403E">
      <w:r>
        <w:t>List items may include other lists. In this case the preceding blank line is optional. The nested list must be indented four spaces or one tab:</w:t>
      </w:r>
    </w:p>
    <w:p w14:paraId="4110C66F" w14:textId="77777777" w:rsidR="00FD1563" w:rsidRDefault="00D8403E">
      <w:pPr>
        <w:pStyle w:val="Compact"/>
        <w:numPr>
          <w:ilvl w:val="0"/>
          <w:numId w:val="4"/>
        </w:numPr>
      </w:pPr>
      <w:proofErr w:type="gramStart"/>
      <w:r>
        <w:t>fruits</w:t>
      </w:r>
      <w:proofErr w:type="gramEnd"/>
    </w:p>
    <w:p w14:paraId="3B997328" w14:textId="77777777" w:rsidR="00FD1563" w:rsidRDefault="00D8403E">
      <w:pPr>
        <w:pStyle w:val="Compact"/>
        <w:numPr>
          <w:ilvl w:val="1"/>
          <w:numId w:val="5"/>
        </w:numPr>
      </w:pPr>
      <w:proofErr w:type="gramStart"/>
      <w:r>
        <w:t>apples</w:t>
      </w:r>
      <w:proofErr w:type="gramEnd"/>
    </w:p>
    <w:p w14:paraId="08E38F6A" w14:textId="77777777" w:rsidR="00FD1563" w:rsidRDefault="00D8403E">
      <w:pPr>
        <w:pStyle w:val="Compact"/>
        <w:numPr>
          <w:ilvl w:val="2"/>
          <w:numId w:val="6"/>
        </w:numPr>
      </w:pPr>
      <w:proofErr w:type="spellStart"/>
      <w:proofErr w:type="gramStart"/>
      <w:r>
        <w:t>macintosh</w:t>
      </w:r>
      <w:proofErr w:type="spellEnd"/>
      <w:proofErr w:type="gramEnd"/>
    </w:p>
    <w:p w14:paraId="1D018CBC" w14:textId="77777777" w:rsidR="00FD1563" w:rsidRDefault="00D8403E">
      <w:pPr>
        <w:pStyle w:val="Compact"/>
        <w:numPr>
          <w:ilvl w:val="2"/>
          <w:numId w:val="6"/>
        </w:numPr>
      </w:pPr>
      <w:proofErr w:type="gramStart"/>
      <w:r>
        <w:t>red</w:t>
      </w:r>
      <w:proofErr w:type="gramEnd"/>
      <w:r>
        <w:t xml:space="preserve"> delicious</w:t>
      </w:r>
    </w:p>
    <w:p w14:paraId="5F80B6C0" w14:textId="77777777" w:rsidR="00FD1563" w:rsidRDefault="00D8403E">
      <w:pPr>
        <w:pStyle w:val="Compact"/>
        <w:numPr>
          <w:ilvl w:val="1"/>
          <w:numId w:val="5"/>
        </w:numPr>
      </w:pPr>
      <w:proofErr w:type="gramStart"/>
      <w:r>
        <w:t>pears</w:t>
      </w:r>
      <w:proofErr w:type="gramEnd"/>
    </w:p>
    <w:p w14:paraId="67EFD544" w14:textId="77777777" w:rsidR="00FD1563" w:rsidRDefault="00D8403E">
      <w:pPr>
        <w:pStyle w:val="Compact"/>
        <w:numPr>
          <w:ilvl w:val="1"/>
          <w:numId w:val="5"/>
        </w:numPr>
      </w:pPr>
      <w:proofErr w:type="gramStart"/>
      <w:r>
        <w:t>peaches</w:t>
      </w:r>
      <w:proofErr w:type="gramEnd"/>
    </w:p>
    <w:p w14:paraId="76D572A8" w14:textId="77777777" w:rsidR="00FD1563" w:rsidRDefault="00D8403E">
      <w:pPr>
        <w:pStyle w:val="Compact"/>
        <w:numPr>
          <w:ilvl w:val="0"/>
          <w:numId w:val="4"/>
        </w:numPr>
      </w:pPr>
      <w:proofErr w:type="gramStart"/>
      <w:r>
        <w:t>vegetables</w:t>
      </w:r>
      <w:proofErr w:type="gramEnd"/>
    </w:p>
    <w:p w14:paraId="759C98E1" w14:textId="77777777" w:rsidR="00FD1563" w:rsidRDefault="00D8403E">
      <w:pPr>
        <w:pStyle w:val="Compact"/>
        <w:numPr>
          <w:ilvl w:val="1"/>
          <w:numId w:val="7"/>
        </w:numPr>
      </w:pPr>
      <w:proofErr w:type="gramStart"/>
      <w:r>
        <w:t>broccoli</w:t>
      </w:r>
      <w:proofErr w:type="gramEnd"/>
    </w:p>
    <w:p w14:paraId="13A1E7B4" w14:textId="77777777" w:rsidR="00FD1563" w:rsidRDefault="00D8403E">
      <w:pPr>
        <w:pStyle w:val="Compact"/>
        <w:numPr>
          <w:ilvl w:val="1"/>
          <w:numId w:val="7"/>
        </w:numPr>
      </w:pPr>
      <w:proofErr w:type="gramStart"/>
      <w:r>
        <w:t>chard</w:t>
      </w:r>
      <w:proofErr w:type="gramEnd"/>
    </w:p>
    <w:p w14:paraId="45429086" w14:textId="77777777" w:rsidR="00FD1563" w:rsidRDefault="00D8403E">
      <w:pPr>
        <w:pStyle w:val="Heading3"/>
      </w:pPr>
      <w:bookmarkStart w:id="10" w:name="ordered-lists"/>
      <w:r>
        <w:t>Ordered lists</w:t>
      </w:r>
    </w:p>
    <w:bookmarkEnd w:id="10"/>
    <w:p w14:paraId="25AF3DFF" w14:textId="77777777" w:rsidR="00FD1563" w:rsidRDefault="00D8403E">
      <w:r>
        <w:t>Ordered lists work just like bulleted lists, except that the items begin with enumerators rather than bullets.</w:t>
      </w:r>
    </w:p>
    <w:p w14:paraId="4EEA26E5" w14:textId="77777777" w:rsidR="00FD1563" w:rsidRDefault="00D8403E">
      <w:r>
        <w:t xml:space="preserve">In standard markdown, enumerators are decimal numbers followed by a period and a space. The numbers themselves are ignored, so there is no difference between this </w:t>
      </w:r>
      <w:proofErr w:type="gramStart"/>
      <w:r>
        <w:t>list</w:t>
      </w:r>
      <w:proofErr w:type="gramEnd"/>
      <w:r>
        <w:t>:</w:t>
      </w:r>
    </w:p>
    <w:p w14:paraId="07E2EF12" w14:textId="77777777" w:rsidR="00FD1563" w:rsidRDefault="00D8403E">
      <w:pPr>
        <w:pStyle w:val="Compact"/>
        <w:numPr>
          <w:ilvl w:val="0"/>
          <w:numId w:val="8"/>
        </w:numPr>
      </w:pPr>
      <w:proofErr w:type="gramStart"/>
      <w:r>
        <w:lastRenderedPageBreak/>
        <w:t>one</w:t>
      </w:r>
      <w:proofErr w:type="gramEnd"/>
    </w:p>
    <w:p w14:paraId="27FA2AC8" w14:textId="77777777" w:rsidR="00FD1563" w:rsidRDefault="00D8403E">
      <w:pPr>
        <w:pStyle w:val="Compact"/>
        <w:numPr>
          <w:ilvl w:val="0"/>
          <w:numId w:val="8"/>
        </w:numPr>
      </w:pPr>
      <w:proofErr w:type="gramStart"/>
      <w:r>
        <w:t>two</w:t>
      </w:r>
      <w:proofErr w:type="gramEnd"/>
    </w:p>
    <w:p w14:paraId="4347F8B2" w14:textId="77777777" w:rsidR="00FD1563" w:rsidRDefault="00D8403E">
      <w:pPr>
        <w:pStyle w:val="Compact"/>
        <w:numPr>
          <w:ilvl w:val="0"/>
          <w:numId w:val="8"/>
        </w:numPr>
      </w:pPr>
      <w:proofErr w:type="gramStart"/>
      <w:r>
        <w:t>three</w:t>
      </w:r>
      <w:proofErr w:type="gramEnd"/>
    </w:p>
    <w:p w14:paraId="3B1CADCA" w14:textId="77777777" w:rsidR="00FD1563" w:rsidRDefault="00D8403E">
      <w:proofErr w:type="gramStart"/>
      <w:r>
        <w:t>and</w:t>
      </w:r>
      <w:proofErr w:type="gramEnd"/>
      <w:r>
        <w:t xml:space="preserve"> this one:</w:t>
      </w:r>
    </w:p>
    <w:p w14:paraId="5643F227" w14:textId="77777777" w:rsidR="00FD1563" w:rsidRDefault="00D8403E">
      <w:pPr>
        <w:pStyle w:val="Compact"/>
        <w:numPr>
          <w:ilvl w:val="0"/>
          <w:numId w:val="9"/>
        </w:numPr>
      </w:pPr>
      <w:proofErr w:type="gramStart"/>
      <w:r>
        <w:t>one</w:t>
      </w:r>
      <w:proofErr w:type="gramEnd"/>
    </w:p>
    <w:p w14:paraId="07AD9EDC" w14:textId="77777777" w:rsidR="00FD1563" w:rsidRDefault="00D8403E">
      <w:pPr>
        <w:pStyle w:val="Compact"/>
        <w:numPr>
          <w:ilvl w:val="0"/>
          <w:numId w:val="9"/>
        </w:numPr>
      </w:pPr>
      <w:proofErr w:type="gramStart"/>
      <w:r>
        <w:t>two</w:t>
      </w:r>
      <w:proofErr w:type="gramEnd"/>
    </w:p>
    <w:p w14:paraId="2AB4057C" w14:textId="77777777" w:rsidR="00FD1563" w:rsidRDefault="00D8403E">
      <w:pPr>
        <w:pStyle w:val="Compact"/>
        <w:numPr>
          <w:ilvl w:val="0"/>
          <w:numId w:val="9"/>
        </w:numPr>
      </w:pPr>
      <w:proofErr w:type="gramStart"/>
      <w:r>
        <w:t>three</w:t>
      </w:r>
      <w:proofErr w:type="gramEnd"/>
    </w:p>
    <w:p w14:paraId="57433C4A" w14:textId="77777777" w:rsidR="00FD1563" w:rsidRDefault="00D8403E">
      <w:pPr>
        <w:pStyle w:val="Heading2"/>
      </w:pPr>
      <w:bookmarkStart w:id="11" w:name="horizontal-rules"/>
      <w:r>
        <w:t>Horizontal Rules</w:t>
      </w:r>
    </w:p>
    <w:bookmarkEnd w:id="11"/>
    <w:p w14:paraId="496CBF58" w14:textId="77777777" w:rsidR="00FD1563" w:rsidRDefault="00D8403E">
      <w:r>
        <w:t>Three or more dashes or asterisks:</w:t>
      </w:r>
    </w:p>
    <w:p w14:paraId="6BF5725A" w14:textId="77777777" w:rsidR="00FD1563" w:rsidRDefault="00D8403E" w:rsidP="008A6C9E">
      <w:pPr>
        <w:ind w:firstLine="0"/>
      </w:pPr>
      <w:r>
        <w:t>Dashes HR</w:t>
      </w:r>
    </w:p>
    <w:p w14:paraId="4230C94D" w14:textId="77777777" w:rsidR="00FD1563" w:rsidRDefault="008A6C9E" w:rsidP="008A6C9E">
      <w:pPr>
        <w:ind w:firstLine="0"/>
      </w:pPr>
      <w:r>
        <w:pict w14:anchorId="58C4256D">
          <v:rect id="_x0000_i1025" style="width:0;height:1.5pt" o:hralign="center" o:hrstd="t" o:hr="t"/>
        </w:pict>
      </w:r>
    </w:p>
    <w:p w14:paraId="64A76A4F" w14:textId="77777777" w:rsidR="00FD1563" w:rsidRDefault="00D8403E" w:rsidP="008A6C9E">
      <w:pPr>
        <w:ind w:firstLine="0"/>
      </w:pPr>
      <w:r>
        <w:t>Asterisks HR</w:t>
      </w:r>
    </w:p>
    <w:p w14:paraId="05A642A7" w14:textId="77777777" w:rsidR="00FD1563" w:rsidRDefault="008A6C9E" w:rsidP="008A6C9E">
      <w:pPr>
        <w:ind w:firstLine="0"/>
      </w:pPr>
      <w:r>
        <w:pict w14:anchorId="77DCA8D3">
          <v:rect id="_x0000_i1026" style="width:0;height:1.5pt" o:hralign="center" o:hrstd="t" o:hr="t"/>
        </w:pict>
      </w:r>
    </w:p>
    <w:p w14:paraId="5657AE00" w14:textId="77777777" w:rsidR="00FD1563" w:rsidRDefault="00D8403E" w:rsidP="008A6C9E">
      <w:pPr>
        <w:ind w:firstLine="0"/>
      </w:pPr>
      <w:r>
        <w:t>Spaced Dashes HR</w:t>
      </w:r>
    </w:p>
    <w:p w14:paraId="7CBB0BB7" w14:textId="77777777" w:rsidR="00FD1563" w:rsidRDefault="008A6C9E" w:rsidP="008A6C9E">
      <w:pPr>
        <w:ind w:firstLine="0"/>
      </w:pPr>
      <w:r>
        <w:pict w14:anchorId="6745ABDF">
          <v:rect id="_x0000_i1027" style="width:0;height:1.5pt" o:hralign="center" o:hrstd="t" o:hr="t"/>
        </w:pict>
      </w:r>
    </w:p>
    <w:p w14:paraId="2EBD63E4" w14:textId="77777777" w:rsidR="00FD1563" w:rsidRDefault="00D8403E">
      <w:pPr>
        <w:pStyle w:val="Heading3"/>
      </w:pPr>
      <w:bookmarkStart w:id="12" w:name="definition-lists"/>
      <w:r>
        <w:t>Definition lists</w:t>
      </w:r>
    </w:p>
    <w:bookmarkEnd w:id="12"/>
    <w:p w14:paraId="32ADF7C6" w14:textId="77777777" w:rsidR="00FD1563" w:rsidRDefault="00D8403E">
      <w:r>
        <w:t>Pandoc supports definition lists:</w:t>
      </w:r>
    </w:p>
    <w:p w14:paraId="57072784" w14:textId="77777777" w:rsidR="00FD1563" w:rsidRDefault="00D8403E">
      <w:pPr>
        <w:pStyle w:val="DefinitionTerm"/>
      </w:pPr>
      <w:r>
        <w:t>Term 1</w:t>
      </w:r>
    </w:p>
    <w:p w14:paraId="4883E2D2" w14:textId="77777777" w:rsidR="00FD1563" w:rsidRDefault="00D8403E">
      <w:pPr>
        <w:pStyle w:val="Definition"/>
      </w:pPr>
      <w:r>
        <w:t>Definition 1</w:t>
      </w:r>
    </w:p>
    <w:p w14:paraId="06A17366" w14:textId="77777777" w:rsidR="00FD1563" w:rsidRDefault="00D8403E">
      <w:pPr>
        <w:pStyle w:val="Heading3"/>
      </w:pPr>
      <w:bookmarkStart w:id="13" w:name="numbered-example-lists"/>
      <w:r>
        <w:t>Numbered example lists</w:t>
      </w:r>
    </w:p>
    <w:bookmarkEnd w:id="13"/>
    <w:p w14:paraId="7AD4D31D" w14:textId="77777777" w:rsidR="00FD1563" w:rsidRDefault="00D8403E">
      <w:r>
        <w:t xml:space="preserve">The special list marker </w:t>
      </w:r>
      <w:r>
        <w:rPr>
          <w:rStyle w:val="VerbatimChar"/>
        </w:rPr>
        <w:t>@</w:t>
      </w:r>
      <w:r>
        <w:t xml:space="preserve"> can be used for sequentially numbered examples. The first list item with a </w:t>
      </w:r>
      <w:r>
        <w:rPr>
          <w:rStyle w:val="VerbatimChar"/>
        </w:rPr>
        <w:t>@</w:t>
      </w:r>
      <w:r>
        <w:t xml:space="preserve"> marker will be numbered ‘1’, the next ‘2’, and so on, throughout the document. The numbered examples need not occur in a single list; each new list using </w:t>
      </w:r>
      <w:r>
        <w:rPr>
          <w:rStyle w:val="VerbatimChar"/>
        </w:rPr>
        <w:t>@</w:t>
      </w:r>
      <w:r>
        <w:t xml:space="preserve"> will take up where the last stopped. So, for example:</w:t>
      </w:r>
    </w:p>
    <w:p w14:paraId="51B3EF2D" w14:textId="77777777" w:rsidR="00FD1563" w:rsidRDefault="00D8403E">
      <w:pPr>
        <w:pStyle w:val="Compact"/>
        <w:numPr>
          <w:ilvl w:val="0"/>
          <w:numId w:val="10"/>
        </w:numPr>
      </w:pPr>
      <w:r>
        <w:t>My first example will be numbered (1).</w:t>
      </w:r>
    </w:p>
    <w:p w14:paraId="7EEB840F" w14:textId="77777777" w:rsidR="00FD1563" w:rsidRDefault="00D8403E">
      <w:pPr>
        <w:pStyle w:val="Compact"/>
        <w:numPr>
          <w:ilvl w:val="0"/>
          <w:numId w:val="10"/>
        </w:numPr>
      </w:pPr>
      <w:r>
        <w:t>My second example will be numbered (2).</w:t>
      </w:r>
    </w:p>
    <w:p w14:paraId="2C36372D" w14:textId="77777777" w:rsidR="00FD1563" w:rsidRDefault="00D8403E" w:rsidP="008A6C9E">
      <w:pPr>
        <w:ind w:firstLine="0"/>
      </w:pPr>
      <w:r>
        <w:t>Numbered examples can be labeled and referred to elsewhere in the document:</w:t>
      </w:r>
    </w:p>
    <w:p w14:paraId="36EF796A" w14:textId="77777777" w:rsidR="00FD1563" w:rsidRDefault="00D8403E">
      <w:pPr>
        <w:pStyle w:val="BlockQuote"/>
        <w:numPr>
          <w:ilvl w:val="0"/>
          <w:numId w:val="11"/>
        </w:numPr>
      </w:pPr>
      <w:r>
        <w:lastRenderedPageBreak/>
        <w:t>This is a good example.</w:t>
      </w:r>
    </w:p>
    <w:p w14:paraId="1C11969A" w14:textId="77777777" w:rsidR="00FD1563" w:rsidRDefault="00D8403E">
      <w:pPr>
        <w:pStyle w:val="BlockQuote"/>
      </w:pPr>
      <w:r>
        <w:t>As (3) illustrates, …</w:t>
      </w:r>
    </w:p>
    <w:p w14:paraId="69CB432C" w14:textId="77777777" w:rsidR="00FD1563" w:rsidRDefault="00D8403E" w:rsidP="008A6C9E">
      <w:pPr>
        <w:ind w:firstLine="0"/>
      </w:pPr>
      <w:r>
        <w:rPr>
          <w:b/>
        </w:rPr>
        <w:t>Note</w:t>
      </w:r>
      <w:r>
        <w:t>: The raw HTML is passed through unchanged in HTML, S5, Slidy, Slideous, DZSlides, EPUB, Markdown, and Textile output, and suppressed in other formats. Also, Inline LaTeX is ignored in output formats other than Markdown, LaTeX, and ConTeXt. Docx doesn’t have internal linking (Internal links are currently supported for HTML formats (including HTML slide shows and EPUB), LaTeX, and ConTeXt).</w:t>
      </w:r>
    </w:p>
    <w:p w14:paraId="740261F3" w14:textId="5F6BE7DE" w:rsidR="00FD1563" w:rsidRDefault="00D8403E" w:rsidP="008A6C9E">
      <w:pPr>
        <w:ind w:firstLine="0"/>
      </w:pPr>
      <w:proofErr w:type="spellStart"/>
      <w:r>
        <w:t>Pandoc’s</w:t>
      </w:r>
      <w:proofErr w:type="spellEnd"/>
      <w:r>
        <w:t xml:space="preserve"> markdown allows footnotes, using the following syntax:</w:t>
      </w:r>
      <w:r w:rsidR="008A6C9E">
        <w:t xml:space="preserve"> </w:t>
      </w:r>
      <w:bookmarkStart w:id="14" w:name="_GoBack"/>
      <w:bookmarkEnd w:id="14"/>
      <w:r>
        <w:t>Here is a footnote reference,</w:t>
      </w:r>
      <w:r>
        <w:rPr>
          <w:rStyle w:val="FootnoteRef"/>
        </w:rPr>
        <w:footnoteReference w:id="1"/>
      </w:r>
      <w:r>
        <w:t xml:space="preserve"> and another.</w:t>
      </w:r>
      <w:r>
        <w:rPr>
          <w:rStyle w:val="FootnoteRef"/>
        </w:rPr>
        <w:footnoteReference w:id="2"/>
      </w:r>
    </w:p>
    <w:p w14:paraId="1A7490A1" w14:textId="77777777" w:rsidR="00FD1563" w:rsidRDefault="00D8403E">
      <w:r>
        <w:t>This paragraph won’t be part of the note, because it isn’t indented.</w:t>
      </w:r>
    </w:p>
    <w:p w14:paraId="04DD32F4" w14:textId="77777777" w:rsidR="00FD1563" w:rsidRDefault="00D8403E">
      <w:pPr>
        <w:pStyle w:val="Heading2"/>
      </w:pPr>
      <w:bookmarkStart w:id="15" w:name="citations"/>
      <w:r>
        <w:t>Citations</w:t>
      </w:r>
    </w:p>
    <w:bookmarkEnd w:id="15"/>
    <w:p w14:paraId="34F8728A" w14:textId="77777777" w:rsidR="00FD1563" w:rsidRDefault="00D8403E">
      <w:r>
        <w:t xml:space="preserve">In order to use this feature, you will need to specify a bibliography file using the </w:t>
      </w:r>
      <w:r>
        <w:rPr>
          <w:rStyle w:val="VerbatimChar"/>
        </w:rPr>
        <w:t>bibliography</w:t>
      </w:r>
      <w:r>
        <w:t xml:space="preserve"> metadata field in a YAML metadata section. By default, </w:t>
      </w:r>
      <w:r>
        <w:rPr>
          <w:rStyle w:val="VerbatimChar"/>
        </w:rPr>
        <w:t>pandoc-citeproc</w:t>
      </w:r>
      <w:r>
        <w:t xml:space="preserve"> will use a Chicago author-date format for citations and references. To use another style, you will need to specify a [CSL] 1.0 style file in the </w:t>
      </w:r>
      <w:r>
        <w:rPr>
          <w:rStyle w:val="VerbatimChar"/>
        </w:rPr>
        <w:t>csl</w:t>
      </w:r>
      <w:r>
        <w:t xml:space="preserve"> metadata field.</w:t>
      </w:r>
    </w:p>
    <w:p w14:paraId="3A4EDEF1" w14:textId="77777777" w:rsidR="00FD1563" w:rsidRDefault="00D8403E">
      <w:r>
        <w:t xml:space="preserve">Citations go inside square brackets and are separated by semicolons. Each citation must have a key, composed of ‘@’ + the citation identifier from the database, and may optionally have a prefix, a locator, and a suffix. The citation key must begin with a letter or </w:t>
      </w:r>
      <w:r>
        <w:rPr>
          <w:rStyle w:val="VerbatimChar"/>
        </w:rPr>
        <w:t>_</w:t>
      </w:r>
      <w:r>
        <w:t xml:space="preserve">, and may contain alphanumerics, </w:t>
      </w:r>
      <w:r>
        <w:rPr>
          <w:rStyle w:val="VerbatimChar"/>
        </w:rPr>
        <w:t>_</w:t>
      </w:r>
      <w:r>
        <w:t>, and internal punctuation characters (</w:t>
      </w:r>
      <w:r>
        <w:rPr>
          <w:rStyle w:val="VerbatimChar"/>
        </w:rPr>
        <w:t>:.#$%&amp;-+?&lt;&gt;~/</w:t>
      </w:r>
      <w:r>
        <w:t>).</w:t>
      </w:r>
    </w:p>
    <w:p w14:paraId="7ECB8FF9" w14:textId="77777777" w:rsidR="00FD1563" w:rsidRDefault="00D8403E">
      <w:r>
        <w:rPr>
          <w:b/>
        </w:rPr>
        <w:t>Examples:</w:t>
      </w:r>
    </w:p>
    <w:p w14:paraId="625F4E26" w14:textId="77777777" w:rsidR="00FD1563" w:rsidRDefault="00D8403E">
      <w:pPr>
        <w:pStyle w:val="Heading1"/>
      </w:pPr>
      <w:bookmarkStart w:id="16" w:name="pandoc-with-citeproc-hs"/>
      <w:r>
        <w:lastRenderedPageBreak/>
        <w:t>Pandoc with citeproc-hs</w:t>
      </w:r>
    </w:p>
    <w:bookmarkEnd w:id="16"/>
    <w:p w14:paraId="7D45EA08" w14:textId="77777777" w:rsidR="00FD1563" w:rsidRDefault="00D8403E">
      <w:pPr>
        <w:numPr>
          <w:ilvl w:val="0"/>
          <w:numId w:val="12"/>
        </w:numPr>
      </w:pPr>
      <w:r>
        <w:t>This citation doesn’t exist: (</w:t>
      </w:r>
      <w:r>
        <w:rPr>
          <w:b/>
        </w:rPr>
        <w:t>???</w:t>
      </w:r>
      <w:r>
        <w:t>)</w:t>
      </w:r>
    </w:p>
    <w:p w14:paraId="7E303A20" w14:textId="77777777" w:rsidR="00FD1563" w:rsidRDefault="00D8403E">
      <w:pPr>
        <w:numPr>
          <w:ilvl w:val="0"/>
          <w:numId w:val="12"/>
        </w:numPr>
      </w:pPr>
      <w:r>
        <w:t>Neither does this: (</w:t>
      </w:r>
      <w:r>
        <w:rPr>
          <w:b/>
        </w:rPr>
        <w:t>???</w:t>
      </w:r>
      <w:r>
        <w:t>)</w:t>
      </w:r>
    </w:p>
    <w:p w14:paraId="1B32DC55" w14:textId="77777777" w:rsidR="00FD1563" w:rsidRDefault="00D8403E">
      <w:pPr>
        <w:numPr>
          <w:ilvl w:val="0"/>
          <w:numId w:val="12"/>
        </w:numPr>
      </w:pPr>
      <w:r>
        <w:t>Doe (2005) says blah.</w:t>
      </w:r>
    </w:p>
    <w:p w14:paraId="093B625A" w14:textId="77777777" w:rsidR="00FD1563" w:rsidRDefault="00D8403E">
      <w:pPr>
        <w:numPr>
          <w:ilvl w:val="0"/>
          <w:numId w:val="12"/>
        </w:numPr>
      </w:pPr>
      <w:r>
        <w:t>Doe (2005, 30) says blah.</w:t>
      </w:r>
    </w:p>
    <w:p w14:paraId="4638D662" w14:textId="77777777" w:rsidR="00FD1563" w:rsidRDefault="00D8403E">
      <w:pPr>
        <w:numPr>
          <w:ilvl w:val="0"/>
          <w:numId w:val="12"/>
        </w:numPr>
      </w:pPr>
      <w:r>
        <w:t>Doe (2005, 30, with suffix) says blah.</w:t>
      </w:r>
    </w:p>
    <w:p w14:paraId="0D855694" w14:textId="77777777" w:rsidR="00FD1563" w:rsidRDefault="00D8403E">
      <w:pPr>
        <w:numPr>
          <w:ilvl w:val="0"/>
          <w:numId w:val="12"/>
        </w:numPr>
      </w:pPr>
      <w:r>
        <w:t>Doe (2005; 2006, 30; see also Doe and Roe 2007) says blah.</w:t>
      </w:r>
    </w:p>
    <w:p w14:paraId="4F573199" w14:textId="77777777" w:rsidR="00FD1563" w:rsidRDefault="00D8403E">
      <w:pPr>
        <w:numPr>
          <w:ilvl w:val="0"/>
          <w:numId w:val="12"/>
        </w:numPr>
      </w:pPr>
      <w:r>
        <w:t>In a note.</w:t>
      </w:r>
      <w:r>
        <w:rPr>
          <w:rStyle w:val="FootnoteRef"/>
        </w:rPr>
        <w:footnoteReference w:id="3"/>
      </w:r>
    </w:p>
    <w:p w14:paraId="5F169F82" w14:textId="77777777" w:rsidR="00FD1563" w:rsidRDefault="00D8403E">
      <w:pPr>
        <w:numPr>
          <w:ilvl w:val="0"/>
          <w:numId w:val="12"/>
        </w:numPr>
      </w:pPr>
      <w:r>
        <w:t>A citation group (see Doe 2005, 34–35; also Doe and Roe 2007, chap. 3).</w:t>
      </w:r>
    </w:p>
    <w:p w14:paraId="01F231C5" w14:textId="77777777" w:rsidR="00FD1563" w:rsidRDefault="00D8403E">
      <w:pPr>
        <w:numPr>
          <w:ilvl w:val="0"/>
          <w:numId w:val="12"/>
        </w:numPr>
      </w:pPr>
      <w:r>
        <w:t>Another one (see Doe 2005, 34–35).</w:t>
      </w:r>
    </w:p>
    <w:p w14:paraId="436C097D" w14:textId="77777777" w:rsidR="00FD1563" w:rsidRDefault="00D8403E">
      <w:pPr>
        <w:numPr>
          <w:ilvl w:val="0"/>
          <w:numId w:val="12"/>
        </w:numPr>
      </w:pPr>
      <w:r>
        <w:t>And another one in a note.</w:t>
      </w:r>
      <w:r>
        <w:rPr>
          <w:rStyle w:val="FootnoteRef"/>
        </w:rPr>
        <w:footnoteReference w:id="4"/>
      </w:r>
    </w:p>
    <w:p w14:paraId="22B4DFB9" w14:textId="77777777" w:rsidR="00FD1563" w:rsidRDefault="00D8403E">
      <w:pPr>
        <w:numPr>
          <w:ilvl w:val="0"/>
          <w:numId w:val="12"/>
        </w:numPr>
      </w:pPr>
      <w:r>
        <w:t>Citation with a suffix and locator (Doe 2005, 33, 35–37, and nowhere else).</w:t>
      </w:r>
    </w:p>
    <w:p w14:paraId="0FF7887D" w14:textId="77777777" w:rsidR="00FD1563" w:rsidRDefault="00D8403E">
      <w:pPr>
        <w:numPr>
          <w:ilvl w:val="0"/>
          <w:numId w:val="12"/>
        </w:numPr>
      </w:pPr>
      <w:r>
        <w:t>Citation with suffix only (Doe 2005 and nowhere else).</w:t>
      </w:r>
    </w:p>
    <w:p w14:paraId="263BD371" w14:textId="77777777" w:rsidR="00FD1563" w:rsidRDefault="00D8403E">
      <w:pPr>
        <w:numPr>
          <w:ilvl w:val="0"/>
          <w:numId w:val="12"/>
        </w:numPr>
      </w:pPr>
      <w:r>
        <w:t>Now some modifiers.</w:t>
      </w:r>
      <w:r>
        <w:rPr>
          <w:rStyle w:val="FootnoteRef"/>
        </w:rPr>
        <w:footnoteReference w:id="5"/>
      </w:r>
    </w:p>
    <w:p w14:paraId="602B5A16" w14:textId="77777777" w:rsidR="00FD1563" w:rsidRDefault="00D8403E">
      <w:pPr>
        <w:numPr>
          <w:ilvl w:val="0"/>
          <w:numId w:val="12"/>
        </w:numPr>
      </w:pPr>
      <w:r>
        <w:t>With some markup (</w:t>
      </w:r>
      <w:r>
        <w:rPr>
          <w:i/>
        </w:rPr>
        <w:t>see</w:t>
      </w:r>
      <w:r>
        <w:t xml:space="preserve"> Doe 2005, 32).</w:t>
      </w:r>
    </w:p>
    <w:p w14:paraId="7A2BD521" w14:textId="77777777" w:rsidR="00FD1563" w:rsidRDefault="00D8403E">
      <w:pPr>
        <w:pStyle w:val="Heading1"/>
      </w:pPr>
      <w:bookmarkStart w:id="17" w:name="references"/>
      <w:r>
        <w:t>References</w:t>
      </w:r>
    </w:p>
    <w:bookmarkEnd w:id="17"/>
    <w:p w14:paraId="7E9C5CB4" w14:textId="77777777" w:rsidR="00FD1563" w:rsidRDefault="00D8403E">
      <w:r>
        <w:t xml:space="preserve">The bibliography will be inserted after this header. Note that the </w:t>
      </w:r>
      <w:r>
        <w:rPr>
          <w:rStyle w:val="VerbatimChar"/>
        </w:rPr>
        <w:t>unnumbered</w:t>
      </w:r>
      <w:r>
        <w:t xml:space="preserve"> class will be added to this header, so that the section will not be numbered.</w:t>
      </w:r>
    </w:p>
    <w:p w14:paraId="4F9D6033" w14:textId="77777777" w:rsidR="00FD1563" w:rsidRDefault="00D8403E">
      <w:r>
        <w:t xml:space="preserve">If you want to include items in the bibliography without actually citing them in the body text, you can define a dummy </w:t>
      </w:r>
      <w:r>
        <w:rPr>
          <w:rStyle w:val="VerbatimChar"/>
        </w:rPr>
        <w:t>nocite</w:t>
      </w:r>
      <w:r>
        <w:t xml:space="preserve"> metadata field and put the citations there:</w:t>
      </w:r>
    </w:p>
    <w:p w14:paraId="63805346" w14:textId="77777777" w:rsidR="00FD1563" w:rsidRDefault="00D8403E">
      <w:r>
        <w:t xml:space="preserve">Doe, John. 2005. </w:t>
      </w:r>
      <w:r>
        <w:rPr>
          <w:i/>
        </w:rPr>
        <w:t>First Book</w:t>
      </w:r>
      <w:r>
        <w:t>. Cambridge: Cambridge University Press.</w:t>
      </w:r>
    </w:p>
    <w:p w14:paraId="4D07A0F6" w14:textId="77777777" w:rsidR="00FD1563" w:rsidRDefault="00D8403E">
      <w:r>
        <w:t xml:space="preserve">———. 2006. “Article.” </w:t>
      </w:r>
      <w:r>
        <w:rPr>
          <w:i/>
        </w:rPr>
        <w:t>Journal of Generic Studies</w:t>
      </w:r>
      <w:r>
        <w:t xml:space="preserve"> 6: 33–34.</w:t>
      </w:r>
    </w:p>
    <w:p w14:paraId="38B6D2DC" w14:textId="77777777" w:rsidR="00FD1563" w:rsidRDefault="00D8403E">
      <w:r>
        <w:t xml:space="preserve">Doe, John, and Jenny Roe. 2007. “Why Water Is Wet.” In </w:t>
      </w:r>
      <w:r>
        <w:rPr>
          <w:i/>
        </w:rPr>
        <w:t>Third Book</w:t>
      </w:r>
      <w:r>
        <w:t>, edited by Sam Smith. Oxford: Oxford University Press.</w:t>
      </w:r>
    </w:p>
    <w:sectPr w:rsidR="00FD1563" w:rsidSect="00BB3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F26DE" w14:textId="77777777" w:rsidR="00D8403E" w:rsidRDefault="00D8403E">
      <w:pPr>
        <w:spacing w:line="240" w:lineRule="auto"/>
      </w:pPr>
      <w:r>
        <w:separator/>
      </w:r>
    </w:p>
  </w:endnote>
  <w:endnote w:type="continuationSeparator" w:id="0">
    <w:p w14:paraId="7D76338A" w14:textId="77777777" w:rsidR="00D8403E" w:rsidRDefault="00D84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Fjord One">
    <w:panose1 w:val="02060503050500050A03"/>
    <w:charset w:val="00"/>
    <w:family w:val="auto"/>
    <w:pitch w:val="variable"/>
    <w:sig w:usb0="A00000AF" w:usb1="40000002" w:usb2="00000000" w:usb3="00000000" w:csb0="0000019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F88B6" w14:textId="77777777" w:rsidR="00D8403E" w:rsidRDefault="00D8403E">
      <w:pPr>
        <w:spacing w:line="240" w:lineRule="auto"/>
      </w:pPr>
      <w:r>
        <w:separator/>
      </w:r>
    </w:p>
  </w:footnote>
  <w:footnote w:type="continuationSeparator" w:id="0">
    <w:p w14:paraId="48EB6765" w14:textId="77777777" w:rsidR="00D8403E" w:rsidRDefault="00D8403E">
      <w:pPr>
        <w:spacing w:line="240" w:lineRule="auto"/>
      </w:pPr>
      <w:r>
        <w:continuationSeparator/>
      </w:r>
    </w:p>
  </w:footnote>
  <w:footnote w:id="1">
    <w:p w14:paraId="1346EA3B" w14:textId="77777777" w:rsidR="00D8403E" w:rsidRDefault="00D8403E">
      <w:pPr>
        <w:pStyle w:val="FootnoteText"/>
      </w:pPr>
      <w:r>
        <w:rPr>
          <w:rStyle w:val="FootnoteRef"/>
        </w:rPr>
        <w:footnoteRef/>
      </w:r>
      <w:proofErr w:type="gramStart"/>
      <w:r>
        <w:t>A citation without locators (Doe and Roe 2007).</w:t>
      </w:r>
      <w:proofErr w:type="gramEnd"/>
    </w:p>
  </w:footnote>
  <w:footnote w:id="2">
    <w:p w14:paraId="22948C2A" w14:textId="77777777" w:rsidR="00D8403E" w:rsidRDefault="00D8403E">
      <w:pPr>
        <w:pStyle w:val="FootnoteText"/>
      </w:pPr>
      <w:r>
        <w:rPr>
          <w:rStyle w:val="FootnoteRef"/>
        </w:rPr>
        <w:footnoteRef/>
      </w:r>
      <w:r>
        <w:t>Here’s one with multiple blocks.</w:t>
      </w:r>
    </w:p>
    <w:p w14:paraId="37D1D99C" w14:textId="77777777" w:rsidR="00D8403E" w:rsidRDefault="00D8403E">
      <w:pPr>
        <w:pStyle w:val="FootnoteText"/>
      </w:pPr>
      <w:r>
        <w:t>Subsequent paragraphs are indented to show that they belong to the previous footnote.</w:t>
      </w:r>
    </w:p>
    <w:p w14:paraId="089611EA" w14:textId="77777777" w:rsidR="00D8403E" w:rsidRDefault="00D8403E">
      <w:pPr>
        <w:pStyle w:val="FootnoteText"/>
      </w:pPr>
      <w:proofErr w:type="gramStart"/>
      <w:r>
        <w:rPr>
          <w:rStyle w:val="VerbatimChar"/>
        </w:rPr>
        <w:t xml:space="preserve">{ </w:t>
      </w:r>
      <w:proofErr w:type="spellStart"/>
      <w:r>
        <w:rPr>
          <w:rStyle w:val="VerbatimChar"/>
        </w:rPr>
        <w:t>some.code</w:t>
      </w:r>
      <w:proofErr w:type="spellEnd"/>
      <w:proofErr w:type="gramEnd"/>
      <w:r>
        <w:rPr>
          <w:rStyle w:val="VerbatimChar"/>
        </w:rPr>
        <w:t xml:space="preserve"> }</w:t>
      </w:r>
    </w:p>
    <w:p w14:paraId="0039E221" w14:textId="77777777" w:rsidR="00D8403E" w:rsidRDefault="00D8403E">
      <w:pPr>
        <w:pStyle w:val="FootnoteText"/>
      </w:pPr>
      <w:r>
        <w:t>The whole paragraph can be indented, or just the first line. In this way, multi-paragraph footnotes work like multi-paragraph list items.</w:t>
      </w:r>
    </w:p>
  </w:footnote>
  <w:footnote w:id="3">
    <w:p w14:paraId="47A4AE3B" w14:textId="77777777" w:rsidR="00D8403E" w:rsidRDefault="00D8403E">
      <w:pPr>
        <w:pStyle w:val="FootnoteText"/>
      </w:pPr>
      <w:r>
        <w:rPr>
          <w:rStyle w:val="FootnoteRef"/>
        </w:rPr>
        <w:footnoteRef/>
      </w:r>
      <w:proofErr w:type="gramStart"/>
      <w:r>
        <w:t>A citation without locators (Doe and Roe 2007).</w:t>
      </w:r>
      <w:proofErr w:type="gramEnd"/>
    </w:p>
  </w:footnote>
  <w:footnote w:id="4">
    <w:p w14:paraId="13BCE7A7" w14:textId="77777777" w:rsidR="00D8403E" w:rsidRDefault="00D8403E">
      <w:pPr>
        <w:pStyle w:val="FootnoteText"/>
      </w:pPr>
      <w:r>
        <w:rPr>
          <w:rStyle w:val="FootnoteRef"/>
        </w:rPr>
        <w:footnoteRef/>
      </w:r>
      <w:proofErr w:type="gramStart"/>
      <w:r>
        <w:t>Some citations (see Doe 2006, chap. 3; Doe and Roe 2007; Doe 2005).</w:t>
      </w:r>
      <w:proofErr w:type="gramEnd"/>
    </w:p>
  </w:footnote>
  <w:footnote w:id="5">
    <w:p w14:paraId="510FA7D7" w14:textId="77777777" w:rsidR="00D8403E" w:rsidRDefault="00D8403E">
      <w:pPr>
        <w:pStyle w:val="FootnoteText"/>
      </w:pPr>
      <w:r>
        <w:rPr>
          <w:rStyle w:val="FootnoteRef"/>
        </w:rPr>
        <w:footnoteRef/>
      </w:r>
      <w:r>
        <w:t>Like a citation without author: (2005), and now Doe with a locator (2006, 44).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BF21"/>
    <w:multiLevelType w:val="multilevel"/>
    <w:tmpl w:val="1DF00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5DA1CD"/>
    <w:multiLevelType w:val="multilevel"/>
    <w:tmpl w:val="82EE88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71589D"/>
    <w:multiLevelType w:val="multilevel"/>
    <w:tmpl w:val="54B2C8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A0CC6BA"/>
    <w:multiLevelType w:val="multilevel"/>
    <w:tmpl w:val="BDD2D0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6EB4C9B"/>
    <w:multiLevelType w:val="multilevel"/>
    <w:tmpl w:val="11E6F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648516F"/>
    <w:multiLevelType w:val="multilevel"/>
    <w:tmpl w:val="A1445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F1DDD"/>
    <w:rsid w:val="005638E2"/>
    <w:rsid w:val="00590D07"/>
    <w:rsid w:val="00784D58"/>
    <w:rsid w:val="007C1813"/>
    <w:rsid w:val="008A6C9E"/>
    <w:rsid w:val="008D6863"/>
    <w:rsid w:val="00B86B75"/>
    <w:rsid w:val="00BB399F"/>
    <w:rsid w:val="00BC48D5"/>
    <w:rsid w:val="00C36279"/>
    <w:rsid w:val="00CA6A28"/>
    <w:rsid w:val="00D8403E"/>
    <w:rsid w:val="00E315A3"/>
    <w:rsid w:val="00FD15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4BA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rl.com/" TargetMode="External"/><Relationship Id="rId9" Type="http://schemas.openxmlformats.org/officeDocument/2006/relationships/hyperlink" Target="http://exampl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786</Words>
  <Characters>4485</Characters>
  <Application>Microsoft Macintosh Word</Application>
  <DocSecurity>0</DocSecurity>
  <Lines>37</Lines>
  <Paragraphs>10</Paragraphs>
  <ScaleCrop>false</ScaleCrop>
  <Company/>
  <LinksUpToDate>false</LinksUpToDate>
  <CharactersWithSpaces>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Markdown Example Document</dc:title>
  <dc:creator>Stephen Margheim</dc:creator>
  <cp:lastModifiedBy>Stephen Margheim</cp:lastModifiedBy>
  <cp:revision>3</cp:revision>
  <dcterms:created xsi:type="dcterms:W3CDTF">2014-07-31T23:40:00Z</dcterms:created>
  <dcterms:modified xsi:type="dcterms:W3CDTF">2014-08-01T05:09:00Z</dcterms:modified>
</cp:coreProperties>
</file>