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Gridlock Utility Project Overlap Tool</w:t>
      </w:r>
    </w:p>
    <w:p>
      <w:pPr>
        <w:spacing w:after="240"/>
      </w:pPr>
      <w:r>
        <w:rPr>
          <w:color w:val="45515D"/>
          <w:sz w:val="26"/>
        </w:rPr>
        <w:t>Full product and build plan for the ShellHacks 2026 challenge</w:t>
      </w:r>
    </w:p>
    <w:p>
      <w:pPr>
        <w:spacing w:after="80"/>
      </w:pPr>
      <w:r>
        <w:rPr>
          <w:color w:val="66717D"/>
          <w:sz w:val="18"/>
        </w:rPr>
        <w:t>Planning basis: public filings and challenge materials reviewed September 26, 2026</w:t>
      </w:r>
    </w:p>
    <w:p>
      <w:pPr>
        <w:pStyle w:val="Heading1"/>
      </w:pPr>
      <w:r>
        <w:t>Executive recommendation</w:t>
      </w:r>
    </w:p>
    <w:p>
      <w:r>
        <w:t>Build Gridlock as a public-data screening and research workflow for transmission planners. It should turn utility project filings into a traceable project register, resolve project locations with confidence labels, compare cross-utility project pairs, and rank coordination leads on a map. Its best differentiator is evidence quality: every point, date, and match links back to the source filing and page, while uncertain locations and schedules remain visibly uncertain.</w:t>
      </w:r>
    </w:p>
    <w:p>
      <w:r>
        <w:t>The supplied Georgia Power and Dominion Energy South Carolina workbook is a good test set, but it is not current enough to represent a live 2026 pipeline. It contains 10 projects and six cross-utility pairs within the challenge’s 25-mile rule. Its schedule field is a single in-service date, so it supports date-gap comparisons, not proof that construction periods overlap. Build the matcher to distinguish those two facts.</w:t>
      </w:r>
    </w:p>
    <w:p>
      <w:r>
        <w:t>The challenge aligns closely with the supplied Sperry Tech intern listing: that role emphasizes recurring data extraction, cleaning, validation, document parsing, metadata, and reliable internal tools. A well-sourced ETL workflow with visible checks is a stronger sponsor fit than a generic AI chatbot.</w:t>
      </w:r>
    </w:p>
    <w:p>
      <w:pPr>
        <w:pStyle w:val="Heading1"/>
      </w:pPr>
      <w:r>
        <w:t>1. Challenge and product objective</w:t>
      </w:r>
    </w:p>
    <w:p>
      <w:r>
        <w:t>Gridlock compares public future-construction plans from at least two neighboring utilities. It flags projects that are geographically close, scheduled in the same verified work window, or both. The challenge brief defines 25 miles as the geographic threshold and says geography is the primary signal, with timing as an important secondary signal. The interface must show both utilities on an interactive map and provide a ranked list of coordination opportunities. [1]</w:t>
      </w:r>
    </w:p>
    <w:p>
      <w:r>
        <w:t>The core user is a utility transmission planner, regional planning stakeholder, or project analyst preparing for a planning meeting. The useful output is a shortlist of project pairs to investigate, not a declaration that work can be combined. Nearby projects may not share a corridor, permit, equipment, outage, or engineering solution. Every opportunity needs an operator’s review.</w:t>
      </w:r>
    </w:p>
    <w:p>
      <w:pPr>
        <w:pStyle w:val="Heading1"/>
      </w:pPr>
      <w:r>
        <w:t>2. Current regulatory and utility context</w:t>
      </w:r>
    </w:p>
    <w:p>
      <w:r>
        <w:t>FERC issued Order No. 1920 on May 13, 2024, followed by rehearing orders 1920-A in November 2024 and 1920-B in April 2025. The rule’s operative focus is long-term regional transmission planning and cost allocation: at least three scenarios over a 20-year-or-longer horizon, refreshed at least every five years, with stronger state involvement and transparency. It is more precise to say the rule reforms regional planning than to say it directly requires utilities to share crews, equipment, or right-of-way. Gridlock should be presented as a screening aid that can help people find candidates for discussion, not a compliance product or a FERC-mandated resource-sharing system. [6]</w:t>
      </w:r>
    </w:p>
    <w:p>
      <w:r>
        <w:t>The regional calendar makes the problem timely. FERC’s published compliance schedule lists first SERTP and SCRTP Order 1920 filings due December 12, 2026, and second interregional coordination filings due February 12, 2027. SERTP’s official site lists 2026 stakeholder materials and a September 22, 2026 third-quarter meeting. Its current public notice says Dominion Energy South Carolina and Santee Cooper plan to join the SERTP process when Dominion’s Order 1920 compliance filing becomes effective. Do not infer an effective date from the filing deadline. [7–9]</w:t>
      </w:r>
    </w:p>
    <w:tbl>
      <w:tblPr>
        <w:tblW w:type="auto" w:w="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351"/>
        <w:gridCol w:w="3351"/>
        <w:gridCol w:w="3351"/>
      </w:tblGrid>
      <w:tr>
        <w:trPr>
          <w:tblHeader w:val="true"/>
        </w:trPr>
        <w:tc>
          <w:tcPr>
            <w:tcW w:type="dxa" w:w="2232"/>
            <w:vAlign w:val="center"/>
            <w:shd w:fill="233A54"/>
            <w:tcMar>
              <w:top w:w="110" w:type="dxa"/>
              <w:start w:w="95" w:type="dxa"/>
              <w:bottom w:w="110" w:type="dxa"/>
              <w:end w:w="95" w:type="dxa"/>
            </w:tcMar>
          </w:tcPr>
          <w:p>
            <w:pPr>
              <w:spacing w:after="0"/>
            </w:pPr>
            <w:r>
              <w:rPr>
                <w:rFonts w:ascii="Aptos" w:hAnsi="Aptos"/>
                <w:b/>
                <w:color w:val="FFFFFF"/>
                <w:sz w:val="16"/>
              </w:rPr>
              <w:t>Current public source</w:t>
            </w:r>
          </w:p>
        </w:tc>
        <w:tc>
          <w:tcPr>
            <w:tcW w:type="dxa" w:w="3816"/>
            <w:vAlign w:val="center"/>
            <w:shd w:fill="233A54"/>
            <w:tcMar>
              <w:top w:w="110" w:type="dxa"/>
              <w:start w:w="95" w:type="dxa"/>
              <w:bottom w:w="110" w:type="dxa"/>
              <w:end w:w="95" w:type="dxa"/>
            </w:tcMar>
          </w:tcPr>
          <w:p>
            <w:pPr>
              <w:spacing w:after="0"/>
            </w:pPr>
            <w:r>
              <w:rPr>
                <w:rFonts w:ascii="Aptos" w:hAnsi="Aptos"/>
                <w:b/>
                <w:color w:val="FFFFFF"/>
                <w:sz w:val="16"/>
              </w:rPr>
              <w:t>What it establishes</w:t>
            </w:r>
          </w:p>
        </w:tc>
        <w:tc>
          <w:tcPr>
            <w:tcW w:type="dxa" w:w="3960"/>
            <w:vAlign w:val="center"/>
            <w:shd w:fill="233A54"/>
            <w:tcMar>
              <w:top w:w="110" w:type="dxa"/>
              <w:start w:w="95" w:type="dxa"/>
              <w:bottom w:w="110" w:type="dxa"/>
              <w:end w:w="95" w:type="dxa"/>
            </w:tcMar>
          </w:tcPr>
          <w:p>
            <w:pPr>
              <w:spacing w:after="0"/>
            </w:pPr>
            <w:r>
              <w:rPr>
                <w:rFonts w:ascii="Aptos" w:hAnsi="Aptos"/>
                <w:b/>
                <w:color w:val="FFFFFF"/>
                <w:sz w:val="16"/>
              </w:rPr>
              <w:t>Product consequence</w:t>
            </w:r>
          </w:p>
        </w:tc>
      </w:tr>
      <w:tr>
        <w:trPr>
          <w:cantSplit/>
        </w:trPr>
        <w:tc>
          <w:tcPr>
            <w:tcW w:type="dxa" w:w="2232"/>
            <w:vAlign w:val="center"/>
            <w:tcMar>
              <w:top w:w="90" w:type="dxa"/>
              <w:start w:w="95" w:type="dxa"/>
              <w:bottom w:w="90" w:type="dxa"/>
              <w:end w:w="95" w:type="dxa"/>
            </w:tcMar>
          </w:tcPr>
          <w:p>
            <w:pPr>
              <w:spacing w:after="0" w:line="245" w:lineRule="auto"/>
            </w:pPr>
            <w:r>
              <w:rPr>
                <w:rFonts w:ascii="Aptos" w:hAnsi="Aptos"/>
                <w:color w:val="20252B"/>
                <w:sz w:val="16"/>
              </w:rPr>
              <w:t>Dominion Energy South Carolina</w:t>
            </w:r>
          </w:p>
        </w:tc>
        <w:tc>
          <w:tcPr>
            <w:tcW w:type="dxa" w:w="3816"/>
            <w:vAlign w:val="center"/>
            <w:tcMar>
              <w:top w:w="90" w:type="dxa"/>
              <w:start w:w="95" w:type="dxa"/>
              <w:bottom w:w="90" w:type="dxa"/>
              <w:end w:w="95" w:type="dxa"/>
            </w:tcMar>
          </w:tcPr>
          <w:p>
            <w:pPr>
              <w:spacing w:after="0" w:line="245" w:lineRule="auto"/>
            </w:pPr>
            <w:r>
              <w:rPr>
                <w:rFonts w:ascii="Aptos" w:hAnsi="Aptos"/>
                <w:color w:val="20252B"/>
                <w:sz w:val="16"/>
              </w:rPr>
              <w:t>A 2025–2029 project-description filing is posted; a 2026 IRP was filed in South Carolina docket 2026-9-E on March 31, 2026.</w:t>
            </w:r>
          </w:p>
        </w:tc>
        <w:tc>
          <w:tcPr>
            <w:tcW w:type="dxa" w:w="3960"/>
            <w:vAlign w:val="center"/>
            <w:tcMar>
              <w:top w:w="90" w:type="dxa"/>
              <w:start w:w="95" w:type="dxa"/>
              <w:bottom w:w="90" w:type="dxa"/>
              <w:end w:w="95" w:type="dxa"/>
            </w:tcMar>
          </w:tcPr>
          <w:p>
            <w:pPr>
              <w:spacing w:after="0" w:line="245" w:lineRule="auto"/>
            </w:pPr>
            <w:r>
              <w:rPr>
                <w:rFonts w:ascii="Aptos" w:hAnsi="Aptos"/>
                <w:color w:val="20252B"/>
                <w:sz w:val="16"/>
              </w:rPr>
              <w:t>Refresh the challenge’s older 2024–2028 list. Preserve filing date, docket, version, page, status, and source link.</w:t>
            </w:r>
          </w:p>
        </w:tc>
      </w:tr>
      <w:tr>
        <w:trPr>
          <w:cantSplit/>
        </w:trPr>
        <w:tc>
          <w:tcPr>
            <w:tcW w:type="dxa" w:w="2232"/>
            <w:vAlign w:val="center"/>
            <w:tcMar>
              <w:top w:w="90" w:type="dxa"/>
              <w:start w:w="95" w:type="dxa"/>
              <w:bottom w:w="90" w:type="dxa"/>
              <w:end w:w="95" w:type="dxa"/>
            </w:tcMar>
            <w:shd w:fill="F1F5F8"/>
          </w:tcPr>
          <w:p>
            <w:pPr>
              <w:spacing w:after="0" w:line="245" w:lineRule="auto"/>
            </w:pPr>
            <w:r>
              <w:rPr>
                <w:rFonts w:ascii="Aptos" w:hAnsi="Aptos"/>
                <w:color w:val="20252B"/>
                <w:sz w:val="16"/>
              </w:rPr>
              <w:t>Georgia Power</w:t>
            </w:r>
          </w:p>
        </w:tc>
        <w:tc>
          <w:tcPr>
            <w:tcW w:type="dxa" w:w="3816"/>
            <w:vAlign w:val="center"/>
            <w:tcMar>
              <w:top w:w="90" w:type="dxa"/>
              <w:start w:w="95" w:type="dxa"/>
              <w:bottom w:w="90" w:type="dxa"/>
              <w:end w:w="95" w:type="dxa"/>
            </w:tcMar>
            <w:shd w:fill="F1F5F8"/>
          </w:tcPr>
          <w:p>
            <w:pPr>
              <w:spacing w:after="0" w:line="245" w:lineRule="auto"/>
            </w:pPr>
            <w:r>
              <w:rPr>
                <w:rFonts w:ascii="Aptos" w:hAnsi="Aptos"/>
                <w:color w:val="20252B"/>
                <w:sz w:val="16"/>
              </w:rPr>
              <w:t>The 2025 IRP was approved July 15, 2025 and includes a 10-year transmission plan spanning more than 1,000 line-miles.</w:t>
            </w:r>
          </w:p>
        </w:tc>
        <w:tc>
          <w:tcPr>
            <w:tcW w:type="dxa" w:w="3960"/>
            <w:vAlign w:val="center"/>
            <w:tcMar>
              <w:top w:w="90" w:type="dxa"/>
              <w:start w:w="95" w:type="dxa"/>
              <w:bottom w:w="90" w:type="dxa"/>
              <w:end w:w="95" w:type="dxa"/>
            </w:tcMar>
            <w:shd w:fill="F1F5F8"/>
          </w:tcPr>
          <w:p>
            <w:pPr>
              <w:spacing w:after="0" w:line="245" w:lineRule="auto"/>
            </w:pPr>
            <w:r>
              <w:rPr>
                <w:rFonts w:ascii="Aptos" w:hAnsi="Aptos"/>
                <w:color w:val="20252B"/>
                <w:sz w:val="16"/>
              </w:rPr>
              <w:t>Use the approved IRP and Georgia PSC docket as current sources; treat the supplied 2025 Volume 3 as a December 2024 snapshot.</w:t>
            </w:r>
          </w:p>
        </w:tc>
      </w:tr>
      <w:tr>
        <w:trPr>
          <w:cantSplit/>
        </w:trPr>
        <w:tc>
          <w:tcPr>
            <w:tcW w:type="dxa" w:w="2232"/>
            <w:vAlign w:val="center"/>
            <w:tcMar>
              <w:top w:w="90" w:type="dxa"/>
              <w:start w:w="95" w:type="dxa"/>
              <w:bottom w:w="90" w:type="dxa"/>
              <w:end w:w="95" w:type="dxa"/>
            </w:tcMar>
          </w:tcPr>
          <w:p>
            <w:pPr>
              <w:spacing w:after="0" w:line="245" w:lineRule="auto"/>
            </w:pPr>
            <w:r>
              <w:rPr>
                <w:rFonts w:ascii="Aptos" w:hAnsi="Aptos"/>
                <w:color w:val="20252B"/>
                <w:sz w:val="16"/>
              </w:rPr>
              <w:t>SERTP</w:t>
            </w:r>
          </w:p>
        </w:tc>
        <w:tc>
          <w:tcPr>
            <w:tcW w:type="dxa" w:w="3816"/>
            <w:vAlign w:val="center"/>
            <w:tcMar>
              <w:top w:w="90" w:type="dxa"/>
              <w:start w:w="95" w:type="dxa"/>
              <w:bottom w:w="90" w:type="dxa"/>
              <w:end w:w="95" w:type="dxa"/>
            </w:tcMar>
          </w:tcPr>
          <w:p>
            <w:pPr>
              <w:spacing w:after="0" w:line="245" w:lineRule="auto"/>
            </w:pPr>
            <w:r>
              <w:rPr>
                <w:rFonts w:ascii="Aptos" w:hAnsi="Aptos"/>
                <w:color w:val="20252B"/>
                <w:sz w:val="16"/>
              </w:rPr>
              <w:t>The region posts 2025 final reports and 2026 planning/stakeholder materials, including a report identified as Non-CEII.</w:t>
            </w:r>
          </w:p>
        </w:tc>
        <w:tc>
          <w:tcPr>
            <w:tcW w:type="dxa" w:w="3960"/>
            <w:vAlign w:val="center"/>
            <w:tcMar>
              <w:top w:w="90" w:type="dxa"/>
              <w:start w:w="95" w:type="dxa"/>
              <w:bottom w:w="90" w:type="dxa"/>
              <w:end w:w="95" w:type="dxa"/>
            </w:tcMar>
          </w:tcPr>
          <w:p>
            <w:pPr>
              <w:spacing w:after="0" w:line="245" w:lineRule="auto"/>
            </w:pPr>
            <w:r>
              <w:rPr>
                <w:rFonts w:ascii="Aptos" w:hAnsi="Aptos"/>
                <w:color w:val="20252B"/>
                <w:sz w:val="16"/>
              </w:rPr>
              <w:t>Monitor public regional documents as a source alongside utility filings; reject any material marked CEII or restricted.</w:t>
            </w:r>
          </w:p>
        </w:tc>
      </w:tr>
    </w:tbl>
    <w:p>
      <w:pPr>
        <w:spacing w:after="20"/>
      </w:pPr>
    </w:p>
    <w:p>
      <w:pPr>
        <w:pStyle w:val="Heading1"/>
      </w:pPr>
      <w:r>
        <w:t>3. What the supplied project data shows</w:t>
      </w:r>
    </w:p>
    <w:p>
      <w:r>
        <w:t>The workbook has five Dominion Energy South Carolina projects and five Georgia Power projects: 25 possible cross-utility pairs. Calculating distance from its center-coordinate columns reproduces the six pairs under 25 miles and 19 pairs above the cutoff, matching the overlap sheet. These are centerpoint screening results, not proof that a project pair is physically compatible. [2, 3]</w:t>
      </w:r>
    </w:p>
    <w:p>
      <w:r>
        <w:t>The six workbook distances and in-service-date gaps are below. The date gap is the absolute difference between planned in-service dates. It is only a timing clue. It does not establish when field construction starts or ends.</w:t>
      </w:r>
    </w:p>
    <w:tbl>
      <w:tblPr>
        <w:tblW w:type="auto" w:w="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513"/>
        <w:gridCol w:w="2513"/>
        <w:gridCol w:w="2513"/>
        <w:gridCol w:w="2513"/>
      </w:tblGrid>
      <w:tr>
        <w:trPr>
          <w:tblHeader w:val="true"/>
        </w:trPr>
        <w:tc>
          <w:tcPr>
            <w:tcW w:type="dxa" w:w="3960"/>
            <w:vAlign w:val="center"/>
            <w:shd w:fill="233A54"/>
            <w:tcMar>
              <w:top w:w="110" w:type="dxa"/>
              <w:start w:w="95" w:type="dxa"/>
              <w:bottom w:w="110" w:type="dxa"/>
              <w:end w:w="95" w:type="dxa"/>
            </w:tcMar>
          </w:tcPr>
          <w:p>
            <w:pPr>
              <w:spacing w:after="0"/>
            </w:pPr>
            <w:r>
              <w:rPr>
                <w:rFonts w:ascii="Aptos" w:hAnsi="Aptos"/>
                <w:b/>
                <w:color w:val="FFFFFF"/>
                <w:sz w:val="15"/>
              </w:rPr>
              <w:t>Pair from workbook</w:t>
            </w:r>
          </w:p>
        </w:tc>
        <w:tc>
          <w:tcPr>
            <w:tcW w:type="dxa" w:w="936"/>
            <w:vAlign w:val="center"/>
            <w:shd w:fill="233A54"/>
            <w:tcMar>
              <w:top w:w="110" w:type="dxa"/>
              <w:start w:w="95" w:type="dxa"/>
              <w:bottom w:w="110" w:type="dxa"/>
              <w:end w:w="95" w:type="dxa"/>
            </w:tcMar>
          </w:tcPr>
          <w:p>
            <w:pPr>
              <w:spacing w:after="0"/>
            </w:pPr>
            <w:r>
              <w:rPr>
                <w:rFonts w:ascii="Aptos" w:hAnsi="Aptos"/>
                <w:b/>
                <w:color w:val="FFFFFF"/>
                <w:sz w:val="15"/>
              </w:rPr>
              <w:t>Distance</w:t>
            </w:r>
          </w:p>
        </w:tc>
        <w:tc>
          <w:tcPr>
            <w:tcW w:type="dxa" w:w="1195"/>
            <w:vAlign w:val="center"/>
            <w:shd w:fill="233A54"/>
            <w:tcMar>
              <w:top w:w="110" w:type="dxa"/>
              <w:start w:w="95" w:type="dxa"/>
              <w:bottom w:w="110" w:type="dxa"/>
              <w:end w:w="95" w:type="dxa"/>
            </w:tcMar>
          </w:tcPr>
          <w:p>
            <w:pPr>
              <w:spacing w:after="0"/>
            </w:pPr>
            <w:r>
              <w:rPr>
                <w:rFonts w:ascii="Aptos" w:hAnsi="Aptos"/>
                <w:b/>
                <w:color w:val="FFFFFF"/>
                <w:sz w:val="15"/>
              </w:rPr>
              <w:t>In-service gap</w:t>
            </w:r>
          </w:p>
        </w:tc>
        <w:tc>
          <w:tcPr>
            <w:tcW w:type="dxa" w:w="3917"/>
            <w:vAlign w:val="center"/>
            <w:shd w:fill="233A54"/>
            <w:tcMar>
              <w:top w:w="110" w:type="dxa"/>
              <w:start w:w="95" w:type="dxa"/>
              <w:bottom w:w="110" w:type="dxa"/>
              <w:end w:w="95" w:type="dxa"/>
            </w:tcMar>
          </w:tcPr>
          <w:p>
            <w:pPr>
              <w:spacing w:after="0"/>
            </w:pPr>
            <w:r>
              <w:rPr>
                <w:rFonts w:ascii="Aptos" w:hAnsi="Aptos"/>
                <w:b/>
                <w:color w:val="FFFFFF"/>
                <w:sz w:val="15"/>
              </w:rPr>
              <w:t>Initial read</w:t>
            </w:r>
          </w:p>
        </w:tc>
      </w:tr>
      <w:tr>
        <w:trPr>
          <w:cantSplit/>
        </w:trPr>
        <w:tc>
          <w:tcPr>
            <w:tcW w:type="dxa" w:w="3960"/>
            <w:vAlign w:val="center"/>
            <w:tcMar>
              <w:top w:w="90" w:type="dxa"/>
              <w:start w:w="95" w:type="dxa"/>
              <w:bottom w:w="90" w:type="dxa"/>
              <w:end w:w="95" w:type="dxa"/>
            </w:tcMar>
          </w:tcPr>
          <w:p>
            <w:pPr>
              <w:spacing w:after="0" w:line="245" w:lineRule="auto"/>
            </w:pPr>
            <w:r>
              <w:rPr>
                <w:rFonts w:ascii="Aptos" w:hAnsi="Aptos"/>
                <w:color w:val="20252B"/>
                <w:sz w:val="15"/>
              </w:rPr>
              <w:t>DESC_3 Jasper–Okatie #2 / GPC_2 McIntosh–Purrysburg reactors</w:t>
            </w:r>
          </w:p>
        </w:tc>
        <w:tc>
          <w:tcPr>
            <w:tcW w:type="dxa" w:w="936"/>
            <w:vAlign w:val="center"/>
            <w:tcMar>
              <w:top w:w="90" w:type="dxa"/>
              <w:start w:w="95" w:type="dxa"/>
              <w:bottom w:w="90" w:type="dxa"/>
              <w:end w:w="95" w:type="dxa"/>
            </w:tcMar>
          </w:tcPr>
          <w:p>
            <w:pPr>
              <w:spacing w:after="0" w:line="245" w:lineRule="auto"/>
            </w:pPr>
            <w:r>
              <w:rPr>
                <w:rFonts w:ascii="Aptos" w:hAnsi="Aptos"/>
                <w:color w:val="20252B"/>
                <w:sz w:val="15"/>
              </w:rPr>
              <w:t>5.65 mi</w:t>
            </w:r>
          </w:p>
        </w:tc>
        <w:tc>
          <w:tcPr>
            <w:tcW w:type="dxa" w:w="1195"/>
            <w:vAlign w:val="center"/>
            <w:tcMar>
              <w:top w:w="90" w:type="dxa"/>
              <w:start w:w="95" w:type="dxa"/>
              <w:bottom w:w="90" w:type="dxa"/>
              <w:end w:w="95" w:type="dxa"/>
            </w:tcMar>
          </w:tcPr>
          <w:p>
            <w:pPr>
              <w:spacing w:after="0" w:line="245" w:lineRule="auto"/>
            </w:pPr>
            <w:r>
              <w:rPr>
                <w:rFonts w:ascii="Aptos" w:hAnsi="Aptos"/>
                <w:color w:val="20252B"/>
                <w:sz w:val="15"/>
              </w:rPr>
              <w:t>152 days</w:t>
            </w:r>
          </w:p>
        </w:tc>
        <w:tc>
          <w:tcPr>
            <w:tcW w:type="dxa" w:w="3917"/>
            <w:vAlign w:val="center"/>
            <w:tcMar>
              <w:top w:w="90" w:type="dxa"/>
              <w:start w:w="95" w:type="dxa"/>
              <w:bottom w:w="90" w:type="dxa"/>
              <w:end w:w="95" w:type="dxa"/>
            </w:tcMar>
          </w:tcPr>
          <w:p>
            <w:pPr>
              <w:spacing w:after="0" w:line="245" w:lineRule="auto"/>
            </w:pPr>
            <w:r>
              <w:rPr>
                <w:rFonts w:ascii="Aptos" w:hAnsi="Aptos"/>
                <w:color w:val="20252B"/>
                <w:sz w:val="15"/>
              </w:rPr>
              <w:t>Best first review: close locations and close dates; verify actual work windows and assets.</w:t>
            </w:r>
          </w:p>
        </w:tc>
      </w:tr>
      <w:tr>
        <w:trPr>
          <w:cantSplit/>
        </w:trPr>
        <w:tc>
          <w:tcPr>
            <w:tcW w:type="dxa" w:w="3960"/>
            <w:vAlign w:val="center"/>
            <w:tcMar>
              <w:top w:w="90" w:type="dxa"/>
              <w:start w:w="95" w:type="dxa"/>
              <w:bottom w:w="90" w:type="dxa"/>
              <w:end w:w="95" w:type="dxa"/>
            </w:tcMar>
            <w:shd w:fill="F1F5F8"/>
          </w:tcPr>
          <w:p>
            <w:pPr>
              <w:spacing w:after="0" w:line="245" w:lineRule="auto"/>
            </w:pPr>
            <w:r>
              <w:rPr>
                <w:rFonts w:ascii="Aptos" w:hAnsi="Aptos"/>
                <w:color w:val="20252B"/>
                <w:sz w:val="15"/>
              </w:rPr>
              <w:t>DESC_3 Jasper–Okatie #2 / GPC_3 Goshen–McIntosh rebuild</w:t>
            </w:r>
          </w:p>
        </w:tc>
        <w:tc>
          <w:tcPr>
            <w:tcW w:type="dxa" w:w="936"/>
            <w:vAlign w:val="center"/>
            <w:tcMar>
              <w:top w:w="90" w:type="dxa"/>
              <w:start w:w="95" w:type="dxa"/>
              <w:bottom w:w="90" w:type="dxa"/>
              <w:end w:w="95" w:type="dxa"/>
            </w:tcMar>
            <w:shd w:fill="F1F5F8"/>
          </w:tcPr>
          <w:p>
            <w:pPr>
              <w:spacing w:after="0" w:line="245" w:lineRule="auto"/>
            </w:pPr>
            <w:r>
              <w:rPr>
                <w:rFonts w:ascii="Aptos" w:hAnsi="Aptos"/>
                <w:color w:val="20252B"/>
                <w:sz w:val="15"/>
              </w:rPr>
              <w:t>7.55 mi</w:t>
            </w:r>
          </w:p>
        </w:tc>
        <w:tc>
          <w:tcPr>
            <w:tcW w:type="dxa" w:w="1195"/>
            <w:vAlign w:val="center"/>
            <w:tcMar>
              <w:top w:w="90" w:type="dxa"/>
              <w:start w:w="95" w:type="dxa"/>
              <w:bottom w:w="90" w:type="dxa"/>
              <w:end w:w="95" w:type="dxa"/>
            </w:tcMar>
            <w:shd w:fill="F1F5F8"/>
          </w:tcPr>
          <w:p>
            <w:pPr>
              <w:spacing w:after="0" w:line="245" w:lineRule="auto"/>
            </w:pPr>
            <w:r>
              <w:rPr>
                <w:rFonts w:ascii="Aptos" w:hAnsi="Aptos"/>
                <w:color w:val="20252B"/>
                <w:sz w:val="15"/>
              </w:rPr>
              <w:t>517 days</w:t>
            </w:r>
          </w:p>
        </w:tc>
        <w:tc>
          <w:tcPr>
            <w:tcW w:type="dxa" w:w="3917"/>
            <w:vAlign w:val="center"/>
            <w:tcMar>
              <w:top w:w="90" w:type="dxa"/>
              <w:start w:w="95" w:type="dxa"/>
              <w:bottom w:w="90" w:type="dxa"/>
              <w:end w:w="95" w:type="dxa"/>
            </w:tcMar>
            <w:shd w:fill="F1F5F8"/>
          </w:tcPr>
          <w:p>
            <w:pPr>
              <w:spacing w:after="0" w:line="245" w:lineRule="auto"/>
            </w:pPr>
            <w:r>
              <w:rPr>
                <w:rFonts w:ascii="Aptos" w:hAnsi="Aptos"/>
                <w:color w:val="20252B"/>
                <w:sz w:val="15"/>
              </w:rPr>
              <w:t>Strong geographic lead; construction timing remains unverified.</w:t>
            </w:r>
          </w:p>
        </w:tc>
      </w:tr>
      <w:tr>
        <w:trPr>
          <w:cantSplit/>
        </w:trPr>
        <w:tc>
          <w:tcPr>
            <w:tcW w:type="dxa" w:w="3960"/>
            <w:vAlign w:val="center"/>
            <w:tcMar>
              <w:top w:w="90" w:type="dxa"/>
              <w:start w:w="95" w:type="dxa"/>
              <w:bottom w:w="90" w:type="dxa"/>
              <w:end w:w="95" w:type="dxa"/>
            </w:tcMar>
          </w:tcPr>
          <w:p>
            <w:pPr>
              <w:spacing w:after="0" w:line="245" w:lineRule="auto"/>
            </w:pPr>
            <w:r>
              <w:rPr>
                <w:rFonts w:ascii="Aptos" w:hAnsi="Aptos"/>
                <w:color w:val="20252B"/>
                <w:sz w:val="15"/>
              </w:rPr>
              <w:t>DESC_5 Okatie–Bluffton / GPC_2 McIntosh–Purrysburg reactors</w:t>
            </w:r>
          </w:p>
        </w:tc>
        <w:tc>
          <w:tcPr>
            <w:tcW w:type="dxa" w:w="936"/>
            <w:vAlign w:val="center"/>
            <w:tcMar>
              <w:top w:w="90" w:type="dxa"/>
              <w:start w:w="95" w:type="dxa"/>
              <w:bottom w:w="90" w:type="dxa"/>
              <w:end w:w="95" w:type="dxa"/>
            </w:tcMar>
          </w:tcPr>
          <w:p>
            <w:pPr>
              <w:spacing w:after="0" w:line="245" w:lineRule="auto"/>
            </w:pPr>
            <w:r>
              <w:rPr>
                <w:rFonts w:ascii="Aptos" w:hAnsi="Aptos"/>
                <w:color w:val="20252B"/>
                <w:sz w:val="15"/>
              </w:rPr>
              <w:t>14.34 mi</w:t>
            </w:r>
          </w:p>
        </w:tc>
        <w:tc>
          <w:tcPr>
            <w:tcW w:type="dxa" w:w="1195"/>
            <w:vAlign w:val="center"/>
            <w:tcMar>
              <w:top w:w="90" w:type="dxa"/>
              <w:start w:w="95" w:type="dxa"/>
              <w:bottom w:w="90" w:type="dxa"/>
              <w:end w:w="95" w:type="dxa"/>
            </w:tcMar>
          </w:tcPr>
          <w:p>
            <w:pPr>
              <w:spacing w:after="0" w:line="245" w:lineRule="auto"/>
            </w:pPr>
            <w:r>
              <w:rPr>
                <w:rFonts w:ascii="Aptos" w:hAnsi="Aptos"/>
                <w:color w:val="20252B"/>
                <w:sz w:val="15"/>
              </w:rPr>
              <w:t>365 days</w:t>
            </w:r>
          </w:p>
        </w:tc>
        <w:tc>
          <w:tcPr>
            <w:tcW w:type="dxa" w:w="3917"/>
            <w:vAlign w:val="center"/>
            <w:tcMar>
              <w:top w:w="90" w:type="dxa"/>
              <w:start w:w="95" w:type="dxa"/>
              <w:bottom w:w="90" w:type="dxa"/>
              <w:end w:w="95" w:type="dxa"/>
            </w:tcMar>
          </w:tcPr>
          <w:p>
            <w:pPr>
              <w:spacing w:after="0" w:line="245" w:lineRule="auto"/>
            </w:pPr>
            <w:r>
              <w:rPr>
                <w:rFonts w:ascii="Aptos" w:hAnsi="Aptos"/>
                <w:color w:val="20252B"/>
                <w:sz w:val="15"/>
              </w:rPr>
              <w:t>Geographic lead with one-year in-service-date gap; verify scope and work period.</w:t>
            </w:r>
          </w:p>
        </w:tc>
      </w:tr>
      <w:tr>
        <w:trPr>
          <w:cantSplit/>
        </w:trPr>
        <w:tc>
          <w:tcPr>
            <w:tcW w:type="dxa" w:w="3960"/>
            <w:vAlign w:val="center"/>
            <w:tcMar>
              <w:top w:w="90" w:type="dxa"/>
              <w:start w:w="95" w:type="dxa"/>
              <w:bottom w:w="90" w:type="dxa"/>
              <w:end w:w="95" w:type="dxa"/>
            </w:tcMar>
            <w:shd w:fill="F1F5F8"/>
          </w:tcPr>
          <w:p>
            <w:pPr>
              <w:spacing w:after="0" w:line="245" w:lineRule="auto"/>
            </w:pPr>
            <w:r>
              <w:rPr>
                <w:rFonts w:ascii="Aptos" w:hAnsi="Aptos"/>
                <w:color w:val="20252B"/>
                <w:sz w:val="15"/>
              </w:rPr>
              <w:t>DESC_5 Okatie–Bluffton / GPC_3 Goshen–McIntosh rebuild</w:t>
            </w:r>
          </w:p>
        </w:tc>
        <w:tc>
          <w:tcPr>
            <w:tcW w:type="dxa" w:w="936"/>
            <w:vAlign w:val="center"/>
            <w:tcMar>
              <w:top w:w="90" w:type="dxa"/>
              <w:start w:w="95" w:type="dxa"/>
              <w:bottom w:w="90" w:type="dxa"/>
              <w:end w:w="95" w:type="dxa"/>
            </w:tcMar>
            <w:shd w:fill="F1F5F8"/>
          </w:tcPr>
          <w:p>
            <w:pPr>
              <w:spacing w:after="0" w:line="245" w:lineRule="auto"/>
            </w:pPr>
            <w:r>
              <w:rPr>
                <w:rFonts w:ascii="Aptos" w:hAnsi="Aptos"/>
                <w:color w:val="20252B"/>
                <w:sz w:val="15"/>
              </w:rPr>
              <w:t>14.81 mi</w:t>
            </w:r>
          </w:p>
        </w:tc>
        <w:tc>
          <w:tcPr>
            <w:tcW w:type="dxa" w:w="1195"/>
            <w:vAlign w:val="center"/>
            <w:tcMar>
              <w:top w:w="90" w:type="dxa"/>
              <w:start w:w="95" w:type="dxa"/>
              <w:bottom w:w="90" w:type="dxa"/>
              <w:end w:w="95" w:type="dxa"/>
            </w:tcMar>
            <w:shd w:fill="F1F5F8"/>
          </w:tcPr>
          <w:p>
            <w:pPr>
              <w:spacing w:after="0" w:line="245" w:lineRule="auto"/>
            </w:pPr>
            <w:r>
              <w:rPr>
                <w:rFonts w:ascii="Aptos" w:hAnsi="Aptos"/>
                <w:color w:val="20252B"/>
                <w:sz w:val="15"/>
              </w:rPr>
              <w:t>730 days</w:t>
            </w:r>
          </w:p>
        </w:tc>
        <w:tc>
          <w:tcPr>
            <w:tcW w:type="dxa" w:w="3917"/>
            <w:vAlign w:val="center"/>
            <w:tcMar>
              <w:top w:w="90" w:type="dxa"/>
              <w:start w:w="95" w:type="dxa"/>
              <w:bottom w:w="90" w:type="dxa"/>
              <w:end w:w="95" w:type="dxa"/>
            </w:tcMar>
            <w:shd w:fill="F1F5F8"/>
          </w:tcPr>
          <w:p>
            <w:pPr>
              <w:spacing w:after="0" w:line="245" w:lineRule="auto"/>
            </w:pPr>
            <w:r>
              <w:rPr>
                <w:rFonts w:ascii="Aptos" w:hAnsi="Aptos"/>
                <w:color w:val="20252B"/>
                <w:sz w:val="15"/>
              </w:rPr>
              <w:t>Geographic lead with two-year date gap; timing signal is weak.</w:t>
            </w:r>
          </w:p>
        </w:tc>
      </w:tr>
      <w:tr>
        <w:trPr>
          <w:cantSplit/>
        </w:trPr>
        <w:tc>
          <w:tcPr>
            <w:tcW w:type="dxa" w:w="3960"/>
            <w:vAlign w:val="center"/>
            <w:tcMar>
              <w:top w:w="90" w:type="dxa"/>
              <w:start w:w="95" w:type="dxa"/>
              <w:bottom w:w="90" w:type="dxa"/>
              <w:end w:w="95" w:type="dxa"/>
            </w:tcMar>
          </w:tcPr>
          <w:p>
            <w:pPr>
              <w:spacing w:after="0" w:line="245" w:lineRule="auto"/>
            </w:pPr>
            <w:r>
              <w:rPr>
                <w:rFonts w:ascii="Aptos" w:hAnsi="Aptos"/>
                <w:color w:val="20252B"/>
                <w:sz w:val="15"/>
              </w:rPr>
              <w:t>DESC_2 Hooks–Thurmond tie / GPC_1 Evans–Thurmond rebuild</w:t>
            </w:r>
          </w:p>
        </w:tc>
        <w:tc>
          <w:tcPr>
            <w:tcW w:type="dxa" w:w="936"/>
            <w:vAlign w:val="center"/>
            <w:tcMar>
              <w:top w:w="90" w:type="dxa"/>
              <w:start w:w="95" w:type="dxa"/>
              <w:bottom w:w="90" w:type="dxa"/>
              <w:end w:w="95" w:type="dxa"/>
            </w:tcMar>
          </w:tcPr>
          <w:p>
            <w:pPr>
              <w:spacing w:after="0" w:line="245" w:lineRule="auto"/>
            </w:pPr>
            <w:r>
              <w:rPr>
                <w:rFonts w:ascii="Aptos" w:hAnsi="Aptos"/>
                <w:color w:val="20252B"/>
                <w:sz w:val="15"/>
              </w:rPr>
              <w:t>4.09 mi</w:t>
            </w:r>
          </w:p>
        </w:tc>
        <w:tc>
          <w:tcPr>
            <w:tcW w:type="dxa" w:w="1195"/>
            <w:vAlign w:val="center"/>
            <w:tcMar>
              <w:top w:w="90" w:type="dxa"/>
              <w:start w:w="95" w:type="dxa"/>
              <w:bottom w:w="90" w:type="dxa"/>
              <w:end w:w="95" w:type="dxa"/>
            </w:tcMar>
          </w:tcPr>
          <w:p>
            <w:pPr>
              <w:spacing w:after="0" w:line="245" w:lineRule="auto"/>
            </w:pPr>
            <w:r>
              <w:rPr>
                <w:rFonts w:ascii="Aptos" w:hAnsi="Aptos"/>
                <w:color w:val="20252B"/>
                <w:sz w:val="15"/>
              </w:rPr>
              <w:t>3,074 days</w:t>
            </w:r>
          </w:p>
        </w:tc>
        <w:tc>
          <w:tcPr>
            <w:tcW w:type="dxa" w:w="3917"/>
            <w:vAlign w:val="center"/>
            <w:tcMar>
              <w:top w:w="90" w:type="dxa"/>
              <w:start w:w="95" w:type="dxa"/>
              <w:bottom w:w="90" w:type="dxa"/>
              <w:end w:w="95" w:type="dxa"/>
            </w:tcMar>
          </w:tcPr>
          <w:p>
            <w:pPr>
              <w:spacing w:after="0" w:line="245" w:lineRule="auto"/>
            </w:pPr>
            <w:r>
              <w:rPr>
                <w:rFonts w:ascii="Aptos" w:hAnsi="Aptos"/>
                <w:color w:val="20252B"/>
                <w:sz w:val="15"/>
              </w:rPr>
              <w:t>Closest pair, but dates are about 8.4 years apart; present as geography-only.</w:t>
            </w:r>
          </w:p>
        </w:tc>
      </w:tr>
      <w:tr>
        <w:trPr>
          <w:cantSplit/>
        </w:trPr>
        <w:tc>
          <w:tcPr>
            <w:tcW w:type="dxa" w:w="3960"/>
            <w:vAlign w:val="center"/>
            <w:tcMar>
              <w:top w:w="90" w:type="dxa"/>
              <w:start w:w="95" w:type="dxa"/>
              <w:bottom w:w="90" w:type="dxa"/>
              <w:end w:w="95" w:type="dxa"/>
            </w:tcMar>
            <w:shd w:fill="F1F5F8"/>
          </w:tcPr>
          <w:p>
            <w:pPr>
              <w:spacing w:after="0" w:line="245" w:lineRule="auto"/>
            </w:pPr>
            <w:r>
              <w:rPr>
                <w:rFonts w:ascii="Aptos" w:hAnsi="Aptos"/>
                <w:color w:val="20252B"/>
                <w:sz w:val="15"/>
              </w:rPr>
              <w:t>DESC_1 Stevens Creek–Hooks / GPC_1 Evans–Thurmond rebuild</w:t>
            </w:r>
          </w:p>
        </w:tc>
        <w:tc>
          <w:tcPr>
            <w:tcW w:type="dxa" w:w="936"/>
            <w:vAlign w:val="center"/>
            <w:tcMar>
              <w:top w:w="90" w:type="dxa"/>
              <w:start w:w="95" w:type="dxa"/>
              <w:bottom w:w="90" w:type="dxa"/>
              <w:end w:w="95" w:type="dxa"/>
            </w:tcMar>
            <w:shd w:fill="F1F5F8"/>
          </w:tcPr>
          <w:p>
            <w:pPr>
              <w:spacing w:after="0" w:line="245" w:lineRule="auto"/>
            </w:pPr>
            <w:r>
              <w:rPr>
                <w:rFonts w:ascii="Aptos" w:hAnsi="Aptos"/>
                <w:color w:val="20252B"/>
                <w:sz w:val="15"/>
              </w:rPr>
              <w:t>8.01 mi</w:t>
            </w:r>
          </w:p>
        </w:tc>
        <w:tc>
          <w:tcPr>
            <w:tcW w:type="dxa" w:w="1195"/>
            <w:vAlign w:val="center"/>
            <w:tcMar>
              <w:top w:w="90" w:type="dxa"/>
              <w:start w:w="95" w:type="dxa"/>
              <w:bottom w:w="90" w:type="dxa"/>
              <w:end w:w="95" w:type="dxa"/>
            </w:tcMar>
            <w:shd w:fill="F1F5F8"/>
          </w:tcPr>
          <w:p>
            <w:pPr>
              <w:spacing w:after="0" w:line="245" w:lineRule="auto"/>
            </w:pPr>
            <w:r>
              <w:rPr>
                <w:rFonts w:ascii="Aptos" w:hAnsi="Aptos"/>
                <w:color w:val="20252B"/>
                <w:sz w:val="15"/>
              </w:rPr>
              <w:t>3,074 days</w:t>
            </w:r>
          </w:p>
        </w:tc>
        <w:tc>
          <w:tcPr>
            <w:tcW w:type="dxa" w:w="3917"/>
            <w:vAlign w:val="center"/>
            <w:tcMar>
              <w:top w:w="90" w:type="dxa"/>
              <w:start w:w="95" w:type="dxa"/>
              <w:bottom w:w="90" w:type="dxa"/>
              <w:end w:w="95" w:type="dxa"/>
            </w:tcMar>
            <w:shd w:fill="F1F5F8"/>
          </w:tcPr>
          <w:p>
            <w:pPr>
              <w:spacing w:after="0" w:line="245" w:lineRule="auto"/>
            </w:pPr>
            <w:r>
              <w:rPr>
                <w:rFonts w:ascii="Aptos" w:hAnsi="Aptos"/>
                <w:color w:val="20252B"/>
                <w:sz w:val="15"/>
              </w:rPr>
              <w:t>Geographic lead; large date gap and uncertain endpoint coordinates.</w:t>
            </w:r>
          </w:p>
        </w:tc>
      </w:tr>
    </w:tbl>
    <w:p>
      <w:pPr>
        <w:spacing w:after="20"/>
      </w:pPr>
    </w:p>
    <w:p>
      <w:r>
        <w:t>The pair order above is a human-review queue, not a savings ranking. The 4.09-mile pair is the closest spatially but may be less actionable than the 5.65-mile pair because its in-service dates are far apart. Report distance and time separately so a single score cannot hide that difference.</w:t>
      </w:r>
    </w:p>
    <w:p>
      <w:r>
        <w:t>Data quality needs work before treating any point as authoritative. Several endpoint coordinate cells in the workbook are blank; some project centers therefore use only one located endpoint. The source documents list assets by name but do not provide a consistent GIS geometry for every planned line. The attached project descriptions cover 2024–2028, and the Georgia Power Volume 3 says its plan is a snapshot as of December 2024. Some in-service dates are already past as of September 2026. Current filings must replace or update those records before the product is described as a future-project monitor.</w:t>
      </w:r>
    </w:p>
    <w:p>
      <w:pPr>
        <w:pStyle w:val="Heading1"/>
      </w:pPr>
      <w:r>
        <w:t>4. Product workflow and required screens</w:t>
      </w:r>
    </w:p>
    <w:p>
      <w:pPr>
        <w:pStyle w:val="ListNumber"/>
      </w:pPr>
      <w:r>
        <w:t>Choose a utility pair and planning horizon. Show the source documents, filing dates, and the last refresh time before comparing.</w:t>
      </w:r>
    </w:p>
    <w:p>
      <w:pPr>
        <w:pStyle w:val="ListNumber"/>
      </w:pPr>
      <w:r>
        <w:t>Review an extracted project register. Each row includes utility, project name and ID, work type, voltage, endpoints or substations, service territory/state, project status, in-service date, any construction window, document citation, and extraction confidence.</w:t>
      </w:r>
    </w:p>
    <w:p>
      <w:pPr>
        <w:pStyle w:val="ListNumber"/>
      </w:pPr>
      <w:r>
        <w:t>Resolve locations. Show candidate substations/lines on a map with the match source, confidence, and an explicit “needs review” state for ambiguous names or missing coordinates.</w:t>
      </w:r>
    </w:p>
    <w:p>
      <w:pPr>
        <w:pStyle w:val="ListNumber"/>
      </w:pPr>
      <w:r>
        <w:t>Run the pair comparison. Display every candidate within 25 miles and any pair with a verified construction-window overlap, even if it is farther away. Keep “unknown schedule” separate from “not overlapping.”</w:t>
      </w:r>
    </w:p>
    <w:p>
      <w:pPr>
        <w:pStyle w:val="ListNumber"/>
      </w:pPr>
      <w:r>
        <w:t>Open an opportunity card with a map, source excerpts, distance calculation, dates/windows, project scopes, confidence, and reason for ranking.</w:t>
      </w:r>
    </w:p>
    <w:p>
      <w:pPr>
        <w:pStyle w:val="ListNumber"/>
      </w:pPr>
      <w:r>
        <w:t>Suggest discussion topics based on project type: possible shared survey or access planning, coordinated landowner outreach, staging/mobilization, construction windows, outage planning, equipment procurement, or a regional alternative. Label each as a question for engineers and planners to assess.</w:t>
      </w:r>
    </w:p>
    <w:p>
      <w:pPr>
        <w:pStyle w:val="ListNumber"/>
      </w:pPr>
      <w:r>
        <w:t>Export a sourced CSV/PDF summary for a planning meeting. Preserve the source link, filing version, method version, and calculation date.</w:t>
      </w:r>
    </w:p>
    <w:p>
      <w:pPr>
        <w:pStyle w:val="Heading1"/>
      </w:pPr>
      <w:r>
        <w:t>5. Data extraction and overlap methodology</w:t>
      </w:r>
    </w:p>
    <w:p>
      <w:pPr>
        <w:pStyle w:val="Heading2"/>
      </w:pPr>
      <w:r>
        <w:t>5.1 Source ingestion</w:t>
      </w:r>
    </w:p>
    <w:p>
      <w:r>
        <w:t>Start with public utility IRPs, transmission expansion plans, state commission docket filings, and public SERTP/SCRTP material. Store each source as an immutable snapshot with publisher, title, docket or report ID, publication/filing date, retrieval time, URL, document hash, and sensitivity label. A scheduled collector should watch official utility/commission/regional pages weekly and trigger an ingest when a filing appears or a document hash changes.</w:t>
      </w:r>
    </w:p>
    <w:p>
      <w:r>
        <w:t>Parse project rows from PDFs and tables using layout-aware text extraction plus tables. AI can propose structured fields from text, but each extracted field must retain a page citation and pass validation before it becomes a matched project. For the hackathon, manually curate a small source set and visibly label the filing version; build refresh automation after the core comparisons work.</w:t>
      </w:r>
    </w:p>
    <w:p>
      <w:pPr>
        <w:pStyle w:val="ListBullet"/>
      </w:pPr>
      <w:r>
        <w:t>Normalize project identifiers, utility names, voltage units, state abbreviations, and dates without deleting the original text.</w:t>
      </w:r>
    </w:p>
    <w:p>
      <w:pPr>
        <w:pStyle w:val="ListBullet"/>
      </w:pPr>
      <w:r>
        <w:t>Detect duplicate projects across an IRP, docket filing, and regional plan. Keep source-specific versions connected to one canonical project.</w:t>
      </w:r>
    </w:p>
    <w:p>
      <w:pPr>
        <w:pStyle w:val="ListBullet"/>
      </w:pPr>
      <w:r>
        <w:t>Validate required fields and date ranges; flag impossible coordinates, swapped latitude/longitude, duplicate endpoints, blank units, stale filings, and conflicting status/date values.</w:t>
      </w:r>
    </w:p>
    <w:p>
      <w:pPr>
        <w:pStyle w:val="ListBullet"/>
      </w:pPr>
      <w:r>
        <w:t>Store raw extraction, normalized values, review decision, reviewer, and change history. Never silently overwrite a conflicting source value.</w:t>
      </w:r>
    </w:p>
    <w:p>
      <w:pPr>
        <w:pStyle w:val="ListBullet"/>
      </w:pPr>
      <w:r>
        <w:t>Allowlist public documents only. Exclude CEII, secure-area, confidential, or restricted attachments even if they sit near a public docket entry.</w:t>
      </w:r>
    </w:p>
    <w:p>
      <w:pPr>
        <w:pStyle w:val="Heading2"/>
      </w:pPr>
      <w:r>
        <w:t>5.2 Location resolution</w:t>
      </w:r>
    </w:p>
    <w:p>
      <w:r>
        <w:t>The challenge’s companion guide recommends resolving named substations and lines with OpenStreetMap/Overpass, Nominatim, or Open Infrastructure Map, then checking each match against the utility source. Follow that as a candidate-generation workflow, not as ground truth. Prefer official utility project maps and named endpoints when available. Record the candidate feature ID, map source, coordinates/geometry, match rationale, confidence, and reviewer decision. [2]</w:t>
      </w:r>
    </w:p>
    <w:p>
      <w:r>
        <w:t>For the required 25-mile rule, reproduce the guide’s center-to-center haversine calculation in the initial version: use the midpoint of two verified endpoints, or the single verified point when only one can be located. Mark the one-point result as lower confidence. If project line geometry is available, show it on the map as added context but keep the prescribed centerpoint rule as the challenge’s auditable default. Do not claim two nearby points share the same right-of-way.</w:t>
      </w:r>
    </w:p>
    <w:p>
      <w:pPr>
        <w:pStyle w:val="ListBullet"/>
      </w:pPr>
      <w:r>
        <w:t>High confidence: official map or both endpoints are unambiguous and confirmed against the filing.</w:t>
      </w:r>
    </w:p>
    <w:p>
      <w:pPr>
        <w:pStyle w:val="ListBullet"/>
      </w:pPr>
      <w:r>
        <w:t>Medium confidence: one official endpoint plus a consistent named mapped feature, or a clearly documented two-endpoint match.</w:t>
      </w:r>
    </w:p>
    <w:p>
      <w:pPr>
        <w:pStyle w:val="ListBullet"/>
      </w:pPr>
      <w:r>
        <w:t>Low confidence: name-only geocoding, missing endpoints, ambiguous facility names, or a center inferred from one location. Low-confidence matches appear in a review queue and should not lead the ranked list.</w:t>
      </w:r>
    </w:p>
    <w:p>
      <w:pPr>
        <w:pStyle w:val="Heading2"/>
      </w:pPr>
      <w:r>
        <w:t>5.3 Separate geography from schedule</w:t>
      </w:r>
    </w:p>
    <w:p>
      <w:r>
        <w:t>Geographic match: calculate point-to-point distance in miles and set the challenge flag when distance is at or below 25 miles. Keep the numeric distance and method visible.</w:t>
      </w:r>
    </w:p>
    <w:p>
      <w:r>
        <w:t>Schedule match: compare construction start/end intervals only when a filing actually supplies them. Two intervals overlap when the later start is on or before the earlier end. If a filing provides only an in-service date, calculate and display the date gap but set construction-window overlap to “unknown.” Annual budget allocations can support an estimated work window only when the source shows a clear multi-year expenditure profile; label that result “budget-window proxy,” not confirmed field schedule.</w:t>
      </w:r>
    </w:p>
    <w:p>
      <w:r>
        <w:t>Opportunity ranking: show three signals separately—geographic proximity, verified schedule overlap, and data confidence. A transparent default can use a 65% geographic and 35% verified schedule weighting among records with both signals. If the schedule is unknown, show a provisional geography-only order and do not impute a schedule score. Always display the raw distance, date gap/window, confidence, and the exact scoring version.</w:t>
      </w:r>
    </w:p>
    <w:p>
      <w:r>
        <w:t>A confirmed overlap means a screening rule passed. It does not establish engineering compatibility, cost savings, legal authority, shared ownership, or permission to combine work.</w:t>
      </w:r>
    </w:p>
    <w:p>
      <w:pPr>
        <w:pStyle w:val="Heading2"/>
      </w:pPr>
      <w:r>
        <w:t>5.4 Data model</w:t>
      </w:r>
    </w:p>
    <w:tbl>
      <w:tblPr>
        <w:tblW w:type="auto" w:w="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5026"/>
        <w:gridCol w:w="5026"/>
      </w:tblGrid>
      <w:tr>
        <w:trPr>
          <w:tblHeader w:val="true"/>
        </w:trPr>
        <w:tc>
          <w:tcPr>
            <w:tcW w:type="dxa" w:w="2088"/>
            <w:vAlign w:val="center"/>
            <w:shd w:fill="233A54"/>
            <w:tcMar>
              <w:top w:w="110" w:type="dxa"/>
              <w:start w:w="95" w:type="dxa"/>
              <w:bottom w:w="110" w:type="dxa"/>
              <w:end w:w="95" w:type="dxa"/>
            </w:tcMar>
          </w:tcPr>
          <w:p>
            <w:pPr>
              <w:spacing w:after="0"/>
            </w:pPr>
            <w:r>
              <w:rPr>
                <w:rFonts w:ascii="Aptos" w:hAnsi="Aptos"/>
                <w:b/>
                <w:color w:val="FFFFFF"/>
                <w:sz w:val="16"/>
              </w:rPr>
              <w:t>Record</w:t>
            </w:r>
          </w:p>
        </w:tc>
        <w:tc>
          <w:tcPr>
            <w:tcW w:type="dxa" w:w="7920"/>
            <w:vAlign w:val="center"/>
            <w:shd w:fill="233A54"/>
            <w:tcMar>
              <w:top w:w="110" w:type="dxa"/>
              <w:start w:w="95" w:type="dxa"/>
              <w:bottom w:w="110" w:type="dxa"/>
              <w:end w:w="95" w:type="dxa"/>
            </w:tcMar>
          </w:tcPr>
          <w:p>
            <w:pPr>
              <w:spacing w:after="0"/>
            </w:pPr>
            <w:r>
              <w:rPr>
                <w:rFonts w:ascii="Aptos" w:hAnsi="Aptos"/>
                <w:b/>
                <w:color w:val="FFFFFF"/>
                <w:sz w:val="16"/>
              </w:rPr>
              <w:t>Key fields</w:t>
            </w:r>
          </w:p>
        </w:tc>
      </w:tr>
      <w:tr>
        <w:trPr>
          <w:cantSplit/>
        </w:trPr>
        <w:tc>
          <w:tcPr>
            <w:tcW w:type="dxa" w:w="2088"/>
            <w:vAlign w:val="center"/>
            <w:tcMar>
              <w:top w:w="90" w:type="dxa"/>
              <w:start w:w="95" w:type="dxa"/>
              <w:bottom w:w="90" w:type="dxa"/>
              <w:end w:w="95" w:type="dxa"/>
            </w:tcMar>
          </w:tcPr>
          <w:p>
            <w:pPr>
              <w:spacing w:after="0" w:line="245" w:lineRule="auto"/>
            </w:pPr>
            <w:r>
              <w:rPr>
                <w:rFonts w:ascii="Aptos" w:hAnsi="Aptos"/>
                <w:color w:val="20252B"/>
                <w:sz w:val="16"/>
              </w:rPr>
              <w:t>SourceDocument</w:t>
            </w:r>
          </w:p>
        </w:tc>
        <w:tc>
          <w:tcPr>
            <w:tcW w:type="dxa" w:w="7920"/>
            <w:vAlign w:val="center"/>
            <w:tcMar>
              <w:top w:w="90" w:type="dxa"/>
              <w:start w:w="95" w:type="dxa"/>
              <w:bottom w:w="90" w:type="dxa"/>
              <w:end w:w="95" w:type="dxa"/>
            </w:tcMar>
          </w:tcPr>
          <w:p>
            <w:pPr>
              <w:spacing w:after="0" w:line="245" w:lineRule="auto"/>
            </w:pPr>
            <w:r>
              <w:rPr>
                <w:rFonts w:ascii="Aptos" w:hAnsi="Aptos"/>
                <w:color w:val="20252B"/>
                <w:sz w:val="16"/>
              </w:rPr>
              <w:t>utility/region, title, docket, filing date, retrieval date, URL, hash, public/CEII status, document version</w:t>
            </w:r>
          </w:p>
        </w:tc>
      </w:tr>
      <w:tr>
        <w:trPr>
          <w:cantSplit/>
        </w:trPr>
        <w:tc>
          <w:tcPr>
            <w:tcW w:type="dxa" w:w="2088"/>
            <w:vAlign w:val="center"/>
            <w:tcMar>
              <w:top w:w="90" w:type="dxa"/>
              <w:start w:w="95" w:type="dxa"/>
              <w:bottom w:w="90" w:type="dxa"/>
              <w:end w:w="95" w:type="dxa"/>
            </w:tcMar>
            <w:shd w:fill="F1F5F8"/>
          </w:tcPr>
          <w:p>
            <w:pPr>
              <w:spacing w:after="0" w:line="245" w:lineRule="auto"/>
            </w:pPr>
            <w:r>
              <w:rPr>
                <w:rFonts w:ascii="Aptos" w:hAnsi="Aptos"/>
                <w:color w:val="20252B"/>
                <w:sz w:val="16"/>
              </w:rPr>
              <w:t>ProjectVersion</w:t>
            </w:r>
          </w:p>
        </w:tc>
        <w:tc>
          <w:tcPr>
            <w:tcW w:type="dxa" w:w="7920"/>
            <w:vAlign w:val="center"/>
            <w:tcMar>
              <w:top w:w="90" w:type="dxa"/>
              <w:start w:w="95" w:type="dxa"/>
              <w:bottom w:w="90" w:type="dxa"/>
              <w:end w:w="95" w:type="dxa"/>
            </w:tcMar>
            <w:shd w:fill="F1F5F8"/>
          </w:tcPr>
          <w:p>
            <w:pPr>
              <w:spacing w:after="0" w:line="245" w:lineRule="auto"/>
            </w:pPr>
            <w:r>
              <w:rPr>
                <w:rFonts w:ascii="Aptos" w:hAnsi="Aptos"/>
                <w:color w:val="20252B"/>
                <w:sz w:val="16"/>
              </w:rPr>
              <w:t>utility, project ID, original/canonical name, work type, voltage, status, need, source version, page, effective dates</w:t>
            </w:r>
          </w:p>
        </w:tc>
      </w:tr>
      <w:tr>
        <w:trPr>
          <w:cantSplit/>
        </w:trPr>
        <w:tc>
          <w:tcPr>
            <w:tcW w:type="dxa" w:w="2088"/>
            <w:vAlign w:val="center"/>
            <w:tcMar>
              <w:top w:w="90" w:type="dxa"/>
              <w:start w:w="95" w:type="dxa"/>
              <w:bottom w:w="90" w:type="dxa"/>
              <w:end w:w="95" w:type="dxa"/>
            </w:tcMar>
          </w:tcPr>
          <w:p>
            <w:pPr>
              <w:spacing w:after="0" w:line="245" w:lineRule="auto"/>
            </w:pPr>
            <w:r>
              <w:rPr>
                <w:rFonts w:ascii="Aptos" w:hAnsi="Aptos"/>
                <w:color w:val="20252B"/>
                <w:sz w:val="16"/>
              </w:rPr>
              <w:t>LocationEvidence</w:t>
            </w:r>
          </w:p>
        </w:tc>
        <w:tc>
          <w:tcPr>
            <w:tcW w:type="dxa" w:w="7920"/>
            <w:vAlign w:val="center"/>
            <w:tcMar>
              <w:top w:w="90" w:type="dxa"/>
              <w:start w:w="95" w:type="dxa"/>
              <w:bottom w:w="90" w:type="dxa"/>
              <w:end w:w="95" w:type="dxa"/>
            </w:tcMar>
          </w:tcPr>
          <w:p>
            <w:pPr>
              <w:spacing w:after="0" w:line="245" w:lineRule="auto"/>
            </w:pPr>
            <w:r>
              <w:rPr>
                <w:rFonts w:ascii="Aptos" w:hAnsi="Aptos"/>
                <w:color w:val="20252B"/>
                <w:sz w:val="16"/>
              </w:rPr>
              <w:t>endpoint name, feature ID, lat/lon or geometry, candidate source, confidence, verification note, reviewer</w:t>
            </w:r>
          </w:p>
        </w:tc>
      </w:tr>
      <w:tr>
        <w:trPr>
          <w:cantSplit/>
        </w:trPr>
        <w:tc>
          <w:tcPr>
            <w:tcW w:type="dxa" w:w="2088"/>
            <w:vAlign w:val="center"/>
            <w:tcMar>
              <w:top w:w="90" w:type="dxa"/>
              <w:start w:w="95" w:type="dxa"/>
              <w:bottom w:w="90" w:type="dxa"/>
              <w:end w:w="95" w:type="dxa"/>
            </w:tcMar>
            <w:shd w:fill="F1F5F8"/>
          </w:tcPr>
          <w:p>
            <w:pPr>
              <w:spacing w:after="0" w:line="245" w:lineRule="auto"/>
            </w:pPr>
            <w:r>
              <w:rPr>
                <w:rFonts w:ascii="Aptos" w:hAnsi="Aptos"/>
                <w:color w:val="20252B"/>
                <w:sz w:val="16"/>
              </w:rPr>
              <w:t>ScheduleEvidence</w:t>
            </w:r>
          </w:p>
        </w:tc>
        <w:tc>
          <w:tcPr>
            <w:tcW w:type="dxa" w:w="7920"/>
            <w:vAlign w:val="center"/>
            <w:tcMar>
              <w:top w:w="90" w:type="dxa"/>
              <w:start w:w="95" w:type="dxa"/>
              <w:bottom w:w="90" w:type="dxa"/>
              <w:end w:w="95" w:type="dxa"/>
            </w:tcMar>
            <w:shd w:fill="F1F5F8"/>
          </w:tcPr>
          <w:p>
            <w:pPr>
              <w:spacing w:after="0" w:line="245" w:lineRule="auto"/>
            </w:pPr>
            <w:r>
              <w:rPr>
                <w:rFonts w:ascii="Aptos" w:hAnsi="Aptos"/>
                <w:color w:val="20252B"/>
                <w:sz w:val="16"/>
              </w:rPr>
              <w:t>in-service date, start/end construction dates, budget years, date type, source page, confirmed/proxy/unknown</w:t>
            </w:r>
          </w:p>
        </w:tc>
      </w:tr>
      <w:tr>
        <w:trPr>
          <w:cantSplit/>
        </w:trPr>
        <w:tc>
          <w:tcPr>
            <w:tcW w:type="dxa" w:w="2088"/>
            <w:vAlign w:val="center"/>
            <w:tcMar>
              <w:top w:w="90" w:type="dxa"/>
              <w:start w:w="95" w:type="dxa"/>
              <w:bottom w:w="90" w:type="dxa"/>
              <w:end w:w="95" w:type="dxa"/>
            </w:tcMar>
          </w:tcPr>
          <w:p>
            <w:pPr>
              <w:spacing w:after="0" w:line="245" w:lineRule="auto"/>
            </w:pPr>
            <w:r>
              <w:rPr>
                <w:rFonts w:ascii="Aptos" w:hAnsi="Aptos"/>
                <w:color w:val="20252B"/>
                <w:sz w:val="16"/>
              </w:rPr>
              <w:t>OverlapCandidate</w:t>
            </w:r>
          </w:p>
        </w:tc>
        <w:tc>
          <w:tcPr>
            <w:tcW w:type="dxa" w:w="7920"/>
            <w:vAlign w:val="center"/>
            <w:tcMar>
              <w:top w:w="90" w:type="dxa"/>
              <w:start w:w="95" w:type="dxa"/>
              <w:bottom w:w="90" w:type="dxa"/>
              <w:end w:w="95" w:type="dxa"/>
            </w:tcMar>
          </w:tcPr>
          <w:p>
            <w:pPr>
              <w:spacing w:after="0" w:line="245" w:lineRule="auto"/>
            </w:pPr>
            <w:r>
              <w:rPr>
                <w:rFonts w:ascii="Aptos" w:hAnsi="Aptos"/>
                <w:color w:val="20252B"/>
                <w:sz w:val="16"/>
              </w:rPr>
              <w:t>project versions, distance, geographic flag, interval overlap, date gap, confidence, score version, review status</w:t>
            </w:r>
          </w:p>
        </w:tc>
      </w:tr>
      <w:tr>
        <w:trPr>
          <w:cantSplit/>
        </w:trPr>
        <w:tc>
          <w:tcPr>
            <w:tcW w:type="dxa" w:w="2088"/>
            <w:vAlign w:val="center"/>
            <w:tcMar>
              <w:top w:w="90" w:type="dxa"/>
              <w:start w:w="95" w:type="dxa"/>
              <w:bottom w:w="90" w:type="dxa"/>
              <w:end w:w="95" w:type="dxa"/>
            </w:tcMar>
            <w:shd w:fill="F1F5F8"/>
          </w:tcPr>
          <w:p>
            <w:pPr>
              <w:spacing w:after="0" w:line="245" w:lineRule="auto"/>
            </w:pPr>
            <w:r>
              <w:rPr>
                <w:rFonts w:ascii="Aptos" w:hAnsi="Aptos"/>
                <w:color w:val="20252B"/>
                <w:sz w:val="16"/>
              </w:rPr>
              <w:t>CoordinationLead</w:t>
            </w:r>
          </w:p>
        </w:tc>
        <w:tc>
          <w:tcPr>
            <w:tcW w:type="dxa" w:w="7920"/>
            <w:vAlign w:val="center"/>
            <w:tcMar>
              <w:top w:w="90" w:type="dxa"/>
              <w:start w:w="95" w:type="dxa"/>
              <w:bottom w:w="90" w:type="dxa"/>
              <w:end w:w="95" w:type="dxa"/>
            </w:tcMar>
            <w:shd w:fill="F1F5F8"/>
          </w:tcPr>
          <w:p>
            <w:pPr>
              <w:spacing w:after="0" w:line="245" w:lineRule="auto"/>
            </w:pPr>
            <w:r>
              <w:rPr>
                <w:rFonts w:ascii="Aptos" w:hAnsi="Aptos"/>
                <w:color w:val="20252B"/>
                <w:sz w:val="16"/>
              </w:rPr>
              <w:t>potential shared resource category, supporting evidence, questions to resolve, owner, meeting/status, outcome</w:t>
            </w:r>
          </w:p>
        </w:tc>
      </w:tr>
    </w:tbl>
    <w:p>
      <w:pPr>
        <w:spacing w:after="20"/>
      </w:pPr>
    </w:p>
    <w:p>
      <w:pPr>
        <w:pStyle w:val="Heading1"/>
      </w:pPr>
      <w:r>
        <w:t>6. Technical architecture</w:t>
      </w:r>
    </w:p>
    <w:tbl>
      <w:tblPr>
        <w:tblW w:type="auto" w:w="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351"/>
        <w:gridCol w:w="3351"/>
        <w:gridCol w:w="3351"/>
      </w:tblGrid>
      <w:tr>
        <w:trPr>
          <w:tblHeader w:val="true"/>
        </w:trPr>
        <w:tc>
          <w:tcPr>
            <w:tcW w:type="dxa" w:w="1872"/>
            <w:vAlign w:val="center"/>
            <w:shd w:fill="233A54"/>
            <w:tcMar>
              <w:top w:w="110" w:type="dxa"/>
              <w:start w:w="95" w:type="dxa"/>
              <w:bottom w:w="110" w:type="dxa"/>
              <w:end w:w="95" w:type="dxa"/>
            </w:tcMar>
          </w:tcPr>
          <w:p>
            <w:pPr>
              <w:spacing w:after="0"/>
            </w:pPr>
            <w:r>
              <w:rPr>
                <w:rFonts w:ascii="Aptos" w:hAnsi="Aptos"/>
                <w:b/>
                <w:color w:val="FFFFFF"/>
                <w:sz w:val="16"/>
              </w:rPr>
              <w:t>Layer</w:t>
            </w:r>
          </w:p>
        </w:tc>
        <w:tc>
          <w:tcPr>
            <w:tcW w:type="dxa" w:w="3960"/>
            <w:vAlign w:val="center"/>
            <w:shd w:fill="233A54"/>
            <w:tcMar>
              <w:top w:w="110" w:type="dxa"/>
              <w:start w:w="95" w:type="dxa"/>
              <w:bottom w:w="110" w:type="dxa"/>
              <w:end w:w="95" w:type="dxa"/>
            </w:tcMar>
          </w:tcPr>
          <w:p>
            <w:pPr>
              <w:spacing w:after="0"/>
            </w:pPr>
            <w:r>
              <w:rPr>
                <w:rFonts w:ascii="Aptos" w:hAnsi="Aptos"/>
                <w:b/>
                <w:color w:val="FFFFFF"/>
                <w:sz w:val="16"/>
              </w:rPr>
              <w:t>Recommended implementation</w:t>
            </w:r>
          </w:p>
        </w:tc>
        <w:tc>
          <w:tcPr>
            <w:tcW w:type="dxa" w:w="4176"/>
            <w:vAlign w:val="center"/>
            <w:shd w:fill="233A54"/>
            <w:tcMar>
              <w:top w:w="110" w:type="dxa"/>
              <w:start w:w="95" w:type="dxa"/>
              <w:bottom w:w="110" w:type="dxa"/>
              <w:end w:w="95" w:type="dxa"/>
            </w:tcMar>
          </w:tcPr>
          <w:p>
            <w:pPr>
              <w:spacing w:after="0"/>
            </w:pPr>
            <w:r>
              <w:rPr>
                <w:rFonts w:ascii="Aptos" w:hAnsi="Aptos"/>
                <w:b/>
                <w:color w:val="FFFFFF"/>
                <w:sz w:val="16"/>
              </w:rPr>
              <w:t>Reason</w:t>
            </w:r>
          </w:p>
        </w:tc>
      </w:tr>
      <w:tr>
        <w:trPr>
          <w:cantSplit/>
        </w:trPr>
        <w:tc>
          <w:tcPr>
            <w:tcW w:type="dxa" w:w="1872"/>
            <w:vAlign w:val="center"/>
            <w:tcMar>
              <w:top w:w="90" w:type="dxa"/>
              <w:start w:w="95" w:type="dxa"/>
              <w:bottom w:w="90" w:type="dxa"/>
              <w:end w:w="95" w:type="dxa"/>
            </w:tcMar>
          </w:tcPr>
          <w:p>
            <w:pPr>
              <w:spacing w:after="0" w:line="245" w:lineRule="auto"/>
            </w:pPr>
            <w:r>
              <w:rPr>
                <w:rFonts w:ascii="Aptos" w:hAnsi="Aptos"/>
                <w:color w:val="20252B"/>
                <w:sz w:val="16"/>
              </w:rPr>
              <w:t>Public-source pipeline</w:t>
            </w:r>
          </w:p>
        </w:tc>
        <w:tc>
          <w:tcPr>
            <w:tcW w:type="dxa" w:w="3960"/>
            <w:vAlign w:val="center"/>
            <w:tcMar>
              <w:top w:w="90" w:type="dxa"/>
              <w:start w:w="95" w:type="dxa"/>
              <w:bottom w:w="90" w:type="dxa"/>
              <w:end w:w="95" w:type="dxa"/>
            </w:tcMar>
          </w:tcPr>
          <w:p>
            <w:pPr>
              <w:spacing w:after="0" w:line="245" w:lineRule="auto"/>
            </w:pPr>
            <w:r>
              <w:rPr>
                <w:rFonts w:ascii="Aptos" w:hAnsi="Aptos"/>
                <w:color w:val="20252B"/>
                <w:sz w:val="16"/>
              </w:rPr>
              <w:t>Python ETL jobs; PDF/table extraction; official-site and docket monitors; reproducible CSV import for hackathon.</w:t>
            </w:r>
          </w:p>
        </w:tc>
        <w:tc>
          <w:tcPr>
            <w:tcW w:type="dxa" w:w="4176"/>
            <w:vAlign w:val="center"/>
            <w:tcMar>
              <w:top w:w="90" w:type="dxa"/>
              <w:start w:w="95" w:type="dxa"/>
              <w:bottom w:w="90" w:type="dxa"/>
              <w:end w:w="95" w:type="dxa"/>
            </w:tcMar>
          </w:tcPr>
          <w:p>
            <w:pPr>
              <w:spacing w:after="0" w:line="245" w:lineRule="auto"/>
            </w:pPr>
            <w:r>
              <w:rPr>
                <w:rFonts w:ascii="Aptos" w:hAnsi="Aptos"/>
                <w:color w:val="20252B"/>
                <w:sz w:val="16"/>
              </w:rPr>
              <w:t>Matches Sperry Tech’s supplied internship description: extraction, recurring refresh, validation, document parsing, metadata.</w:t>
            </w:r>
          </w:p>
        </w:tc>
      </w:tr>
      <w:tr>
        <w:trPr>
          <w:cantSplit/>
        </w:trPr>
        <w:tc>
          <w:tcPr>
            <w:tcW w:type="dxa" w:w="1872"/>
            <w:vAlign w:val="center"/>
            <w:tcMar>
              <w:top w:w="90" w:type="dxa"/>
              <w:start w:w="95" w:type="dxa"/>
              <w:bottom w:w="90" w:type="dxa"/>
              <w:end w:w="95" w:type="dxa"/>
            </w:tcMar>
            <w:shd w:fill="F1F5F8"/>
          </w:tcPr>
          <w:p>
            <w:pPr>
              <w:spacing w:after="0" w:line="245" w:lineRule="auto"/>
            </w:pPr>
            <w:r>
              <w:rPr>
                <w:rFonts w:ascii="Aptos" w:hAnsi="Aptos"/>
                <w:color w:val="20252B"/>
                <w:sz w:val="16"/>
              </w:rPr>
              <w:t>Storage and spatial data</w:t>
            </w:r>
          </w:p>
        </w:tc>
        <w:tc>
          <w:tcPr>
            <w:tcW w:type="dxa" w:w="3960"/>
            <w:vAlign w:val="center"/>
            <w:tcMar>
              <w:top w:w="90" w:type="dxa"/>
              <w:start w:w="95" w:type="dxa"/>
              <w:bottom w:w="90" w:type="dxa"/>
              <w:end w:w="95" w:type="dxa"/>
            </w:tcMar>
            <w:shd w:fill="F1F5F8"/>
          </w:tcPr>
          <w:p>
            <w:pPr>
              <w:spacing w:after="0" w:line="245" w:lineRule="auto"/>
            </w:pPr>
            <w:r>
              <w:rPr>
                <w:rFonts w:ascii="Aptos" w:hAnsi="Aptos"/>
                <w:color w:val="20252B"/>
                <w:sz w:val="16"/>
              </w:rPr>
              <w:t>PostgreSQL + PostGIS with versioned project/source tables and spatial indexes.</w:t>
            </w:r>
          </w:p>
        </w:tc>
        <w:tc>
          <w:tcPr>
            <w:tcW w:type="dxa" w:w="4176"/>
            <w:vAlign w:val="center"/>
            <w:tcMar>
              <w:top w:w="90" w:type="dxa"/>
              <w:start w:w="95" w:type="dxa"/>
              <w:bottom w:w="90" w:type="dxa"/>
              <w:end w:w="95" w:type="dxa"/>
            </w:tcMar>
            <w:shd w:fill="F1F5F8"/>
          </w:tcPr>
          <w:p>
            <w:pPr>
              <w:spacing w:after="0" w:line="245" w:lineRule="auto"/>
            </w:pPr>
            <w:r>
              <w:rPr>
                <w:rFonts w:ascii="Aptos" w:hAnsi="Aptos"/>
                <w:color w:val="20252B"/>
                <w:sz w:val="16"/>
              </w:rPr>
              <w:t>Supports repeatable queries, distance calculations, provenance, and auditable changes.</w:t>
            </w:r>
          </w:p>
        </w:tc>
      </w:tr>
      <w:tr>
        <w:trPr>
          <w:cantSplit/>
        </w:trPr>
        <w:tc>
          <w:tcPr>
            <w:tcW w:type="dxa" w:w="1872"/>
            <w:vAlign w:val="center"/>
            <w:tcMar>
              <w:top w:w="90" w:type="dxa"/>
              <w:start w:w="95" w:type="dxa"/>
              <w:bottom w:w="90" w:type="dxa"/>
              <w:end w:w="95" w:type="dxa"/>
            </w:tcMar>
          </w:tcPr>
          <w:p>
            <w:pPr>
              <w:spacing w:after="0" w:line="245" w:lineRule="auto"/>
            </w:pPr>
            <w:r>
              <w:rPr>
                <w:rFonts w:ascii="Aptos" w:hAnsi="Aptos"/>
                <w:color w:val="20252B"/>
                <w:sz w:val="16"/>
              </w:rPr>
              <w:t>API and matching service</w:t>
            </w:r>
          </w:p>
        </w:tc>
        <w:tc>
          <w:tcPr>
            <w:tcW w:type="dxa" w:w="3960"/>
            <w:vAlign w:val="center"/>
            <w:tcMar>
              <w:top w:w="90" w:type="dxa"/>
              <w:start w:w="95" w:type="dxa"/>
              <w:bottom w:w="90" w:type="dxa"/>
              <w:end w:w="95" w:type="dxa"/>
            </w:tcMar>
          </w:tcPr>
          <w:p>
            <w:pPr>
              <w:spacing w:after="0" w:line="245" w:lineRule="auto"/>
            </w:pPr>
            <w:r>
              <w:rPr>
                <w:rFonts w:ascii="Aptos" w:hAnsi="Aptos"/>
                <w:color w:val="20252B"/>
                <w:sz w:val="16"/>
              </w:rPr>
              <w:t>Python FastAPI; deterministic validation and Haversine/geometry routines; scoring configuration stored with each run.</w:t>
            </w:r>
          </w:p>
        </w:tc>
        <w:tc>
          <w:tcPr>
            <w:tcW w:type="dxa" w:w="4176"/>
            <w:vAlign w:val="center"/>
            <w:tcMar>
              <w:top w:w="90" w:type="dxa"/>
              <w:start w:w="95" w:type="dxa"/>
              <w:bottom w:w="90" w:type="dxa"/>
              <w:end w:w="95" w:type="dxa"/>
            </w:tcMar>
          </w:tcPr>
          <w:p>
            <w:pPr>
              <w:spacing w:after="0" w:line="245" w:lineRule="auto"/>
            </w:pPr>
            <w:r>
              <w:rPr>
                <w:rFonts w:ascii="Aptos" w:hAnsi="Aptos"/>
                <w:color w:val="20252B"/>
                <w:sz w:val="16"/>
              </w:rPr>
              <w:t>Keeps rules testable and transparent; avoid model-dependent distance or overlap decisions.</w:t>
            </w:r>
          </w:p>
        </w:tc>
      </w:tr>
      <w:tr>
        <w:trPr>
          <w:cantSplit/>
        </w:trPr>
        <w:tc>
          <w:tcPr>
            <w:tcW w:type="dxa" w:w="1872"/>
            <w:vAlign w:val="center"/>
            <w:tcMar>
              <w:top w:w="90" w:type="dxa"/>
              <w:start w:w="95" w:type="dxa"/>
              <w:bottom w:w="90" w:type="dxa"/>
              <w:end w:w="95" w:type="dxa"/>
            </w:tcMar>
            <w:shd w:fill="F1F5F8"/>
          </w:tcPr>
          <w:p>
            <w:pPr>
              <w:spacing w:after="0" w:line="245" w:lineRule="auto"/>
            </w:pPr>
            <w:r>
              <w:rPr>
                <w:rFonts w:ascii="Aptos" w:hAnsi="Aptos"/>
                <w:color w:val="20252B"/>
                <w:sz w:val="16"/>
              </w:rPr>
              <w:t>Interactive interface</w:t>
            </w:r>
          </w:p>
        </w:tc>
        <w:tc>
          <w:tcPr>
            <w:tcW w:type="dxa" w:w="3960"/>
            <w:vAlign w:val="center"/>
            <w:tcMar>
              <w:top w:w="90" w:type="dxa"/>
              <w:start w:w="95" w:type="dxa"/>
              <w:bottom w:w="90" w:type="dxa"/>
              <w:end w:w="95" w:type="dxa"/>
            </w:tcMar>
            <w:shd w:fill="F1F5F8"/>
          </w:tcPr>
          <w:p>
            <w:pPr>
              <w:spacing w:after="0" w:line="245" w:lineRule="auto"/>
            </w:pPr>
            <w:r>
              <w:rPr>
                <w:rFonts w:ascii="Aptos" w:hAnsi="Aptos"/>
                <w:color w:val="20252B"/>
                <w:sz w:val="16"/>
              </w:rPr>
              <w:t>React with Leaflet or MapLibre; searchable project table, map layers, filters, candidate detail and source links.</w:t>
            </w:r>
          </w:p>
        </w:tc>
        <w:tc>
          <w:tcPr>
            <w:tcW w:type="dxa" w:w="4176"/>
            <w:vAlign w:val="center"/>
            <w:tcMar>
              <w:top w:w="90" w:type="dxa"/>
              <w:start w:w="95" w:type="dxa"/>
              <w:bottom w:w="90" w:type="dxa"/>
              <w:end w:w="95" w:type="dxa"/>
            </w:tcMar>
            <w:shd w:fill="F1F5F8"/>
          </w:tcPr>
          <w:p>
            <w:pPr>
              <w:spacing w:after="0" w:line="245" w:lineRule="auto"/>
            </w:pPr>
            <w:r>
              <w:rPr>
                <w:rFonts w:ascii="Aptos" w:hAnsi="Aptos"/>
                <w:color w:val="20252B"/>
                <w:sz w:val="16"/>
              </w:rPr>
              <w:t>Meets the interactive-map and ranked-list requirement without overbuilding.</w:t>
            </w:r>
          </w:p>
        </w:tc>
      </w:tr>
      <w:tr>
        <w:trPr>
          <w:cantSplit/>
        </w:trPr>
        <w:tc>
          <w:tcPr>
            <w:tcW w:type="dxa" w:w="1872"/>
            <w:vAlign w:val="center"/>
            <w:tcMar>
              <w:top w:w="90" w:type="dxa"/>
              <w:start w:w="95" w:type="dxa"/>
              <w:bottom w:w="90" w:type="dxa"/>
              <w:end w:w="95" w:type="dxa"/>
            </w:tcMar>
          </w:tcPr>
          <w:p>
            <w:pPr>
              <w:spacing w:after="0" w:line="245" w:lineRule="auto"/>
            </w:pPr>
            <w:r>
              <w:rPr>
                <w:rFonts w:ascii="Aptos" w:hAnsi="Aptos"/>
                <w:color w:val="20252B"/>
                <w:sz w:val="16"/>
              </w:rPr>
              <w:t>Document assistance</w:t>
            </w:r>
          </w:p>
        </w:tc>
        <w:tc>
          <w:tcPr>
            <w:tcW w:type="dxa" w:w="3960"/>
            <w:vAlign w:val="center"/>
            <w:tcMar>
              <w:top w:w="90" w:type="dxa"/>
              <w:start w:w="95" w:type="dxa"/>
              <w:bottom w:w="90" w:type="dxa"/>
              <w:end w:w="95" w:type="dxa"/>
            </w:tcMar>
          </w:tcPr>
          <w:p>
            <w:pPr>
              <w:spacing w:after="0" w:line="245" w:lineRule="auto"/>
            </w:pPr>
            <w:r>
              <w:rPr>
                <w:rFonts w:ascii="Aptos" w:hAnsi="Aptos"/>
                <w:color w:val="20252B"/>
                <w:sz w:val="16"/>
              </w:rPr>
              <w:t>Optional LLM/OCR field extraction as draft suggestions with page-level citations and human review.</w:t>
            </w:r>
          </w:p>
        </w:tc>
        <w:tc>
          <w:tcPr>
            <w:tcW w:type="dxa" w:w="4176"/>
            <w:vAlign w:val="center"/>
            <w:tcMar>
              <w:top w:w="90" w:type="dxa"/>
              <w:start w:w="95" w:type="dxa"/>
              <w:bottom w:w="90" w:type="dxa"/>
              <w:end w:w="95" w:type="dxa"/>
            </w:tcMar>
          </w:tcPr>
          <w:p>
            <w:pPr>
              <w:spacing w:after="0" w:line="245" w:lineRule="auto"/>
            </w:pPr>
            <w:r>
              <w:rPr>
                <w:rFonts w:ascii="Aptos" w:hAnsi="Aptos"/>
                <w:color w:val="20252B"/>
                <w:sz w:val="16"/>
              </w:rPr>
              <w:t>Useful for messy public PDFs, but human review protects against wrong names, dates, and locations.</w:t>
            </w:r>
          </w:p>
        </w:tc>
      </w:tr>
      <w:tr>
        <w:trPr>
          <w:cantSplit/>
        </w:trPr>
        <w:tc>
          <w:tcPr>
            <w:tcW w:type="dxa" w:w="1872"/>
            <w:vAlign w:val="center"/>
            <w:tcMar>
              <w:top w:w="90" w:type="dxa"/>
              <w:start w:w="95" w:type="dxa"/>
              <w:bottom w:w="90" w:type="dxa"/>
              <w:end w:w="95" w:type="dxa"/>
            </w:tcMar>
            <w:shd w:fill="F1F5F8"/>
          </w:tcPr>
          <w:p>
            <w:pPr>
              <w:spacing w:after="0" w:line="245" w:lineRule="auto"/>
            </w:pPr>
            <w:r>
              <w:rPr>
                <w:rFonts w:ascii="Aptos" w:hAnsi="Aptos"/>
                <w:color w:val="20252B"/>
                <w:sz w:val="16"/>
              </w:rPr>
              <w:t>Hosting and operations</w:t>
            </w:r>
          </w:p>
        </w:tc>
        <w:tc>
          <w:tcPr>
            <w:tcW w:type="dxa" w:w="3960"/>
            <w:vAlign w:val="center"/>
            <w:tcMar>
              <w:top w:w="90" w:type="dxa"/>
              <w:start w:w="95" w:type="dxa"/>
              <w:bottom w:w="90" w:type="dxa"/>
              <w:end w:w="95" w:type="dxa"/>
            </w:tcMar>
            <w:shd w:fill="F1F5F8"/>
          </w:tcPr>
          <w:p>
            <w:pPr>
              <w:spacing w:after="0" w:line="245" w:lineRule="auto"/>
            </w:pPr>
            <w:r>
              <w:rPr>
                <w:rFonts w:ascii="Aptos" w:hAnsi="Aptos"/>
                <w:color w:val="20252B"/>
                <w:sz w:val="16"/>
              </w:rPr>
              <w:t>A small cloud deployment, scheduled refresh, logs, tests, and a source-ingest review queue.</w:t>
            </w:r>
          </w:p>
        </w:tc>
        <w:tc>
          <w:tcPr>
            <w:tcW w:type="dxa" w:w="4176"/>
            <w:vAlign w:val="center"/>
            <w:tcMar>
              <w:top w:w="90" w:type="dxa"/>
              <w:start w:w="95" w:type="dxa"/>
              <w:bottom w:w="90" w:type="dxa"/>
              <w:end w:w="95" w:type="dxa"/>
            </w:tcMar>
            <w:shd w:fill="F1F5F8"/>
          </w:tcPr>
          <w:p>
            <w:pPr>
              <w:spacing w:after="0" w:line="245" w:lineRule="auto"/>
            </w:pPr>
            <w:r>
              <w:rPr>
                <w:rFonts w:ascii="Aptos" w:hAnsi="Aptos"/>
                <w:color w:val="20252B"/>
                <w:sz w:val="16"/>
              </w:rPr>
              <w:t>Makes the pipeline repeatable and demonstrates production-quality data work.</w:t>
            </w:r>
          </w:p>
        </w:tc>
      </w:tr>
    </w:tbl>
    <w:p>
      <w:pPr>
        <w:spacing w:after="20"/>
      </w:pPr>
    </w:p>
    <w:p>
      <w:r>
        <w:t>For a short hackathon build, keep the system to a Python extraction script, a small normalized JSON/SQLite or PostgreSQL dataset, a deterministic matching module, and a React map/list interface. The submitted product should still be an interactive tool, but this document is the build plan; no application or demo is included here.</w:t>
      </w:r>
    </w:p>
    <w:p>
      <w:pPr>
        <w:pStyle w:val="Heading1"/>
      </w:pPr>
      <w:r>
        <w:t>7. Hackathon execution plan</w:t>
      </w:r>
    </w:p>
    <w:p>
      <w:r>
        <w:t>Assume a four-person team and the event’s 36-hour build window. Assign one person to utility-source research and data review, one to extraction/normalization, one to geospatial matching and tests, and one to the interactive interface and product story. All four should agree on source fields, coordinate confidence, and overlap rules before parallel work begins.</w:t>
      </w:r>
    </w:p>
    <w:tbl>
      <w:tblPr>
        <w:tblW w:type="auto" w:w="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513"/>
        <w:gridCol w:w="2513"/>
        <w:gridCol w:w="2513"/>
        <w:gridCol w:w="2513"/>
      </w:tblGrid>
      <w:tr>
        <w:trPr>
          <w:tblHeader w:val="true"/>
        </w:trPr>
        <w:tc>
          <w:tcPr>
            <w:tcW w:type="dxa" w:w="1152"/>
            <w:vAlign w:val="center"/>
            <w:shd w:fill="233A54"/>
            <w:tcMar>
              <w:top w:w="110" w:type="dxa"/>
              <w:start w:w="95" w:type="dxa"/>
              <w:bottom w:w="110" w:type="dxa"/>
              <w:end w:w="95" w:type="dxa"/>
            </w:tcMar>
          </w:tcPr>
          <w:p>
            <w:pPr>
              <w:spacing w:after="0"/>
            </w:pPr>
            <w:r>
              <w:rPr>
                <w:rFonts w:ascii="Aptos" w:hAnsi="Aptos"/>
                <w:b/>
                <w:color w:val="FFFFFF"/>
                <w:sz w:val="15"/>
              </w:rPr>
              <w:t>Elapsed time</w:t>
            </w:r>
          </w:p>
        </w:tc>
        <w:tc>
          <w:tcPr>
            <w:tcW w:type="dxa" w:w="1728"/>
            <w:vAlign w:val="center"/>
            <w:shd w:fill="233A54"/>
            <w:tcMar>
              <w:top w:w="110" w:type="dxa"/>
              <w:start w:w="95" w:type="dxa"/>
              <w:bottom w:w="110" w:type="dxa"/>
              <w:end w:w="95" w:type="dxa"/>
            </w:tcMar>
          </w:tcPr>
          <w:p>
            <w:pPr>
              <w:spacing w:after="0"/>
            </w:pPr>
            <w:r>
              <w:rPr>
                <w:rFonts w:ascii="Aptos" w:hAnsi="Aptos"/>
                <w:b/>
                <w:color w:val="FFFFFF"/>
                <w:sz w:val="15"/>
              </w:rPr>
              <w:t>Workstream</w:t>
            </w:r>
          </w:p>
        </w:tc>
        <w:tc>
          <w:tcPr>
            <w:tcW w:type="dxa" w:w="3528"/>
            <w:vAlign w:val="center"/>
            <w:shd w:fill="233A54"/>
            <w:tcMar>
              <w:top w:w="110" w:type="dxa"/>
              <w:start w:w="95" w:type="dxa"/>
              <w:bottom w:w="110" w:type="dxa"/>
              <w:end w:w="95" w:type="dxa"/>
            </w:tcMar>
          </w:tcPr>
          <w:p>
            <w:pPr>
              <w:spacing w:after="0"/>
            </w:pPr>
            <w:r>
              <w:rPr>
                <w:rFonts w:ascii="Aptos" w:hAnsi="Aptos"/>
                <w:b/>
                <w:color w:val="FFFFFF"/>
                <w:sz w:val="15"/>
              </w:rPr>
              <w:t>Planned output</w:t>
            </w:r>
          </w:p>
        </w:tc>
        <w:tc>
          <w:tcPr>
            <w:tcW w:type="dxa" w:w="3600"/>
            <w:vAlign w:val="center"/>
            <w:shd w:fill="233A54"/>
            <w:tcMar>
              <w:top w:w="110" w:type="dxa"/>
              <w:start w:w="95" w:type="dxa"/>
              <w:bottom w:w="110" w:type="dxa"/>
              <w:end w:w="95" w:type="dxa"/>
            </w:tcMar>
          </w:tcPr>
          <w:p>
            <w:pPr>
              <w:spacing w:after="0"/>
            </w:pPr>
            <w:r>
              <w:rPr>
                <w:rFonts w:ascii="Aptos" w:hAnsi="Aptos"/>
                <w:b/>
                <w:color w:val="FFFFFF"/>
                <w:sz w:val="15"/>
              </w:rPr>
              <w:t>Acceptance check</w:t>
            </w:r>
          </w:p>
        </w:tc>
      </w:tr>
      <w:tr>
        <w:trPr>
          <w:cantSplit/>
        </w:trPr>
        <w:tc>
          <w:tcPr>
            <w:tcW w:type="dxa" w:w="1152"/>
            <w:vAlign w:val="center"/>
            <w:tcMar>
              <w:top w:w="90" w:type="dxa"/>
              <w:start w:w="95" w:type="dxa"/>
              <w:bottom w:w="90" w:type="dxa"/>
              <w:end w:w="95" w:type="dxa"/>
            </w:tcMar>
          </w:tcPr>
          <w:p>
            <w:pPr>
              <w:spacing w:after="0" w:line="245" w:lineRule="auto"/>
            </w:pPr>
            <w:r>
              <w:rPr>
                <w:rFonts w:ascii="Aptos" w:hAnsi="Aptos"/>
                <w:color w:val="20252B"/>
                <w:sz w:val="15"/>
              </w:rPr>
              <w:t>0–2 h</w:t>
            </w:r>
          </w:p>
        </w:tc>
        <w:tc>
          <w:tcPr>
            <w:tcW w:type="dxa" w:w="1728"/>
            <w:vAlign w:val="center"/>
            <w:tcMar>
              <w:top w:w="90" w:type="dxa"/>
              <w:start w:w="95" w:type="dxa"/>
              <w:bottom w:w="90" w:type="dxa"/>
              <w:end w:w="95" w:type="dxa"/>
            </w:tcMar>
          </w:tcPr>
          <w:p>
            <w:pPr>
              <w:spacing w:after="0" w:line="245" w:lineRule="auto"/>
            </w:pPr>
            <w:r>
              <w:rPr>
                <w:rFonts w:ascii="Aptos" w:hAnsi="Aptos"/>
                <w:color w:val="20252B"/>
                <w:sz w:val="15"/>
              </w:rPr>
              <w:t>Scope and source check</w:t>
            </w:r>
          </w:p>
        </w:tc>
        <w:tc>
          <w:tcPr>
            <w:tcW w:type="dxa" w:w="3528"/>
            <w:vAlign w:val="center"/>
            <w:tcMar>
              <w:top w:w="90" w:type="dxa"/>
              <w:start w:w="95" w:type="dxa"/>
              <w:bottom w:w="90" w:type="dxa"/>
              <w:end w:w="95" w:type="dxa"/>
            </w:tcMar>
          </w:tcPr>
          <w:p>
            <w:pPr>
              <w:spacing w:after="0" w:line="245" w:lineRule="auto"/>
            </w:pPr>
            <w:r>
              <w:rPr>
                <w:rFonts w:ascii="Aptos" w:hAnsi="Aptos"/>
                <w:color w:val="20252B"/>
                <w:sz w:val="15"/>
              </w:rPr>
              <w:t>Confirm two utilities, source vintage, threshold, schedule definition, and exact fields.</w:t>
            </w:r>
          </w:p>
        </w:tc>
        <w:tc>
          <w:tcPr>
            <w:tcW w:type="dxa" w:w="3600"/>
            <w:vAlign w:val="center"/>
            <w:tcMar>
              <w:top w:w="90" w:type="dxa"/>
              <w:start w:w="95" w:type="dxa"/>
              <w:bottom w:w="90" w:type="dxa"/>
              <w:end w:w="95" w:type="dxa"/>
            </w:tcMar>
          </w:tcPr>
          <w:p>
            <w:pPr>
              <w:spacing w:after="0" w:line="245" w:lineRule="auto"/>
            </w:pPr>
            <w:r>
              <w:rPr>
                <w:rFonts w:ascii="Aptos" w:hAnsi="Aptos"/>
                <w:color w:val="20252B"/>
                <w:sz w:val="15"/>
              </w:rPr>
              <w:t>Team can explain the 25-mile rule and why an in-service date is not a work window.</w:t>
            </w:r>
          </w:p>
        </w:tc>
      </w:tr>
      <w:tr>
        <w:trPr>
          <w:cantSplit/>
        </w:trPr>
        <w:tc>
          <w:tcPr>
            <w:tcW w:type="dxa" w:w="1152"/>
            <w:vAlign w:val="center"/>
            <w:tcMar>
              <w:top w:w="90" w:type="dxa"/>
              <w:start w:w="95" w:type="dxa"/>
              <w:bottom w:w="90" w:type="dxa"/>
              <w:end w:w="95" w:type="dxa"/>
            </w:tcMar>
            <w:shd w:fill="F1F5F8"/>
          </w:tcPr>
          <w:p>
            <w:pPr>
              <w:spacing w:after="0" w:line="245" w:lineRule="auto"/>
            </w:pPr>
            <w:r>
              <w:rPr>
                <w:rFonts w:ascii="Aptos" w:hAnsi="Aptos"/>
                <w:color w:val="20252B"/>
                <w:sz w:val="15"/>
              </w:rPr>
              <w:t>2–7 h</w:t>
            </w:r>
          </w:p>
        </w:tc>
        <w:tc>
          <w:tcPr>
            <w:tcW w:type="dxa" w:w="1728"/>
            <w:vAlign w:val="center"/>
            <w:tcMar>
              <w:top w:w="90" w:type="dxa"/>
              <w:start w:w="95" w:type="dxa"/>
              <w:bottom w:w="90" w:type="dxa"/>
              <w:end w:w="95" w:type="dxa"/>
            </w:tcMar>
            <w:shd w:fill="F1F5F8"/>
          </w:tcPr>
          <w:p>
            <w:pPr>
              <w:spacing w:after="0" w:line="245" w:lineRule="auto"/>
            </w:pPr>
            <w:r>
              <w:rPr>
                <w:rFonts w:ascii="Aptos" w:hAnsi="Aptos"/>
                <w:color w:val="20252B"/>
                <w:sz w:val="15"/>
              </w:rPr>
              <w:t>Source/data lead</w:t>
            </w:r>
          </w:p>
        </w:tc>
        <w:tc>
          <w:tcPr>
            <w:tcW w:type="dxa" w:w="3528"/>
            <w:vAlign w:val="center"/>
            <w:tcMar>
              <w:top w:w="90" w:type="dxa"/>
              <w:start w:w="95" w:type="dxa"/>
              <w:bottom w:w="90" w:type="dxa"/>
              <w:end w:w="95" w:type="dxa"/>
            </w:tcMar>
            <w:shd w:fill="F1F5F8"/>
          </w:tcPr>
          <w:p>
            <w:pPr>
              <w:spacing w:after="0" w:line="245" w:lineRule="auto"/>
            </w:pPr>
            <w:r>
              <w:rPr>
                <w:rFonts w:ascii="Aptos" w:hAnsi="Aptos"/>
                <w:color w:val="20252B"/>
                <w:sz w:val="15"/>
              </w:rPr>
              <w:t>Curated public source package and 10–20 reviewed projects per utility if time permits.</w:t>
            </w:r>
          </w:p>
        </w:tc>
        <w:tc>
          <w:tcPr>
            <w:tcW w:type="dxa" w:w="3600"/>
            <w:vAlign w:val="center"/>
            <w:tcMar>
              <w:top w:w="90" w:type="dxa"/>
              <w:start w:w="95" w:type="dxa"/>
              <w:bottom w:w="90" w:type="dxa"/>
              <w:end w:w="95" w:type="dxa"/>
            </w:tcMar>
            <w:shd w:fill="F1F5F8"/>
          </w:tcPr>
          <w:p>
            <w:pPr>
              <w:spacing w:after="0" w:line="245" w:lineRule="auto"/>
            </w:pPr>
            <w:r>
              <w:rPr>
                <w:rFonts w:ascii="Aptos" w:hAnsi="Aptos"/>
                <w:color w:val="20252B"/>
                <w:sz w:val="15"/>
              </w:rPr>
              <w:t>Every row has source URL/page and retrieval date; restricted files excluded.</w:t>
            </w:r>
          </w:p>
        </w:tc>
      </w:tr>
      <w:tr>
        <w:trPr>
          <w:cantSplit/>
        </w:trPr>
        <w:tc>
          <w:tcPr>
            <w:tcW w:type="dxa" w:w="1152"/>
            <w:vAlign w:val="center"/>
            <w:tcMar>
              <w:top w:w="90" w:type="dxa"/>
              <w:start w:w="95" w:type="dxa"/>
              <w:bottom w:w="90" w:type="dxa"/>
              <w:end w:w="95" w:type="dxa"/>
            </w:tcMar>
          </w:tcPr>
          <w:p>
            <w:pPr>
              <w:spacing w:after="0" w:line="245" w:lineRule="auto"/>
            </w:pPr>
            <w:r>
              <w:rPr>
                <w:rFonts w:ascii="Aptos" w:hAnsi="Aptos"/>
                <w:color w:val="20252B"/>
                <w:sz w:val="15"/>
              </w:rPr>
              <w:t>2–9 h</w:t>
            </w:r>
          </w:p>
        </w:tc>
        <w:tc>
          <w:tcPr>
            <w:tcW w:type="dxa" w:w="1728"/>
            <w:vAlign w:val="center"/>
            <w:tcMar>
              <w:top w:w="90" w:type="dxa"/>
              <w:start w:w="95" w:type="dxa"/>
              <w:bottom w:w="90" w:type="dxa"/>
              <w:end w:w="95" w:type="dxa"/>
            </w:tcMar>
          </w:tcPr>
          <w:p>
            <w:pPr>
              <w:spacing w:after="0" w:line="245" w:lineRule="auto"/>
            </w:pPr>
            <w:r>
              <w:rPr>
                <w:rFonts w:ascii="Aptos" w:hAnsi="Aptos"/>
                <w:color w:val="20252B"/>
                <w:sz w:val="15"/>
              </w:rPr>
              <w:t>Data engineering</w:t>
            </w:r>
          </w:p>
        </w:tc>
        <w:tc>
          <w:tcPr>
            <w:tcW w:type="dxa" w:w="3528"/>
            <w:vAlign w:val="center"/>
            <w:tcMar>
              <w:top w:w="90" w:type="dxa"/>
              <w:start w:w="95" w:type="dxa"/>
              <w:bottom w:w="90" w:type="dxa"/>
              <w:end w:w="95" w:type="dxa"/>
            </w:tcMar>
          </w:tcPr>
          <w:p>
            <w:pPr>
              <w:spacing w:after="0" w:line="245" w:lineRule="auto"/>
            </w:pPr>
            <w:r>
              <w:rPr>
                <w:rFonts w:ascii="Aptos" w:hAnsi="Aptos"/>
                <w:color w:val="20252B"/>
                <w:sz w:val="15"/>
              </w:rPr>
              <w:t>Parser/import pipeline and normalized project schema.</w:t>
            </w:r>
          </w:p>
        </w:tc>
        <w:tc>
          <w:tcPr>
            <w:tcW w:type="dxa" w:w="3600"/>
            <w:vAlign w:val="center"/>
            <w:tcMar>
              <w:top w:w="90" w:type="dxa"/>
              <w:start w:w="95" w:type="dxa"/>
              <w:bottom w:w="90" w:type="dxa"/>
              <w:end w:w="95" w:type="dxa"/>
            </w:tcMar>
          </w:tcPr>
          <w:p>
            <w:pPr>
              <w:spacing w:after="0" w:line="245" w:lineRule="auto"/>
            </w:pPr>
            <w:r>
              <w:rPr>
                <w:rFonts w:ascii="Aptos" w:hAnsi="Aptos"/>
                <w:color w:val="20252B"/>
                <w:sz w:val="15"/>
              </w:rPr>
              <w:t>Repeated import does not duplicate records; validation errors are visible.</w:t>
            </w:r>
          </w:p>
        </w:tc>
      </w:tr>
      <w:tr>
        <w:trPr>
          <w:cantSplit/>
        </w:trPr>
        <w:tc>
          <w:tcPr>
            <w:tcW w:type="dxa" w:w="1152"/>
            <w:vAlign w:val="center"/>
            <w:tcMar>
              <w:top w:w="90" w:type="dxa"/>
              <w:start w:w="95" w:type="dxa"/>
              <w:bottom w:w="90" w:type="dxa"/>
              <w:end w:w="95" w:type="dxa"/>
            </w:tcMar>
            <w:shd w:fill="F1F5F8"/>
          </w:tcPr>
          <w:p>
            <w:pPr>
              <w:spacing w:after="0" w:line="245" w:lineRule="auto"/>
            </w:pPr>
            <w:r>
              <w:rPr>
                <w:rFonts w:ascii="Aptos" w:hAnsi="Aptos"/>
                <w:color w:val="20252B"/>
                <w:sz w:val="15"/>
              </w:rPr>
              <w:t>7–13 h</w:t>
            </w:r>
          </w:p>
        </w:tc>
        <w:tc>
          <w:tcPr>
            <w:tcW w:type="dxa" w:w="1728"/>
            <w:vAlign w:val="center"/>
            <w:tcMar>
              <w:top w:w="90" w:type="dxa"/>
              <w:start w:w="95" w:type="dxa"/>
              <w:bottom w:w="90" w:type="dxa"/>
              <w:end w:w="95" w:type="dxa"/>
            </w:tcMar>
            <w:shd w:fill="F1F5F8"/>
          </w:tcPr>
          <w:p>
            <w:pPr>
              <w:spacing w:after="0" w:line="245" w:lineRule="auto"/>
            </w:pPr>
            <w:r>
              <w:rPr>
                <w:rFonts w:ascii="Aptos" w:hAnsi="Aptos"/>
                <w:color w:val="20252B"/>
                <w:sz w:val="15"/>
              </w:rPr>
              <w:t>Geospatial</w:t>
            </w:r>
          </w:p>
        </w:tc>
        <w:tc>
          <w:tcPr>
            <w:tcW w:type="dxa" w:w="3528"/>
            <w:vAlign w:val="center"/>
            <w:tcMar>
              <w:top w:w="90" w:type="dxa"/>
              <w:start w:w="95" w:type="dxa"/>
              <w:bottom w:w="90" w:type="dxa"/>
              <w:end w:w="95" w:type="dxa"/>
            </w:tcMar>
            <w:shd w:fill="F1F5F8"/>
          </w:tcPr>
          <w:p>
            <w:pPr>
              <w:spacing w:after="0" w:line="245" w:lineRule="auto"/>
            </w:pPr>
            <w:r>
              <w:rPr>
                <w:rFonts w:ascii="Aptos" w:hAnsi="Aptos"/>
                <w:color w:val="20252B"/>
                <w:sz w:val="15"/>
              </w:rPr>
              <w:t>Verified endpoint candidates, coordinates, centerpoints, distance tests.</w:t>
            </w:r>
          </w:p>
        </w:tc>
        <w:tc>
          <w:tcPr>
            <w:tcW w:type="dxa" w:w="3600"/>
            <w:vAlign w:val="center"/>
            <w:tcMar>
              <w:top w:w="90" w:type="dxa"/>
              <w:start w:w="95" w:type="dxa"/>
              <w:bottom w:w="90" w:type="dxa"/>
              <w:end w:w="95" w:type="dxa"/>
            </w:tcMar>
            <w:shd w:fill="F1F5F8"/>
          </w:tcPr>
          <w:p>
            <w:pPr>
              <w:spacing w:after="0" w:line="245" w:lineRule="auto"/>
            </w:pPr>
            <w:r>
              <w:rPr>
                <w:rFonts w:ascii="Aptos" w:hAnsi="Aptos"/>
                <w:color w:val="20252B"/>
                <w:sz w:val="15"/>
              </w:rPr>
              <w:t>Reproduces the six under-25-mile pairs in the supplied workbook.</w:t>
            </w:r>
          </w:p>
        </w:tc>
      </w:tr>
      <w:tr>
        <w:trPr>
          <w:cantSplit/>
        </w:trPr>
        <w:tc>
          <w:tcPr>
            <w:tcW w:type="dxa" w:w="1152"/>
            <w:vAlign w:val="center"/>
            <w:tcMar>
              <w:top w:w="90" w:type="dxa"/>
              <w:start w:w="95" w:type="dxa"/>
              <w:bottom w:w="90" w:type="dxa"/>
              <w:end w:w="95" w:type="dxa"/>
            </w:tcMar>
          </w:tcPr>
          <w:p>
            <w:pPr>
              <w:spacing w:after="0" w:line="245" w:lineRule="auto"/>
            </w:pPr>
            <w:r>
              <w:rPr>
                <w:rFonts w:ascii="Aptos" w:hAnsi="Aptos"/>
                <w:color w:val="20252B"/>
                <w:sz w:val="15"/>
              </w:rPr>
              <w:t>10–17 h</w:t>
            </w:r>
          </w:p>
        </w:tc>
        <w:tc>
          <w:tcPr>
            <w:tcW w:type="dxa" w:w="1728"/>
            <w:vAlign w:val="center"/>
            <w:tcMar>
              <w:top w:w="90" w:type="dxa"/>
              <w:start w:w="95" w:type="dxa"/>
              <w:bottom w:w="90" w:type="dxa"/>
              <w:end w:w="95" w:type="dxa"/>
            </w:tcMar>
          </w:tcPr>
          <w:p>
            <w:pPr>
              <w:spacing w:after="0" w:line="245" w:lineRule="auto"/>
            </w:pPr>
            <w:r>
              <w:rPr>
                <w:rFonts w:ascii="Aptos" w:hAnsi="Aptos"/>
                <w:color w:val="20252B"/>
                <w:sz w:val="15"/>
              </w:rPr>
              <w:t>Matching</w:t>
            </w:r>
          </w:p>
        </w:tc>
        <w:tc>
          <w:tcPr>
            <w:tcW w:type="dxa" w:w="3528"/>
            <w:vAlign w:val="center"/>
            <w:tcMar>
              <w:top w:w="90" w:type="dxa"/>
              <w:start w:w="95" w:type="dxa"/>
              <w:bottom w:w="90" w:type="dxa"/>
              <w:end w:w="95" w:type="dxa"/>
            </w:tcMar>
          </w:tcPr>
          <w:p>
            <w:pPr>
              <w:spacing w:after="0" w:line="245" w:lineRule="auto"/>
            </w:pPr>
            <w:r>
              <w:rPr>
                <w:rFonts w:ascii="Aptos" w:hAnsi="Aptos"/>
                <w:color w:val="20252B"/>
                <w:sz w:val="15"/>
              </w:rPr>
              <w:t>Separate geographic flags, verified-window overlaps, date-gap proxies, confidence labels.</w:t>
            </w:r>
          </w:p>
        </w:tc>
        <w:tc>
          <w:tcPr>
            <w:tcW w:type="dxa" w:w="3600"/>
            <w:vAlign w:val="center"/>
            <w:tcMar>
              <w:top w:w="90" w:type="dxa"/>
              <w:start w:w="95" w:type="dxa"/>
              <w:bottom w:w="90" w:type="dxa"/>
              <w:end w:w="95" w:type="dxa"/>
            </w:tcMar>
          </w:tcPr>
          <w:p>
            <w:pPr>
              <w:spacing w:after="0" w:line="245" w:lineRule="auto"/>
            </w:pPr>
            <w:r>
              <w:rPr>
                <w:rFonts w:ascii="Aptos" w:hAnsi="Aptos"/>
                <w:color w:val="20252B"/>
                <w:sz w:val="15"/>
              </w:rPr>
              <w:t>Unknown timing never appears as confirmed schedule overlap.</w:t>
            </w:r>
          </w:p>
        </w:tc>
      </w:tr>
      <w:tr>
        <w:trPr>
          <w:cantSplit/>
        </w:trPr>
        <w:tc>
          <w:tcPr>
            <w:tcW w:type="dxa" w:w="1152"/>
            <w:vAlign w:val="center"/>
            <w:tcMar>
              <w:top w:w="90" w:type="dxa"/>
              <w:start w:w="95" w:type="dxa"/>
              <w:bottom w:w="90" w:type="dxa"/>
              <w:end w:w="95" w:type="dxa"/>
            </w:tcMar>
            <w:shd w:fill="F1F5F8"/>
          </w:tcPr>
          <w:p>
            <w:pPr>
              <w:spacing w:after="0" w:line="245" w:lineRule="auto"/>
            </w:pPr>
            <w:r>
              <w:rPr>
                <w:rFonts w:ascii="Aptos" w:hAnsi="Aptos"/>
                <w:color w:val="20252B"/>
                <w:sz w:val="15"/>
              </w:rPr>
              <w:t>12–22 h</w:t>
            </w:r>
          </w:p>
        </w:tc>
        <w:tc>
          <w:tcPr>
            <w:tcW w:type="dxa" w:w="1728"/>
            <w:vAlign w:val="center"/>
            <w:tcMar>
              <w:top w:w="90" w:type="dxa"/>
              <w:start w:w="95" w:type="dxa"/>
              <w:bottom w:w="90" w:type="dxa"/>
              <w:end w:w="95" w:type="dxa"/>
            </w:tcMar>
            <w:shd w:fill="F1F5F8"/>
          </w:tcPr>
          <w:p>
            <w:pPr>
              <w:spacing w:after="0" w:line="245" w:lineRule="auto"/>
            </w:pPr>
            <w:r>
              <w:rPr>
                <w:rFonts w:ascii="Aptos" w:hAnsi="Aptos"/>
                <w:color w:val="20252B"/>
                <w:sz w:val="15"/>
              </w:rPr>
              <w:t>Frontend</w:t>
            </w:r>
          </w:p>
        </w:tc>
        <w:tc>
          <w:tcPr>
            <w:tcW w:type="dxa" w:w="3528"/>
            <w:vAlign w:val="center"/>
            <w:tcMar>
              <w:top w:w="90" w:type="dxa"/>
              <w:start w:w="95" w:type="dxa"/>
              <w:bottom w:w="90" w:type="dxa"/>
              <w:end w:w="95" w:type="dxa"/>
            </w:tcMar>
            <w:shd w:fill="F1F5F8"/>
          </w:tcPr>
          <w:p>
            <w:pPr>
              <w:spacing w:after="0" w:line="245" w:lineRule="auto"/>
            </w:pPr>
            <w:r>
              <w:rPr>
                <w:rFonts w:ascii="Aptos" w:hAnsi="Aptos"/>
                <w:color w:val="20252B"/>
                <w:sz w:val="15"/>
              </w:rPr>
              <w:t>Interactive map, utility filters, ranked candidate list, evidence detail.</w:t>
            </w:r>
          </w:p>
        </w:tc>
        <w:tc>
          <w:tcPr>
            <w:tcW w:type="dxa" w:w="3600"/>
            <w:vAlign w:val="center"/>
            <w:tcMar>
              <w:top w:w="90" w:type="dxa"/>
              <w:start w:w="95" w:type="dxa"/>
              <w:bottom w:w="90" w:type="dxa"/>
              <w:end w:w="95" w:type="dxa"/>
            </w:tcMar>
            <w:shd w:fill="F1F5F8"/>
          </w:tcPr>
          <w:p>
            <w:pPr>
              <w:spacing w:after="0" w:line="245" w:lineRule="auto"/>
            </w:pPr>
            <w:r>
              <w:rPr>
                <w:rFonts w:ascii="Aptos" w:hAnsi="Aptos"/>
                <w:color w:val="20252B"/>
                <w:sz w:val="15"/>
              </w:rPr>
              <w:t>User can select a pair and open both source records from the map/list.</w:t>
            </w:r>
          </w:p>
        </w:tc>
      </w:tr>
      <w:tr>
        <w:trPr>
          <w:cantSplit/>
        </w:trPr>
        <w:tc>
          <w:tcPr>
            <w:tcW w:type="dxa" w:w="1152"/>
            <w:vAlign w:val="center"/>
            <w:tcMar>
              <w:top w:w="90" w:type="dxa"/>
              <w:start w:w="95" w:type="dxa"/>
              <w:bottom w:w="90" w:type="dxa"/>
              <w:end w:w="95" w:type="dxa"/>
            </w:tcMar>
          </w:tcPr>
          <w:p>
            <w:pPr>
              <w:spacing w:after="0" w:line="245" w:lineRule="auto"/>
            </w:pPr>
            <w:r>
              <w:rPr>
                <w:rFonts w:ascii="Aptos" w:hAnsi="Aptos"/>
                <w:color w:val="20252B"/>
                <w:sz w:val="15"/>
              </w:rPr>
              <w:t>22–27 h</w:t>
            </w:r>
          </w:p>
        </w:tc>
        <w:tc>
          <w:tcPr>
            <w:tcW w:type="dxa" w:w="1728"/>
            <w:vAlign w:val="center"/>
            <w:tcMar>
              <w:top w:w="90" w:type="dxa"/>
              <w:start w:w="95" w:type="dxa"/>
              <w:bottom w:w="90" w:type="dxa"/>
              <w:end w:w="95" w:type="dxa"/>
            </w:tcMar>
          </w:tcPr>
          <w:p>
            <w:pPr>
              <w:spacing w:after="0" w:line="245" w:lineRule="auto"/>
            </w:pPr>
            <w:r>
              <w:rPr>
                <w:rFonts w:ascii="Aptos" w:hAnsi="Aptos"/>
                <w:color w:val="20252B"/>
                <w:sz w:val="15"/>
              </w:rPr>
              <w:t>Integration and QA</w:t>
            </w:r>
          </w:p>
        </w:tc>
        <w:tc>
          <w:tcPr>
            <w:tcW w:type="dxa" w:w="3528"/>
            <w:vAlign w:val="center"/>
            <w:tcMar>
              <w:top w:w="90" w:type="dxa"/>
              <w:start w:w="95" w:type="dxa"/>
              <w:bottom w:w="90" w:type="dxa"/>
              <w:end w:w="95" w:type="dxa"/>
            </w:tcMar>
          </w:tcPr>
          <w:p>
            <w:pPr>
              <w:spacing w:after="0" w:line="245" w:lineRule="auto"/>
            </w:pPr>
            <w:r>
              <w:rPr>
                <w:rFonts w:ascii="Aptos" w:hAnsi="Aptos"/>
                <w:color w:val="20252B"/>
                <w:sz w:val="15"/>
              </w:rPr>
              <w:t>End-to-end run, negative cases, and data-quality review.</w:t>
            </w:r>
          </w:p>
        </w:tc>
        <w:tc>
          <w:tcPr>
            <w:tcW w:type="dxa" w:w="3600"/>
            <w:vAlign w:val="center"/>
            <w:tcMar>
              <w:top w:w="90" w:type="dxa"/>
              <w:start w:w="95" w:type="dxa"/>
              <w:bottom w:w="90" w:type="dxa"/>
              <w:end w:w="95" w:type="dxa"/>
            </w:tcMar>
          </w:tcPr>
          <w:p>
            <w:pPr>
              <w:spacing w:after="0" w:line="245" w:lineRule="auto"/>
            </w:pPr>
            <w:r>
              <w:rPr>
                <w:rFonts w:ascii="Aptos" w:hAnsi="Aptos"/>
                <w:color w:val="20252B"/>
                <w:sz w:val="15"/>
              </w:rPr>
              <w:t>All 25 workbook pairings are accounted for; 19 non-matches remain unflagged.</w:t>
            </w:r>
          </w:p>
        </w:tc>
      </w:tr>
      <w:tr>
        <w:trPr>
          <w:cantSplit/>
        </w:trPr>
        <w:tc>
          <w:tcPr>
            <w:tcW w:type="dxa" w:w="1152"/>
            <w:vAlign w:val="center"/>
            <w:tcMar>
              <w:top w:w="90" w:type="dxa"/>
              <w:start w:w="95" w:type="dxa"/>
              <w:bottom w:w="90" w:type="dxa"/>
              <w:end w:w="95" w:type="dxa"/>
            </w:tcMar>
            <w:shd w:fill="F1F5F8"/>
          </w:tcPr>
          <w:p>
            <w:pPr>
              <w:spacing w:after="0" w:line="245" w:lineRule="auto"/>
            </w:pPr>
            <w:r>
              <w:rPr>
                <w:rFonts w:ascii="Aptos" w:hAnsi="Aptos"/>
                <w:color w:val="20252B"/>
                <w:sz w:val="15"/>
              </w:rPr>
              <w:t>27–32 h</w:t>
            </w:r>
          </w:p>
        </w:tc>
        <w:tc>
          <w:tcPr>
            <w:tcW w:type="dxa" w:w="1728"/>
            <w:vAlign w:val="center"/>
            <w:tcMar>
              <w:top w:w="90" w:type="dxa"/>
              <w:start w:w="95" w:type="dxa"/>
              <w:bottom w:w="90" w:type="dxa"/>
              <w:end w:w="95" w:type="dxa"/>
            </w:tcMar>
            <w:shd w:fill="F1F5F8"/>
          </w:tcPr>
          <w:p>
            <w:pPr>
              <w:spacing w:after="0" w:line="245" w:lineRule="auto"/>
            </w:pPr>
            <w:r>
              <w:rPr>
                <w:rFonts w:ascii="Aptos" w:hAnsi="Aptos"/>
                <w:color w:val="20252B"/>
                <w:sz w:val="15"/>
              </w:rPr>
              <w:t>Impact analysis</w:t>
            </w:r>
          </w:p>
        </w:tc>
        <w:tc>
          <w:tcPr>
            <w:tcW w:type="dxa" w:w="3528"/>
            <w:vAlign w:val="center"/>
            <w:tcMar>
              <w:top w:w="90" w:type="dxa"/>
              <w:start w:w="95" w:type="dxa"/>
              <w:bottom w:w="90" w:type="dxa"/>
              <w:end w:w="95" w:type="dxa"/>
            </w:tcMar>
            <w:shd w:fill="F1F5F8"/>
          </w:tcPr>
          <w:p>
            <w:pPr>
              <w:spacing w:after="0" w:line="245" w:lineRule="auto"/>
            </w:pPr>
            <w:r>
              <w:rPr>
                <w:rFonts w:ascii="Aptos" w:hAnsi="Aptos"/>
                <w:color w:val="20252B"/>
                <w:sz w:val="15"/>
              </w:rPr>
              <w:t>One candidate coordination card and transparent low/base/high sensitivity if sourced costs exist.</w:t>
            </w:r>
          </w:p>
        </w:tc>
        <w:tc>
          <w:tcPr>
            <w:tcW w:type="dxa" w:w="3600"/>
            <w:vAlign w:val="center"/>
            <w:tcMar>
              <w:top w:w="90" w:type="dxa"/>
              <w:start w:w="95" w:type="dxa"/>
              <w:bottom w:w="90" w:type="dxa"/>
              <w:end w:w="95" w:type="dxa"/>
            </w:tcMar>
            <w:shd w:fill="F1F5F8"/>
          </w:tcPr>
          <w:p>
            <w:pPr>
              <w:spacing w:after="0" w:line="245" w:lineRule="auto"/>
            </w:pPr>
            <w:r>
              <w:rPr>
                <w:rFonts w:ascii="Aptos" w:hAnsi="Aptos"/>
                <w:color w:val="20252B"/>
                <w:sz w:val="15"/>
              </w:rPr>
              <w:t>No dollar claim is presented as realized savings; assumptions and source are visible.</w:t>
            </w:r>
          </w:p>
        </w:tc>
      </w:tr>
      <w:tr>
        <w:trPr>
          <w:cantSplit/>
        </w:trPr>
        <w:tc>
          <w:tcPr>
            <w:tcW w:type="dxa" w:w="1152"/>
            <w:vAlign w:val="center"/>
            <w:tcMar>
              <w:top w:w="90" w:type="dxa"/>
              <w:start w:w="95" w:type="dxa"/>
              <w:bottom w:w="90" w:type="dxa"/>
              <w:end w:w="95" w:type="dxa"/>
            </w:tcMar>
          </w:tcPr>
          <w:p>
            <w:pPr>
              <w:spacing w:after="0" w:line="245" w:lineRule="auto"/>
            </w:pPr>
            <w:r>
              <w:rPr>
                <w:rFonts w:ascii="Aptos" w:hAnsi="Aptos"/>
                <w:color w:val="20252B"/>
                <w:sz w:val="15"/>
              </w:rPr>
              <w:t>32–36 h</w:t>
            </w:r>
          </w:p>
        </w:tc>
        <w:tc>
          <w:tcPr>
            <w:tcW w:type="dxa" w:w="1728"/>
            <w:vAlign w:val="center"/>
            <w:tcMar>
              <w:top w:w="90" w:type="dxa"/>
              <w:start w:w="95" w:type="dxa"/>
              <w:bottom w:w="90" w:type="dxa"/>
              <w:end w:w="95" w:type="dxa"/>
            </w:tcMar>
          </w:tcPr>
          <w:p>
            <w:pPr>
              <w:spacing w:after="0" w:line="245" w:lineRule="auto"/>
            </w:pPr>
            <w:r>
              <w:rPr>
                <w:rFonts w:ascii="Aptos" w:hAnsi="Aptos"/>
                <w:color w:val="20252B"/>
                <w:sz w:val="15"/>
              </w:rPr>
              <w:t>Reliability and presentation prep</w:t>
            </w:r>
          </w:p>
        </w:tc>
        <w:tc>
          <w:tcPr>
            <w:tcW w:type="dxa" w:w="3528"/>
            <w:vAlign w:val="center"/>
            <w:tcMar>
              <w:top w:w="90" w:type="dxa"/>
              <w:start w:w="95" w:type="dxa"/>
              <w:bottom w:w="90" w:type="dxa"/>
              <w:end w:w="95" w:type="dxa"/>
            </w:tcMar>
          </w:tcPr>
          <w:p>
            <w:pPr>
              <w:spacing w:after="0" w:line="245" w:lineRule="auto"/>
            </w:pPr>
            <w:r>
              <w:rPr>
                <w:rFonts w:ascii="Aptos" w:hAnsi="Aptos"/>
                <w:color w:val="20252B"/>
                <w:sz w:val="15"/>
              </w:rPr>
              <w:t>Clean startup instructions, tested data snapshot, concise architecture and value story.</w:t>
            </w:r>
          </w:p>
        </w:tc>
        <w:tc>
          <w:tcPr>
            <w:tcW w:type="dxa" w:w="3600"/>
            <w:vAlign w:val="center"/>
            <w:tcMar>
              <w:top w:w="90" w:type="dxa"/>
              <w:start w:w="95" w:type="dxa"/>
              <w:bottom w:w="90" w:type="dxa"/>
              <w:end w:w="95" w:type="dxa"/>
            </w:tcMar>
          </w:tcPr>
          <w:p>
            <w:pPr>
              <w:spacing w:after="0" w:line="245" w:lineRule="auto"/>
            </w:pPr>
            <w:r>
              <w:rPr>
                <w:rFonts w:ascii="Aptos" w:hAnsi="Aptos"/>
                <w:color w:val="20252B"/>
                <w:sz w:val="15"/>
              </w:rPr>
              <w:t>A teammate can explain one strong lead, one false-positive risk, and one unresolved data gap.</w:t>
            </w:r>
          </w:p>
        </w:tc>
      </w:tr>
    </w:tbl>
    <w:p>
      <w:pPr>
        <w:spacing w:after="20"/>
      </w:pPr>
    </w:p>
    <w:p>
      <w:pPr>
        <w:pStyle w:val="Heading1"/>
      </w:pPr>
      <w:r>
        <w:t>8. Acceptance tests and judging strategy</w:t>
      </w:r>
    </w:p>
    <w:p>
      <w:pPr>
        <w:pStyle w:val="ListBullet"/>
      </w:pPr>
      <w:r>
        <w:t>Ingest at least two utilities’ future transmission projects from public sources and record each source citation.</w:t>
      </w:r>
    </w:p>
    <w:p>
      <w:pPr>
        <w:pStyle w:val="ListBullet"/>
      </w:pPr>
      <w:r>
        <w:t>Show both utilities on a pan-and-zoom map, distinguish their projects visually, and let a user filter by utility, year, voltage, type, and confidence.</w:t>
      </w:r>
    </w:p>
    <w:p>
      <w:pPr>
        <w:pStyle w:val="ListBullet"/>
      </w:pPr>
      <w:r>
        <w:t>Apply the 25-mile threshold consistently; display every qualifying pair’s distance and both project names.</w:t>
      </w:r>
    </w:p>
    <w:p>
      <w:pPr>
        <w:pStyle w:val="ListBullet"/>
      </w:pPr>
      <w:r>
        <w:t>Detect construction-window intersections only from explicit intervals. Show in-service-date gaps as a separate proxy field.</w:t>
      </w:r>
    </w:p>
    <w:p>
      <w:pPr>
        <w:pStyle w:val="ListBullet"/>
      </w:pPr>
      <w:r>
        <w:t>Use the supplied workbook as a regression set: 10 project records, 25 possible cross-utility pairs, and six geographic candidates under 25 miles.</w:t>
      </w:r>
    </w:p>
    <w:p>
      <w:pPr>
        <w:pStyle w:val="ListBullet"/>
      </w:pPr>
      <w:r>
        <w:t>Sort candidates with geography primary and timing secondary, while displaying the exact reason and data confidence for each rank.</w:t>
      </w:r>
    </w:p>
    <w:p>
      <w:pPr>
        <w:pStyle w:val="ListBullet"/>
      </w:pPr>
      <w:r>
        <w:t>Show source page/URL, document version, and coordinate rationale in every pair detail.</w:t>
      </w:r>
    </w:p>
    <w:p>
      <w:pPr>
        <w:pStyle w:val="ListBullet"/>
      </w:pPr>
      <w:r>
        <w:t>Demonstrate the 19 non-overlapping workbook pairs as negative results, not as missing data.</w:t>
      </w:r>
    </w:p>
    <w:p>
      <w:pPr>
        <w:pStyle w:val="ListBullet"/>
      </w:pPr>
      <w:r>
        <w:t>Use only public, non-CEII inputs. Do not fetch secure models, protected load-flow files, or confidential filings.</w:t>
      </w:r>
    </w:p>
    <w:p>
      <w:r>
        <w:t>The strongest story is a repeatable research pipeline that turns scattered public project tables into cited, spatially comparable records. Present the 5.65-mile Jasper–Okatie / McIntosh–Purrysburg pair as the first lead to investigate because it has a 152-day in-service-date gap in the supplied sheet. State clearly that the gap does not prove overlapping construction. Then show the 4.09-mile Hooks–Thurmond / Evans–Thurmond pair as a useful counterexample: very close geographically, but 3,074 days apart by in-service date. This shows that the tool ranks evidence rather than treating every nearby project as an opportunity.</w:t>
      </w:r>
    </w:p>
    <w:p>
      <w:pPr>
        <w:pStyle w:val="Heading1"/>
      </w:pPr>
      <w:r>
        <w:t>9. Impact estimate and coordination handoff</w:t>
      </w:r>
    </w:p>
    <w:p>
      <w:r>
        <w:t>For the bonus impact estimate, do not equate nearby projects or disclosed capital budgets with savings. Build an assumption worksheet for one candidate that estimates only a plausible shareable activity: duplicate survey mobilization, access/landowner outreach, a staging setup, traffic control, or coordinated outage/commissioning preparation. Use sourced labor/equipment unit costs and show low, base, and high cases. Calculate potential avoided cost as duplicated activity avoided minus coordination cost. If the team cannot source defensible rates, report a qualitative opportunity and the missing data instead of inventing dollars.</w:t>
      </w:r>
    </w:p>
    <w:p>
      <w:r>
        <w:t>Each opportunity card should end with the next human action: verify the location, confirm scope, ask both planners whether work windows intersect, identify any shared right-of-way or staging asset, and route the question to the appropriate regional stakeholder meeting. The system must not automatically contact utilities or imply that a planner approved a shared solution.</w:t>
      </w:r>
    </w:p>
    <w:p>
      <w:pPr>
        <w:pStyle w:val="Heading1"/>
      </w:pPr>
      <w:r>
        <w:t>10. After-hackathon roadmap</w:t>
      </w:r>
    </w:p>
    <w:tbl>
      <w:tblPr>
        <w:tblW w:type="auto" w:w="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351"/>
        <w:gridCol w:w="3351"/>
        <w:gridCol w:w="3351"/>
      </w:tblGrid>
      <w:tr>
        <w:trPr>
          <w:tblHeader w:val="true"/>
        </w:trPr>
        <w:tc>
          <w:tcPr>
            <w:tcW w:type="dxa" w:w="2160"/>
            <w:vAlign w:val="center"/>
            <w:shd w:fill="233A54"/>
            <w:tcMar>
              <w:top w:w="110" w:type="dxa"/>
              <w:start w:w="95" w:type="dxa"/>
              <w:bottom w:w="110" w:type="dxa"/>
              <w:end w:w="95" w:type="dxa"/>
            </w:tcMar>
          </w:tcPr>
          <w:p>
            <w:pPr>
              <w:spacing w:after="0"/>
            </w:pPr>
            <w:r>
              <w:rPr>
                <w:rFonts w:ascii="Aptos" w:hAnsi="Aptos"/>
                <w:b/>
                <w:color w:val="FFFFFF"/>
                <w:sz w:val="16"/>
              </w:rPr>
              <w:t>Phase</w:t>
            </w:r>
          </w:p>
        </w:tc>
        <w:tc>
          <w:tcPr>
            <w:tcW w:type="dxa" w:w="1440"/>
            <w:vAlign w:val="center"/>
            <w:shd w:fill="233A54"/>
            <w:tcMar>
              <w:top w:w="110" w:type="dxa"/>
              <w:start w:w="95" w:type="dxa"/>
              <w:bottom w:w="110" w:type="dxa"/>
              <w:end w:w="95" w:type="dxa"/>
            </w:tcMar>
          </w:tcPr>
          <w:p>
            <w:pPr>
              <w:spacing w:after="0"/>
            </w:pPr>
            <w:r>
              <w:rPr>
                <w:rFonts w:ascii="Aptos" w:hAnsi="Aptos"/>
                <w:b/>
                <w:color w:val="FFFFFF"/>
                <w:sz w:val="16"/>
              </w:rPr>
              <w:t>Timing</w:t>
            </w:r>
          </w:p>
        </w:tc>
        <w:tc>
          <w:tcPr>
            <w:tcW w:type="dxa" w:w="6408"/>
            <w:vAlign w:val="center"/>
            <w:shd w:fill="233A54"/>
            <w:tcMar>
              <w:top w:w="110" w:type="dxa"/>
              <w:start w:w="95" w:type="dxa"/>
              <w:bottom w:w="110" w:type="dxa"/>
              <w:end w:w="95" w:type="dxa"/>
            </w:tcMar>
          </w:tcPr>
          <w:p>
            <w:pPr>
              <w:spacing w:after="0"/>
            </w:pPr>
            <w:r>
              <w:rPr>
                <w:rFonts w:ascii="Aptos" w:hAnsi="Aptos"/>
                <w:b/>
                <w:color w:val="FFFFFF"/>
                <w:sz w:val="16"/>
              </w:rPr>
              <w:t>Deliverable and gate</w:t>
            </w:r>
          </w:p>
        </w:tc>
      </w:tr>
      <w:tr>
        <w:trPr>
          <w:cantSplit/>
        </w:trPr>
        <w:tc>
          <w:tcPr>
            <w:tcW w:type="dxa" w:w="2160"/>
            <w:vAlign w:val="center"/>
            <w:tcMar>
              <w:top w:w="90" w:type="dxa"/>
              <w:start w:w="95" w:type="dxa"/>
              <w:bottom w:w="90" w:type="dxa"/>
              <w:end w:w="95" w:type="dxa"/>
            </w:tcMar>
          </w:tcPr>
          <w:p>
            <w:pPr>
              <w:spacing w:after="0" w:line="245" w:lineRule="auto"/>
            </w:pPr>
            <w:r>
              <w:rPr>
                <w:rFonts w:ascii="Aptos" w:hAnsi="Aptos"/>
                <w:color w:val="20252B"/>
                <w:sz w:val="16"/>
              </w:rPr>
              <w:t>Source refresh and validation</w:t>
            </w:r>
          </w:p>
        </w:tc>
        <w:tc>
          <w:tcPr>
            <w:tcW w:type="dxa" w:w="1440"/>
            <w:vAlign w:val="center"/>
            <w:tcMar>
              <w:top w:w="90" w:type="dxa"/>
              <w:start w:w="95" w:type="dxa"/>
              <w:bottom w:w="90" w:type="dxa"/>
              <w:end w:w="95" w:type="dxa"/>
            </w:tcMar>
          </w:tcPr>
          <w:p>
            <w:pPr>
              <w:spacing w:after="0" w:line="245" w:lineRule="auto"/>
            </w:pPr>
            <w:r>
              <w:rPr>
                <w:rFonts w:ascii="Aptos" w:hAnsi="Aptos"/>
                <w:color w:val="20252B"/>
                <w:sz w:val="16"/>
              </w:rPr>
              <w:t>Weeks 1–2</w:t>
            </w:r>
          </w:p>
        </w:tc>
        <w:tc>
          <w:tcPr>
            <w:tcW w:type="dxa" w:w="6408"/>
            <w:vAlign w:val="center"/>
            <w:tcMar>
              <w:top w:w="90" w:type="dxa"/>
              <w:start w:w="95" w:type="dxa"/>
              <w:bottom w:w="90" w:type="dxa"/>
              <w:end w:w="95" w:type="dxa"/>
            </w:tcMar>
          </w:tcPr>
          <w:p>
            <w:pPr>
              <w:spacing w:after="0" w:line="245" w:lineRule="auto"/>
            </w:pPr>
            <w:r>
              <w:rPr>
                <w:rFonts w:ascii="Aptos" w:hAnsi="Aptos"/>
                <w:color w:val="20252B"/>
                <w:sz w:val="16"/>
              </w:rPr>
              <w:t>Replace stale attachments with current filings; reconcile project IDs and plan dates; label public/CEII; get utility analyst review of location matches.</w:t>
            </w:r>
          </w:p>
        </w:tc>
      </w:tr>
      <w:tr>
        <w:trPr>
          <w:cantSplit/>
        </w:trPr>
        <w:tc>
          <w:tcPr>
            <w:tcW w:type="dxa" w:w="2160"/>
            <w:vAlign w:val="center"/>
            <w:tcMar>
              <w:top w:w="90" w:type="dxa"/>
              <w:start w:w="95" w:type="dxa"/>
              <w:bottom w:w="90" w:type="dxa"/>
              <w:end w:w="95" w:type="dxa"/>
            </w:tcMar>
            <w:shd w:fill="F1F5F8"/>
          </w:tcPr>
          <w:p>
            <w:pPr>
              <w:spacing w:after="0" w:line="245" w:lineRule="auto"/>
            </w:pPr>
            <w:r>
              <w:rPr>
                <w:rFonts w:ascii="Aptos" w:hAnsi="Aptos"/>
                <w:color w:val="20252B"/>
                <w:sz w:val="16"/>
              </w:rPr>
              <w:t>Repeatable ingestion</w:t>
            </w:r>
          </w:p>
        </w:tc>
        <w:tc>
          <w:tcPr>
            <w:tcW w:type="dxa" w:w="1440"/>
            <w:vAlign w:val="center"/>
            <w:tcMar>
              <w:top w:w="90" w:type="dxa"/>
              <w:start w:w="95" w:type="dxa"/>
              <w:bottom w:w="90" w:type="dxa"/>
              <w:end w:w="95" w:type="dxa"/>
            </w:tcMar>
            <w:shd w:fill="F1F5F8"/>
          </w:tcPr>
          <w:p>
            <w:pPr>
              <w:spacing w:after="0" w:line="245" w:lineRule="auto"/>
            </w:pPr>
            <w:r>
              <w:rPr>
                <w:rFonts w:ascii="Aptos" w:hAnsi="Aptos"/>
                <w:color w:val="20252B"/>
                <w:sz w:val="16"/>
              </w:rPr>
              <w:t>Weeks 3–4</w:t>
            </w:r>
          </w:p>
        </w:tc>
        <w:tc>
          <w:tcPr>
            <w:tcW w:type="dxa" w:w="6408"/>
            <w:vAlign w:val="center"/>
            <w:tcMar>
              <w:top w:w="90" w:type="dxa"/>
              <w:start w:w="95" w:type="dxa"/>
              <w:bottom w:w="90" w:type="dxa"/>
              <w:end w:w="95" w:type="dxa"/>
            </w:tcMar>
            <w:shd w:fill="F1F5F8"/>
          </w:tcPr>
          <w:p>
            <w:pPr>
              <w:spacing w:after="0" w:line="245" w:lineRule="auto"/>
            </w:pPr>
            <w:r>
              <w:rPr>
                <w:rFonts w:ascii="Aptos" w:hAnsi="Aptos"/>
                <w:color w:val="20252B"/>
                <w:sz w:val="16"/>
              </w:rPr>
              <w:t>Build versioned PDF/docket ingestion, quality checks, duplicate detection, source diffs, and reviewer queue. Gate: a new filing produces explainable changed records.</w:t>
            </w:r>
          </w:p>
        </w:tc>
      </w:tr>
      <w:tr>
        <w:trPr>
          <w:cantSplit/>
        </w:trPr>
        <w:tc>
          <w:tcPr>
            <w:tcW w:type="dxa" w:w="2160"/>
            <w:vAlign w:val="center"/>
            <w:tcMar>
              <w:top w:w="90" w:type="dxa"/>
              <w:start w:w="95" w:type="dxa"/>
              <w:bottom w:w="90" w:type="dxa"/>
              <w:end w:w="95" w:type="dxa"/>
            </w:tcMar>
          </w:tcPr>
          <w:p>
            <w:pPr>
              <w:spacing w:after="0" w:line="245" w:lineRule="auto"/>
            </w:pPr>
            <w:r>
              <w:rPr>
                <w:rFonts w:ascii="Aptos" w:hAnsi="Aptos"/>
                <w:color w:val="20252B"/>
                <w:sz w:val="16"/>
              </w:rPr>
              <w:t>Spatial and schedule enrichment</w:t>
            </w:r>
          </w:p>
        </w:tc>
        <w:tc>
          <w:tcPr>
            <w:tcW w:type="dxa" w:w="1440"/>
            <w:vAlign w:val="center"/>
            <w:tcMar>
              <w:top w:w="90" w:type="dxa"/>
              <w:start w:w="95" w:type="dxa"/>
              <w:bottom w:w="90" w:type="dxa"/>
              <w:end w:w="95" w:type="dxa"/>
            </w:tcMar>
          </w:tcPr>
          <w:p>
            <w:pPr>
              <w:spacing w:after="0" w:line="245" w:lineRule="auto"/>
            </w:pPr>
            <w:r>
              <w:rPr>
                <w:rFonts w:ascii="Aptos" w:hAnsi="Aptos"/>
                <w:color w:val="20252B"/>
                <w:sz w:val="16"/>
              </w:rPr>
              <w:t>Weeks 5–6</w:t>
            </w:r>
          </w:p>
        </w:tc>
        <w:tc>
          <w:tcPr>
            <w:tcW w:type="dxa" w:w="6408"/>
            <w:vAlign w:val="center"/>
            <w:tcMar>
              <w:top w:w="90" w:type="dxa"/>
              <w:start w:w="95" w:type="dxa"/>
              <w:bottom w:w="90" w:type="dxa"/>
              <w:end w:w="95" w:type="dxa"/>
            </w:tcMar>
          </w:tcPr>
          <w:p>
            <w:pPr>
              <w:spacing w:after="0" w:line="245" w:lineRule="auto"/>
            </w:pPr>
            <w:r>
              <w:rPr>
                <w:rFonts w:ascii="Aptos" w:hAnsi="Aptos"/>
                <w:color w:val="20252B"/>
                <w:sz w:val="16"/>
              </w:rPr>
              <w:t>Add verified line geometry and work windows where public sources provide them; retain low/unknown states and tests.</w:t>
            </w:r>
          </w:p>
        </w:tc>
      </w:tr>
      <w:tr>
        <w:trPr>
          <w:cantSplit/>
        </w:trPr>
        <w:tc>
          <w:tcPr>
            <w:tcW w:type="dxa" w:w="2160"/>
            <w:vAlign w:val="center"/>
            <w:tcMar>
              <w:top w:w="90" w:type="dxa"/>
              <w:start w:w="95" w:type="dxa"/>
              <w:bottom w:w="90" w:type="dxa"/>
              <w:end w:w="95" w:type="dxa"/>
            </w:tcMar>
            <w:shd w:fill="F1F5F8"/>
          </w:tcPr>
          <w:p>
            <w:pPr>
              <w:spacing w:after="0" w:line="245" w:lineRule="auto"/>
            </w:pPr>
            <w:r>
              <w:rPr>
                <w:rFonts w:ascii="Aptos" w:hAnsi="Aptos"/>
                <w:color w:val="20252B"/>
                <w:sz w:val="16"/>
              </w:rPr>
              <w:t>Planner pilot</w:t>
            </w:r>
          </w:p>
        </w:tc>
        <w:tc>
          <w:tcPr>
            <w:tcW w:type="dxa" w:w="1440"/>
            <w:vAlign w:val="center"/>
            <w:tcMar>
              <w:top w:w="90" w:type="dxa"/>
              <w:start w:w="95" w:type="dxa"/>
              <w:bottom w:w="90" w:type="dxa"/>
              <w:end w:w="95" w:type="dxa"/>
            </w:tcMar>
            <w:shd w:fill="F1F5F8"/>
          </w:tcPr>
          <w:p>
            <w:pPr>
              <w:spacing w:after="0" w:line="245" w:lineRule="auto"/>
            </w:pPr>
            <w:r>
              <w:rPr>
                <w:rFonts w:ascii="Aptos" w:hAnsi="Aptos"/>
                <w:color w:val="20252B"/>
                <w:sz w:val="16"/>
              </w:rPr>
              <w:t>Weeks 7–9</w:t>
            </w:r>
          </w:p>
        </w:tc>
        <w:tc>
          <w:tcPr>
            <w:tcW w:type="dxa" w:w="6408"/>
            <w:vAlign w:val="center"/>
            <w:tcMar>
              <w:top w:w="90" w:type="dxa"/>
              <w:start w:w="95" w:type="dxa"/>
              <w:bottom w:w="90" w:type="dxa"/>
              <w:end w:w="95" w:type="dxa"/>
            </w:tcMar>
            <w:shd w:fill="F1F5F8"/>
          </w:tcPr>
          <w:p>
            <w:pPr>
              <w:spacing w:after="0" w:line="245" w:lineRule="auto"/>
            </w:pPr>
            <w:r>
              <w:rPr>
                <w:rFonts w:ascii="Aptos" w:hAnsi="Aptos"/>
                <w:color w:val="20252B"/>
                <w:sz w:val="16"/>
              </w:rPr>
              <w:t>Replay a recent public planning cycle with two neighboring utilities or a regional planning analyst. Compare candidates with analyst judgment and record false positives.</w:t>
            </w:r>
          </w:p>
        </w:tc>
      </w:tr>
      <w:tr>
        <w:trPr>
          <w:cantSplit/>
        </w:trPr>
        <w:tc>
          <w:tcPr>
            <w:tcW w:type="dxa" w:w="2160"/>
            <w:vAlign w:val="center"/>
            <w:tcMar>
              <w:top w:w="90" w:type="dxa"/>
              <w:start w:w="95" w:type="dxa"/>
              <w:bottom w:w="90" w:type="dxa"/>
              <w:end w:w="95" w:type="dxa"/>
            </w:tcMar>
          </w:tcPr>
          <w:p>
            <w:pPr>
              <w:spacing w:after="0" w:line="245" w:lineRule="auto"/>
            </w:pPr>
            <w:r>
              <w:rPr>
                <w:rFonts w:ascii="Aptos" w:hAnsi="Aptos"/>
                <w:color w:val="20252B"/>
                <w:sz w:val="16"/>
              </w:rPr>
              <w:t>Expand or stop</w:t>
            </w:r>
          </w:p>
        </w:tc>
        <w:tc>
          <w:tcPr>
            <w:tcW w:type="dxa" w:w="1440"/>
            <w:vAlign w:val="center"/>
            <w:tcMar>
              <w:top w:w="90" w:type="dxa"/>
              <w:start w:w="95" w:type="dxa"/>
              <w:bottom w:w="90" w:type="dxa"/>
              <w:end w:w="95" w:type="dxa"/>
            </w:tcMar>
          </w:tcPr>
          <w:p>
            <w:pPr>
              <w:spacing w:after="0" w:line="245" w:lineRule="auto"/>
            </w:pPr>
            <w:r>
              <w:rPr>
                <w:rFonts w:ascii="Aptos" w:hAnsi="Aptos"/>
                <w:color w:val="20252B"/>
                <w:sz w:val="16"/>
              </w:rPr>
              <w:t>Weeks 10–12</w:t>
            </w:r>
          </w:p>
        </w:tc>
        <w:tc>
          <w:tcPr>
            <w:tcW w:type="dxa" w:w="6408"/>
            <w:vAlign w:val="center"/>
            <w:tcMar>
              <w:top w:w="90" w:type="dxa"/>
              <w:start w:w="95" w:type="dxa"/>
              <w:bottom w:w="90" w:type="dxa"/>
              <w:end w:w="95" w:type="dxa"/>
            </w:tcMar>
          </w:tcPr>
          <w:p>
            <w:pPr>
              <w:spacing w:after="0" w:line="245" w:lineRule="auto"/>
            </w:pPr>
            <w:r>
              <w:rPr>
                <w:rFonts w:ascii="Aptos" w:hAnsi="Aptos"/>
                <w:color w:val="20252B"/>
                <w:sz w:val="16"/>
              </w:rPr>
              <w:t>Evaluate usefulness, refresh reliability, analyst time, coordinate confirmation rate, and source coverage. Add utilities only after data rights and operating ownership are clear.</w:t>
            </w:r>
          </w:p>
        </w:tc>
      </w:tr>
    </w:tbl>
    <w:p>
      <w:pPr>
        <w:spacing w:after="20"/>
      </w:pPr>
    </w:p>
    <w:p>
      <w:pPr>
        <w:pStyle w:val="Heading2"/>
      </w:pPr>
      <w:r>
        <w:t>Success measures</w:t>
      </w:r>
    </w:p>
    <w:p>
      <w:pPr>
        <w:pStyle w:val="ListBullet"/>
      </w:pPr>
      <w:r>
        <w:t>Source coverage: share of eligible project rows with a document, page, and current version.</w:t>
      </w:r>
    </w:p>
    <w:p>
      <w:pPr>
        <w:pStyle w:val="ListBullet"/>
      </w:pPr>
      <w:r>
        <w:t>Location quality: share of matched projects with analyst-confirmed endpoints or geometry.</w:t>
      </w:r>
    </w:p>
    <w:p>
      <w:pPr>
        <w:pStyle w:val="ListBullet"/>
      </w:pPr>
      <w:r>
        <w:t>Detection quality: precision and recall on a planner-reviewed sample of nearby and time-overlap pairs.</w:t>
      </w:r>
    </w:p>
    <w:p>
      <w:pPr>
        <w:pStyle w:val="ListBullet"/>
      </w:pPr>
      <w:r>
        <w:t>False-positive burden: analyst minutes required to reject or confirm each lead.</w:t>
      </w:r>
    </w:p>
    <w:p>
      <w:pPr>
        <w:pStyle w:val="ListBullet"/>
      </w:pPr>
      <w:r>
        <w:t>Freshness: time between official filing publication and appearance in the reviewed project register.</w:t>
      </w:r>
    </w:p>
    <w:p>
      <w:pPr>
        <w:pStyle w:val="ListBullet"/>
      </w:pPr>
      <w:r>
        <w:t>Actionability: number of leads that planners agree merit a cross-utility question or regional discussion.</w:t>
      </w:r>
    </w:p>
    <w:p>
      <w:pPr>
        <w:pStyle w:val="ListBullet"/>
      </w:pPr>
      <w:r>
        <w:t>Impact evidence: documented costs or resources actually avoided; keep modeled value separate from realized results.</w:t>
      </w:r>
    </w:p>
    <w:p>
      <w:pPr>
        <w:pStyle w:val="Heading1"/>
      </w:pPr>
      <w:r>
        <w:t>11. Risk controls</w:t>
      </w:r>
    </w:p>
    <w:tbl>
      <w:tblPr>
        <w:tblW w:type="auto" w:w="0"/>
        <w:jc w:val="center"/>
        <w:tblLayout w:type="fixed"/>
        <w:tblLook w:firstColumn="1" w:firstRow="1" w:lastColumn="0" w:lastRow="0" w:noHBand="0" w:noVBand="1" w:val="04A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5026"/>
        <w:gridCol w:w="5026"/>
      </w:tblGrid>
      <w:tr>
        <w:trPr>
          <w:tblHeader w:val="true"/>
        </w:trPr>
        <w:tc>
          <w:tcPr>
            <w:tcW w:type="dxa" w:w="3240"/>
            <w:vAlign w:val="center"/>
            <w:shd w:fill="233A54"/>
            <w:tcMar>
              <w:top w:w="110" w:type="dxa"/>
              <w:start w:w="95" w:type="dxa"/>
              <w:bottom w:w="110" w:type="dxa"/>
              <w:end w:w="95" w:type="dxa"/>
            </w:tcMar>
          </w:tcPr>
          <w:p>
            <w:pPr>
              <w:spacing w:after="0"/>
            </w:pPr>
            <w:r>
              <w:rPr>
                <w:rFonts w:ascii="Aptos" w:hAnsi="Aptos"/>
                <w:b/>
                <w:color w:val="FFFFFF"/>
                <w:sz w:val="16"/>
              </w:rPr>
              <w:t>Risk</w:t>
            </w:r>
          </w:p>
        </w:tc>
        <w:tc>
          <w:tcPr>
            <w:tcW w:type="dxa" w:w="6768"/>
            <w:vAlign w:val="center"/>
            <w:shd w:fill="233A54"/>
            <w:tcMar>
              <w:top w:w="110" w:type="dxa"/>
              <w:start w:w="95" w:type="dxa"/>
              <w:bottom w:w="110" w:type="dxa"/>
              <w:end w:w="95" w:type="dxa"/>
            </w:tcMar>
          </w:tcPr>
          <w:p>
            <w:pPr>
              <w:spacing w:after="0"/>
            </w:pPr>
            <w:r>
              <w:rPr>
                <w:rFonts w:ascii="Aptos" w:hAnsi="Aptos"/>
                <w:b/>
                <w:color w:val="FFFFFF"/>
                <w:sz w:val="16"/>
              </w:rPr>
              <w:t>Control</w:t>
            </w:r>
          </w:p>
        </w:tc>
      </w:tr>
      <w:tr>
        <w:trPr>
          <w:cantSplit/>
        </w:trPr>
        <w:tc>
          <w:tcPr>
            <w:tcW w:type="dxa" w:w="3240"/>
            <w:vAlign w:val="center"/>
            <w:tcMar>
              <w:top w:w="90" w:type="dxa"/>
              <w:start w:w="95" w:type="dxa"/>
              <w:bottom w:w="90" w:type="dxa"/>
              <w:end w:w="95" w:type="dxa"/>
            </w:tcMar>
          </w:tcPr>
          <w:p>
            <w:pPr>
              <w:spacing w:after="0" w:line="245" w:lineRule="auto"/>
            </w:pPr>
            <w:r>
              <w:rPr>
                <w:rFonts w:ascii="Aptos" w:hAnsi="Aptos"/>
                <w:color w:val="20252B"/>
                <w:sz w:val="16"/>
              </w:rPr>
              <w:t>A similarly named facility is mapped incorrectly.</w:t>
            </w:r>
          </w:p>
        </w:tc>
        <w:tc>
          <w:tcPr>
            <w:tcW w:type="dxa" w:w="6768"/>
            <w:vAlign w:val="center"/>
            <w:tcMar>
              <w:top w:w="90" w:type="dxa"/>
              <w:start w:w="95" w:type="dxa"/>
              <w:bottom w:w="90" w:type="dxa"/>
              <w:end w:w="95" w:type="dxa"/>
            </w:tcMar>
          </w:tcPr>
          <w:p>
            <w:pPr>
              <w:spacing w:after="0" w:line="245" w:lineRule="auto"/>
            </w:pPr>
            <w:r>
              <w:rPr>
                <w:rFonts w:ascii="Aptos" w:hAnsi="Aptos"/>
                <w:color w:val="20252B"/>
                <w:sz w:val="16"/>
              </w:rPr>
              <w:t>Store alternatives and confidence; require source-based review; never hide the coordinate source.</w:t>
            </w:r>
          </w:p>
        </w:tc>
      </w:tr>
      <w:tr>
        <w:trPr>
          <w:cantSplit/>
        </w:trPr>
        <w:tc>
          <w:tcPr>
            <w:tcW w:type="dxa" w:w="3240"/>
            <w:vAlign w:val="center"/>
            <w:tcMar>
              <w:top w:w="90" w:type="dxa"/>
              <w:start w:w="95" w:type="dxa"/>
              <w:bottom w:w="90" w:type="dxa"/>
              <w:end w:w="95" w:type="dxa"/>
            </w:tcMar>
            <w:shd w:fill="F1F5F8"/>
          </w:tcPr>
          <w:p>
            <w:pPr>
              <w:spacing w:after="0" w:line="245" w:lineRule="auto"/>
            </w:pPr>
            <w:r>
              <w:rPr>
                <w:rFonts w:ascii="Aptos" w:hAnsi="Aptos"/>
                <w:color w:val="20252B"/>
                <w:sz w:val="16"/>
              </w:rPr>
              <w:t>An in-service date is mistaken for construction dates.</w:t>
            </w:r>
          </w:p>
        </w:tc>
        <w:tc>
          <w:tcPr>
            <w:tcW w:type="dxa" w:w="6768"/>
            <w:vAlign w:val="center"/>
            <w:tcMar>
              <w:top w:w="90" w:type="dxa"/>
              <w:start w:w="95" w:type="dxa"/>
              <w:bottom w:w="90" w:type="dxa"/>
              <w:end w:w="95" w:type="dxa"/>
            </w:tcMar>
            <w:shd w:fill="F1F5F8"/>
          </w:tcPr>
          <w:p>
            <w:pPr>
              <w:spacing w:after="0" w:line="245" w:lineRule="auto"/>
            </w:pPr>
            <w:r>
              <w:rPr>
                <w:rFonts w:ascii="Aptos" w:hAnsi="Aptos"/>
                <w:color w:val="20252B"/>
                <w:sz w:val="16"/>
              </w:rPr>
              <w:t>Use explicit date types; block “schedule overlap” until start/end intervals are verified.</w:t>
            </w:r>
          </w:p>
        </w:tc>
      </w:tr>
      <w:tr>
        <w:trPr>
          <w:cantSplit/>
        </w:trPr>
        <w:tc>
          <w:tcPr>
            <w:tcW w:type="dxa" w:w="3240"/>
            <w:vAlign w:val="center"/>
            <w:tcMar>
              <w:top w:w="90" w:type="dxa"/>
              <w:start w:w="95" w:type="dxa"/>
              <w:bottom w:w="90" w:type="dxa"/>
              <w:end w:w="95" w:type="dxa"/>
            </w:tcMar>
          </w:tcPr>
          <w:p>
            <w:pPr>
              <w:spacing w:after="0" w:line="245" w:lineRule="auto"/>
            </w:pPr>
            <w:r>
              <w:rPr>
                <w:rFonts w:ascii="Aptos" w:hAnsi="Aptos"/>
                <w:color w:val="20252B"/>
                <w:sz w:val="16"/>
              </w:rPr>
              <w:t>A 25-mile match is misrepresented as shareable right-of-way.</w:t>
            </w:r>
          </w:p>
        </w:tc>
        <w:tc>
          <w:tcPr>
            <w:tcW w:type="dxa" w:w="6768"/>
            <w:vAlign w:val="center"/>
            <w:tcMar>
              <w:top w:w="90" w:type="dxa"/>
              <w:start w:w="95" w:type="dxa"/>
              <w:bottom w:w="90" w:type="dxa"/>
              <w:end w:w="95" w:type="dxa"/>
            </w:tcMar>
          </w:tcPr>
          <w:p>
            <w:pPr>
              <w:spacing w:after="0" w:line="245" w:lineRule="auto"/>
            </w:pPr>
            <w:r>
              <w:rPr>
                <w:rFonts w:ascii="Aptos" w:hAnsi="Aptos"/>
                <w:color w:val="20252B"/>
                <w:sz w:val="16"/>
              </w:rPr>
              <w:t>Call it a nearby-project lead; require engineering, land, outage, and ownership review.</w:t>
            </w:r>
          </w:p>
        </w:tc>
      </w:tr>
      <w:tr>
        <w:trPr>
          <w:cantSplit/>
        </w:trPr>
        <w:tc>
          <w:tcPr>
            <w:tcW w:type="dxa" w:w="3240"/>
            <w:vAlign w:val="center"/>
            <w:tcMar>
              <w:top w:w="90" w:type="dxa"/>
              <w:start w:w="95" w:type="dxa"/>
              <w:bottom w:w="90" w:type="dxa"/>
              <w:end w:w="95" w:type="dxa"/>
            </w:tcMar>
            <w:shd w:fill="F1F5F8"/>
          </w:tcPr>
          <w:p>
            <w:pPr>
              <w:spacing w:after="0" w:line="245" w:lineRule="auto"/>
            </w:pPr>
            <w:r>
              <w:rPr>
                <w:rFonts w:ascii="Aptos" w:hAnsi="Aptos"/>
                <w:color w:val="20252B"/>
                <w:sz w:val="16"/>
              </w:rPr>
              <w:t>Stale filings make an old project look future.</w:t>
            </w:r>
          </w:p>
        </w:tc>
        <w:tc>
          <w:tcPr>
            <w:tcW w:type="dxa" w:w="6768"/>
            <w:vAlign w:val="center"/>
            <w:tcMar>
              <w:top w:w="90" w:type="dxa"/>
              <w:start w:w="95" w:type="dxa"/>
              <w:bottom w:w="90" w:type="dxa"/>
              <w:end w:w="95" w:type="dxa"/>
            </w:tcMar>
            <w:shd w:fill="F1F5F8"/>
          </w:tcPr>
          <w:p>
            <w:pPr>
              <w:spacing w:after="0" w:line="245" w:lineRule="auto"/>
            </w:pPr>
            <w:r>
              <w:rPr>
                <w:rFonts w:ascii="Aptos" w:hAnsi="Aptos"/>
                <w:color w:val="20252B"/>
                <w:sz w:val="16"/>
              </w:rPr>
              <w:t>Version every source; show status and as-of date; expire old schedule claims and refresh from current dockets.</w:t>
            </w:r>
          </w:p>
        </w:tc>
      </w:tr>
      <w:tr>
        <w:trPr>
          <w:cantSplit/>
        </w:trPr>
        <w:tc>
          <w:tcPr>
            <w:tcW w:type="dxa" w:w="3240"/>
            <w:vAlign w:val="center"/>
            <w:tcMar>
              <w:top w:w="90" w:type="dxa"/>
              <w:start w:w="95" w:type="dxa"/>
              <w:bottom w:w="90" w:type="dxa"/>
              <w:end w:w="95" w:type="dxa"/>
            </w:tcMar>
          </w:tcPr>
          <w:p>
            <w:pPr>
              <w:spacing w:after="0" w:line="245" w:lineRule="auto"/>
            </w:pPr>
            <w:r>
              <w:rPr>
                <w:rFonts w:ascii="Aptos" w:hAnsi="Aptos"/>
                <w:color w:val="20252B"/>
                <w:sz w:val="16"/>
              </w:rPr>
              <w:t>Restricted or CEII material enters the pipeline.</w:t>
            </w:r>
          </w:p>
        </w:tc>
        <w:tc>
          <w:tcPr>
            <w:tcW w:type="dxa" w:w="6768"/>
            <w:vAlign w:val="center"/>
            <w:tcMar>
              <w:top w:w="90" w:type="dxa"/>
              <w:start w:w="95" w:type="dxa"/>
              <w:bottom w:w="90" w:type="dxa"/>
              <w:end w:w="95" w:type="dxa"/>
            </w:tcMar>
          </w:tcPr>
          <w:p>
            <w:pPr>
              <w:spacing w:after="0" w:line="245" w:lineRule="auto"/>
            </w:pPr>
            <w:r>
              <w:rPr>
                <w:rFonts w:ascii="Aptos" w:hAnsi="Aptos"/>
                <w:color w:val="20252B"/>
                <w:sz w:val="16"/>
              </w:rPr>
              <w:t>Public-source allowlist, page-level sensitivity review, access controls, and removal/audit path.</w:t>
            </w:r>
          </w:p>
        </w:tc>
      </w:tr>
      <w:tr>
        <w:trPr>
          <w:cantSplit/>
        </w:trPr>
        <w:tc>
          <w:tcPr>
            <w:tcW w:type="dxa" w:w="3240"/>
            <w:vAlign w:val="center"/>
            <w:tcMar>
              <w:top w:w="90" w:type="dxa"/>
              <w:start w:w="95" w:type="dxa"/>
              <w:bottom w:w="90" w:type="dxa"/>
              <w:end w:w="95" w:type="dxa"/>
            </w:tcMar>
            <w:shd w:fill="F1F5F8"/>
          </w:tcPr>
          <w:p>
            <w:pPr>
              <w:spacing w:after="0" w:line="245" w:lineRule="auto"/>
            </w:pPr>
            <w:r>
              <w:rPr>
                <w:rFonts w:ascii="Aptos" w:hAnsi="Aptos"/>
                <w:color w:val="20252B"/>
                <w:sz w:val="16"/>
              </w:rPr>
              <w:t>AI extraction invents or normalizes away important details.</w:t>
            </w:r>
          </w:p>
        </w:tc>
        <w:tc>
          <w:tcPr>
            <w:tcW w:type="dxa" w:w="6768"/>
            <w:vAlign w:val="center"/>
            <w:tcMar>
              <w:top w:w="90" w:type="dxa"/>
              <w:start w:w="95" w:type="dxa"/>
              <w:bottom w:w="90" w:type="dxa"/>
              <w:end w:w="95" w:type="dxa"/>
            </w:tcMar>
            <w:shd w:fill="F1F5F8"/>
          </w:tcPr>
          <w:p>
            <w:pPr>
              <w:spacing w:after="0" w:line="245" w:lineRule="auto"/>
            </w:pPr>
            <w:r>
              <w:rPr>
                <w:rFonts w:ascii="Aptos" w:hAnsi="Aptos"/>
                <w:color w:val="20252B"/>
                <w:sz w:val="16"/>
              </w:rPr>
              <w:t>Use AI only for candidate extraction; preserve source text, require field validation, and keep deterministic matching.</w:t>
            </w:r>
          </w:p>
        </w:tc>
      </w:tr>
      <w:tr>
        <w:trPr>
          <w:cantSplit/>
        </w:trPr>
        <w:tc>
          <w:tcPr>
            <w:tcW w:type="dxa" w:w="3240"/>
            <w:vAlign w:val="center"/>
            <w:tcMar>
              <w:top w:w="90" w:type="dxa"/>
              <w:start w:w="95" w:type="dxa"/>
              <w:bottom w:w="90" w:type="dxa"/>
              <w:end w:w="95" w:type="dxa"/>
            </w:tcMar>
          </w:tcPr>
          <w:p>
            <w:pPr>
              <w:spacing w:after="0" w:line="245" w:lineRule="auto"/>
            </w:pPr>
            <w:r>
              <w:rPr>
                <w:rFonts w:ascii="Aptos" w:hAnsi="Aptos"/>
                <w:color w:val="20252B"/>
                <w:sz w:val="16"/>
              </w:rPr>
              <w:t>Cost estimates imply guaranteed savings.</w:t>
            </w:r>
          </w:p>
        </w:tc>
        <w:tc>
          <w:tcPr>
            <w:tcW w:type="dxa" w:w="6768"/>
            <w:vAlign w:val="center"/>
            <w:tcMar>
              <w:top w:w="90" w:type="dxa"/>
              <w:start w:w="95" w:type="dxa"/>
              <w:bottom w:w="90" w:type="dxa"/>
              <w:end w:w="95" w:type="dxa"/>
            </w:tcMar>
          </w:tcPr>
          <w:p>
            <w:pPr>
              <w:spacing w:after="0" w:line="245" w:lineRule="auto"/>
            </w:pPr>
            <w:r>
              <w:rPr>
                <w:rFonts w:ascii="Aptos" w:hAnsi="Aptos"/>
                <w:color w:val="20252B"/>
                <w:sz w:val="16"/>
              </w:rPr>
              <w:t>Expose assumptions and ranges; use only sourced costs; track modeled and realized impact separately.</w:t>
            </w:r>
          </w:p>
        </w:tc>
      </w:tr>
    </w:tbl>
    <w:p>
      <w:pPr>
        <w:spacing w:after="20"/>
      </w:pPr>
    </w:p>
    <w:p>
      <w:pPr>
        <w:pStyle w:val="Heading1"/>
      </w:pPr>
      <w:r>
        <w:t>12. Short product pitch</w:t>
      </w:r>
    </w:p>
    <w:p>
      <w:r>
        <w:t>“Gridlock reads public transmission plans and shows where neighboring utilities may be planning nearby work at similar times. Each match comes with the source page, map evidence, distance, schedule evidence, and confidence so planners can decide whether to coordinate. It finds the leads; utility engineers and planners determine whether work can actually be shared.”</w:t>
      </w:r>
    </w:p>
    <w:p>
      <w:pPr>
        <w:pStyle w:val="Heading1"/>
      </w:pPr>
      <w:r>
        <w:t>Sources and research notes</w:t>
      </w:r>
    </w:p>
    <w:p>
      <w:r>
        <w:t>The challenge, guide, spreadsheet, IRP, and internship listing below were supplied in this conversation. External sources were checked on September 26, 2026. The source documents are public-planning materials; restricted or CEII attachments are outside the project scope.</w:t>
      </w:r>
    </w:p>
    <w:p>
      <w:pPr>
        <w:spacing w:after="80"/>
      </w:pPr>
      <w:r>
        <w:rPr>
          <w:b/>
        </w:rPr>
        <w:t>[1] ShellHacks Challenge Gridlock.docx</w:t>
      </w:r>
      <w:r>
        <w:t xml:space="preserve"> — Challenge definition, utilities, 25-mile threshold, required interface and bonus estimate.</w:t>
      </w:r>
    </w:p>
    <w:p>
      <w:pPr>
        <w:spacing w:after="80"/>
      </w:pPr>
      <w:r>
        <w:rPr>
          <w:b/>
        </w:rPr>
        <w:t>[2] Finding Real Locations Guide.docx</w:t>
      </w:r>
      <w:r>
        <w:t xml:space="preserve"> — Location candidate workflow, source verification, centerpoint distance method, and overlap table.</w:t>
      </w:r>
    </w:p>
    <w:p>
      <w:pPr>
        <w:spacing w:after="80"/>
      </w:pPr>
      <w:r>
        <w:rPr>
          <w:b/>
        </w:rPr>
        <w:t>[3] Projects Overlaps.xlsx</w:t>
      </w:r>
      <w:r>
        <w:t xml:space="preserve"> — Ten-project test set and six listed under-25-mile pairs.</w:t>
      </w:r>
    </w:p>
    <w:p>
      <w:pPr>
        <w:spacing w:after="80"/>
      </w:pPr>
      <w:r>
        <w:rPr>
          <w:b/>
        </w:rPr>
        <w:t>[4] Software Engineer Intern Listing.docx</w:t>
      </w:r>
      <w:r>
        <w:t xml:space="preserve"> — Sponsor role emphasis on ETL, validation, document parsing, metadata, PostgreSQL, cloud, and user-facing internal tools.</w:t>
      </w:r>
    </w:p>
    <w:p>
      <w:pPr>
        <w:spacing w:after="80"/>
      </w:pPr>
      <w:r>
        <w:rPr>
          <w:b/>
        </w:rPr>
        <w:t>[5] 2024–2028 project descriptions PDF and 2025 IRP Volume 3 PDF</w:t>
      </w:r>
      <w:r>
        <w:t xml:space="preserve"> — User-supplied utility source snapshots. Georgia Power Volume 3 states it is a December 2024 snapshot.</w:t>
      </w:r>
    </w:p>
    <w:p>
      <w:pPr>
        <w:spacing w:after="80"/>
      </w:pPr>
      <w:r>
        <w:rPr>
          <w:b/>
        </w:rPr>
        <w:t>[6] FERC Order No. 1920 explainer</w:t>
      </w:r>
      <w:r>
        <w:t xml:space="preserve"> — Includes Orders 1920, 1920-A, and 1920-B; long-term regional planning, state participation, cost allocation, and transparency.</w:t>
      </w:r>
      <w:r>
        <w:br/>
        <w:t>https://www.ferc.gov/explainer-transmission-planning-and-cost-allocation-final-rule</w:t>
      </w:r>
    </w:p>
    <w:p>
      <w:pPr>
        <w:spacing w:after="80"/>
      </w:pPr>
      <w:r>
        <w:rPr>
          <w:b/>
        </w:rPr>
        <w:t>[7] FERC Order No. 1920 compliance filing schedule</w:t>
      </w:r>
      <w:r>
        <w:t xml:space="preserve"> — Published deadlines for SERTP/SCRTP first and second filings.</w:t>
      </w:r>
      <w:r>
        <w:br/>
        <w:t>https://www.ferc.gov/news-events/news/order-no-1920-compliance-filings-schedule</w:t>
      </w:r>
    </w:p>
    <w:p>
      <w:pPr>
        <w:spacing w:after="80"/>
      </w:pPr>
      <w:r>
        <w:rPr>
          <w:b/>
        </w:rPr>
        <w:t>[8] Southeastern Regional Transmission Planning</w:t>
      </w:r>
      <w:r>
        <w:t xml:space="preserve"> — Current public notices, reports, and the Dominion/Santee Cooper planned transition statement.</w:t>
      </w:r>
      <w:r>
        <w:br/>
        <w:t>https://www.southeasternrtp.com/</w:t>
      </w:r>
    </w:p>
    <w:p>
      <w:pPr>
        <w:spacing w:after="80"/>
      </w:pPr>
      <w:r>
        <w:rPr>
          <w:b/>
        </w:rPr>
        <w:t>[9] SERTP 2026 reference library</w:t>
      </w:r>
      <w:r>
        <w:t xml:space="preserve"> — Lists 2026 public planning and stakeholder materials; check each file’s CEII/public designation before ingestion.</w:t>
      </w:r>
      <w:r>
        <w:br/>
        <w:t>https://www.southeasternrtp.com/reference_library.cshtml</w:t>
      </w:r>
    </w:p>
    <w:p>
      <w:pPr>
        <w:spacing w:after="80"/>
      </w:pPr>
      <w:r>
        <w:rPr>
          <w:b/>
        </w:rPr>
        <w:t>[10] Dominion Energy South Carolina 2025–2029 project descriptions</w:t>
      </w:r>
      <w:r>
        <w:t xml:space="preserve"> — Current five-year project-description source found during research.</w:t>
      </w:r>
      <w:r>
        <w:br/>
        <w:t>https://scrtp.stge.dominionenergyse.com/assets/pdfs/home/2025-2029-2million-and-above-project-descriptions.pdf</w:t>
      </w:r>
    </w:p>
    <w:p>
      <w:pPr>
        <w:spacing w:after="80"/>
      </w:pPr>
      <w:r>
        <w:rPr>
          <w:b/>
        </w:rPr>
        <w:t>[11] South Carolina PSC docket 2026-9-E</w:t>
      </w:r>
      <w:r>
        <w:t xml:space="preserve"> — Docket page showing the 2026 IRP filing on March 31, 2026.</w:t>
      </w:r>
      <w:r>
        <w:br/>
        <w:t>https://dms.psc.sc.gov/Web/Dockets/Detail/119499</w:t>
      </w:r>
    </w:p>
    <w:p>
      <w:pPr>
        <w:spacing w:after="80"/>
      </w:pPr>
      <w:r>
        <w:rPr>
          <w:b/>
        </w:rPr>
        <w:t>[12] Georgia Power Integrated Resource Plan page</w:t>
      </w:r>
      <w:r>
        <w:t xml:space="preserve"> — Approved 2025 IRP and 10-year transmission-plan summary.</w:t>
      </w:r>
      <w:r>
        <w:br/>
        <w:t>https://www.georgiapower.com/about/company/filings/irp.html</w:t>
      </w:r>
    </w:p>
    <w:sectPr w:rsidR="00FC693F" w:rsidRPr="0006063C" w:rsidSect="00034616">
      <w:footerReference w:type="default" r:id="rId9"/>
      <w:pgSz w:w="12240" w:h="15840"/>
      <w:pgMar w:top="1037" w:right="1094" w:bottom="979" w:left="1094"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color w:val="66717D"/>
        <w:sz w:val="16"/>
      </w:rPr>
      <w:t xml:space="preserve">GRIDLOCK  |  BUILD PLAN  |  SEPTEMBER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9" w:lineRule="auto"/>
    </w:pPr>
    <w:rPr>
      <w:rFonts w:ascii="Aptos" w:hAnsi="Aptos"/>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color w:val="20252B"/>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color w:val="20252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Gridlock Utility Project Overlap Tool Full Build Plan</dc:title>
  <dc:subject>ShellHacks 2026 challenge product and implementation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