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Universidad de San Andrés — Macroeconometría 2026</w:t>
      </w:r>
    </w:p>
    <w:p>
      <w:pPr>
        <w:spacing w:after="40"/>
        <w:jc w:val="center"/>
      </w:pPr>
      <w:r>
        <w:rPr>
          <w:b/>
          <w:bCs/>
          <w:color w:val="1F3A5F"/>
          <w:sz w:val="32"/>
          <w:szCs w:val="32"/>
        </w:rPr>
        <w:t xml:space="preserve">Trabajo Práctico 2 — Exchange Rate Pass-Through</w:t>
      </w:r>
    </w:p>
    <w:p>
      <w:pPr>
        <w:spacing w:after="240"/>
        <w:jc w:val="center"/>
      </w:pPr>
      <w:r>
        <w:rPr>
          <w:color w:val="374151"/>
          <w:sz w:val="24"/>
          <w:szCs w:val="24"/>
        </w:rPr>
        <w:t xml:space="preserve">Documento de datos y variables — Colombia</w:t>
      </w:r>
    </w:p>
    <w:p>
      <w:pPr>
        <w:pStyle w:val="Heading1"/>
        <w:spacing w:after="120" w:before="240"/>
      </w:pPr>
      <w:r>
        <w:rPr>
          <w:color w:val="1F3A5F"/>
        </w:rPr>
        <w:t xml:space="preserve">1. Descripción general</w:t>
      </w:r>
    </w:p>
    <w:p>
      <w:pPr>
        <w:spacing w:after="100"/>
      </w:pPr>
      <w:r>
        <w:t xml:space="preserve">Este documento describe las variables utilizadas en el Trabajo Práctico 2, correspondientes a </w:t>
      </w:r>
      <w:r>
        <w:rPr>
          <w:b/>
          <w:bCs/>
        </w:rPr>
        <w:t xml:space="preserve">Colombia</w:t>
      </w:r>
      <w:r>
        <w:t xml:space="preserve"> como economía emergente con régimen de tipo de cambio flexible. </w:t>
      </w:r>
      <w:r>
        <w:t xml:space="preserve">Colombia fue seleccionada porque es un flotador genuino de facto según la clasificación del FMI (AREAER), </w:t>
      </w:r>
      <w:r>
        <w:t xml:space="preserve">cuenta con EMBI, y su banco central publica una encuesta mensual de expectativas (EME) que provee tanto </w:t>
      </w:r>
      <w:r>
        <w:t xml:space="preserve">expectativas de inflación como de tipo de cambio a 12 meses móviles, de forma gratuita y con historia larga.</w:t>
      </w:r>
    </w:p>
    <w:p>
      <w:pPr>
        <w:spacing w:after="100"/>
      </w:pPr>
      <w:r>
        <w:rPr>
          <w:b/>
          <w:bCs/>
        </w:rPr>
        <w:t xml:space="preserve">Ventana muestral: </w:t>
      </w:r>
      <w:r>
        <w:t xml:space="preserve">octubre 2003 – marzo 2023 (234 observaciones mensuales, sin huecos). </w:t>
      </w:r>
      <w:r>
        <w:t xml:space="preserve">El límite inicial lo impone la encuesta de expectativas (EME, desde oct-2003) y el límite final el EMBI (hasta mar-2023). </w:t>
      </w:r>
      <w:r>
        <w:t xml:space="preserve">El período cubre holgadamente el requisito de al menos 15 años.</w:t>
      </w:r>
    </w:p>
    <w:p>
      <w:pPr>
        <w:spacing w:after="100"/>
      </w:pPr>
      <w:r>
        <w:rPr>
          <w:b/>
          <w:bCs/>
        </w:rPr>
        <w:t xml:space="preserve">Convención cambiaria: </w:t>
      </w:r>
      <w:r>
        <w:t xml:space="preserve">el tipo de cambio se expresa en pesos colombianos por dólar (COP/USD); </w:t>
      </w:r>
      <w:r>
        <w:t xml:space="preserve">un aumento del índice equivale a una depreciación del peso.</w:t>
      </w:r>
    </w:p>
    <w:p>
      <w:pPr>
        <w:pStyle w:val="Heading1"/>
        <w:spacing w:after="120" w:before="240"/>
      </w:pPr>
      <w:r>
        <w:rPr>
          <w:color w:val="1F3A5F"/>
        </w:rPr>
        <w:t xml:space="preserve">2. Resumen de variables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600"/>
        <w:gridCol w:w="3400"/>
        <w:gridCol w:w="2400"/>
        <w:gridCol w:w="1600"/>
      </w:tblGrid>
      <w:tr>
        <w:trPr>
          <w:tblHeader/>
        </w:trPr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Transformación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exp_inf_12m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Expectativa de inflación a 12 meses (mediana)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BanRep — EME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100·log(1+x)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exp_tcn_12m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Expectativa de TRM a 12 meses (mediana)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BanRep — EME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100·log(x)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tcn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Tipo de cambio nominal COP/USD (prom. mensual)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BanRep — TRM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100·log(x)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ipc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IPC desestacionalizado (base 2018)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DANE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100·log(x)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Términos de intercambio de commodities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FMI — CTOT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100·log(x)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embi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Spread soberano EMBI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JP Morgan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niveles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fed_mp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Shock de política monetaria Fed (MP median)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Jarocinski-Karadi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niveles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ebp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Excess Bond Premium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Fed (Gilchrist-Zakrajšek)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niveles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oil_shock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Shock de oferta de petróleo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Baumeister-Hamilton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niveles</w:t>
            </w:r>
          </w:p>
        </w:tc>
      </w:tr>
    </w:tbl>
    <w:p>
      <w:pPr>
        <w:pStyle w:val="Heading1"/>
        <w:spacing w:after="120" w:before="240"/>
      </w:pPr>
      <w:r>
        <w:rPr>
          <w:color w:val="1F3A5F"/>
        </w:rPr>
        <w:t xml:space="preserve">3. Fichas detalladas</w:t>
      </w:r>
    </w:p>
    <w:p>
      <w:pPr>
        <w:pStyle w:val="Heading2"/>
        <w:spacing w:after="120" w:before="240"/>
      </w:pPr>
      <w:r>
        <w:rPr>
          <w:color w:val="1F3A5F"/>
        </w:rPr>
        <w:t xml:space="preserve">3.1 Expectativa de inflación a 12 meses  (exp_inf_12m)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Expectativa de inflación de los analistas económicos para los próximos 12 meses móviles (no fin de año calendario). Mediana del panel.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Banco de la República — Encuesta Mensual de Expectativas de Analistas Económicos (EME), hoja INFLACION_TOTAL, bloque "doce meses", columna Mediana.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Panel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Bancos, comisionistas, fondos de pensiones, aseguradoras, centros de estudios y organismos internacionales.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Octubre 2003 – 2026 (el primer dato, sep-2003, viene vacío).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Unidad original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Proporción decimal (0,061 = 6,1%).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100·log(1+x). Equivale a la fórmula del TP 100·log(1+x/100) con x en %, ya que el dato viene en decimal.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Tratamiento de fechas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Normalización al primer día del mes (floor_date).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3.2 Expectativa de tipo de cambio a 12 meses  (exp_tcn_12m)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Expectativa de los analistas para la TRM (pesos por dólar) a 12 meses móviles. Mediana del panel.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Banco de la República — EME, hoja TRM, bloque "+12 meses", columna Mediana.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Septiembre 2003 – 2026.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Unidad original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Nivel, pesos por dólar.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100·log(x).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Nota metodológica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Hasta dic-2014 se preguntó por la TRM promedio mensual; desde ene-2015, por la TRM del último día del mes.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Carácter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Variable opcional; su disponibilidad permite usar la primera definición de ERPT.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3.3 Tipo de cambio nominal  (tcn)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Tipo de cambio nominal peso/dólar, en pesos por dólar. Promedio mensual de la TRM diaria.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Banco de la República — TRM (Datos Abiertos Colombia / Portal de Estadísticas).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 original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Diaria.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Agregación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Promedio mensual de los días hábiles.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Diciembre 1991 – julio 2026 (el último mes puede ser parcial; queda fuera de la ventana).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Unidad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Pesos por dólar; un aumento = depreciación del peso.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100·log(x).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3.4 IPC desestacionalizado  (ipc)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Índice de Precios al Consumidor de Colombia, base 2018=100, ajustado estacionalmente.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DANE, obtenido vía Portal de Estadísticas del Banco de la República (serie "dato fin de mes").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 procesada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Enero 2003 – junio 2026.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Desestacionalización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X-13ARIMA-SEATS (paquete seasonal de R). Modelo ARIMA (1 1 2)(0 1 1) automático, transformación logarítmica, con outlier aditivo detectado en mayo 2021 (paro nacional). Diagnóstico QS=0 (sin estacionalidad residual).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100·log(IPC desestacionalizado).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3.5 Términos de intercambio de commodities  (tot)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Índice de términos de intercambio de commodities (Commodity Net Export Price Index): precios internacionales de materias primas ponderados por exportaciones netas. Operacionalización de Drechsel &amp; Tenreyro (2018).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FMI — base Commodity Terms of Trade (Gruss &amp; Kebhaj, 2019). Serie M.CO.xm.R_RW_IX, vía DBnomics / portal FMI.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Variante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Pesos variables en el tiempo (rolling weights), elegida porque para Colombia los pesos fijos subestiman el ciclo de términos de intercambio de los 2000 por el peso creciente del petróleo.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Enero 1980 – marzo 2025.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100·log(x).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3.6 EMBI Colombia  (embi)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Emerging Markets Bond Index de Colombia: spread soberano (deuda colombiana en dólares vs. Tesoro de EE.UU.), en puntos básicos. Riesgo país.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JP Morgan EMBI (panel diario provisto para el curso). Columna Colombia.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 original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Diaria.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Agregación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Promedio 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Febrero 1997 – marzo 2023 (acota la ventana del panel por el extremo derecho).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Unidad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Puntos básicos.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Ninguna — se mantiene en niveles.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3.7 Shock de política monetaria de la Fed  (fed_mp)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Shock de política monetaria de la Reserva Federal, versión "MP median" (median rotation).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Jarocinski &amp; Karadi, serie actualizada (repositorio de M. Jarocinski). Columna MP_median.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Febrero 1990 – marzo 2026.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Ninguna — es un shock estructural, se usa en niveles.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3.8 Excess Bond Premium  (ebp)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Excess Bond Premium: componente del spread corporativo no explicado por riesgo de default; medida de flight-to-safety / apetito de riesgo global.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Reserva Federal (Gilchrist &amp; Zakrajšek). Serie ebp del CSV oficial del Board of Governors.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Enero 1973 – junio 2026.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Ninguna — se usa en niveles.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color w:val="1F3A5F"/>
        </w:rPr>
        <w:t xml:space="preserve">3.9 Shock de oferta de petróleo  (oil_shock)</w:t>
      </w:r>
    </w:p>
    <w:tbl>
      <w:tblPr>
        <w:tblW w:type="dxa" w:w="900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00"/>
        <w:gridCol w:w="6400"/>
      </w:tblGrid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Shock estructural de oferta de petróleo (posterior median).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Baumeister &amp; Hamilton (2019), "Structural Interpretation of VARs...", American Economic Review 109(5).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Periodicidad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Mensual.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Febrero 1975 – enero 2026.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Transformación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t xml:space="preserve">Ninguna — es un shock estructural, se usa en niveles.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color w:val="1F3A5F"/>
        </w:rPr>
        <w:t xml:space="preserve">4. Notas de construcción del panel</w:t>
      </w:r>
    </w:p>
    <w:p>
      <w:pPr>
        <w:spacing w:after="100"/>
      </w:pPr>
      <w:r>
        <w:t xml:space="preserve">Todas las series se llevaron a frecuencia mensual con fecha normalizada al primer día del mes. </w:t>
      </w:r>
      <w:r>
        <w:t xml:space="preserve">El panel final se construyó por intersección temporal (inner join): solo se conservan los meses en que todas las variables tienen dato, </w:t>
      </w:r>
      <w:r>
        <w:t xml:space="preserve">resultando en 234 observaciones continuas sin huecos ni valores faltantes, de octubre 2003 a marzo 2023.</w:t>
      </w:r>
    </w:p>
    <w:p>
      <w:pPr>
        <w:spacing w:after="100"/>
      </w:pPr>
      <w:r>
        <w:rPr>
          <w:b/>
          <w:bCs/>
        </w:rPr>
        <w:t xml:space="preserve">Distinción de transformaciones: </w:t>
      </w:r>
      <w:r>
        <w:t xml:space="preserve">las variables de precios y cantidades (tcn, ipc, tot) y las expectativas se transforman en logaritmos (×100); </w:t>
      </w:r>
      <w:r>
        <w:t xml:space="preserve">el EMBI y los tres shocks globales (fed_mp, ebp, oil_shock) se mantienen en niveles, por tratarse de spreads e innovaciones estructurales ya estandarizadas.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2026-08-01T05:42:24.893Z</dcterms:created>
  <dcterms:modified xsi:type="dcterms:W3CDTF">2026-08-01T05:42:24.908Z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