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F141B">
      <w:pPr>
        <w:pStyle w:val="36"/>
      </w:pPr>
      <w:r>
        <w:t>Complete Shariah screening guide for Halalify</w:t>
      </w:r>
    </w:p>
    <w:p w14:paraId="47AD9F98">
      <w:r>
        <w:t>One document for understanding, choosing and implementing the rules | Version 3 | 3 October 2026</w:t>
      </w:r>
    </w:p>
    <w:p w14:paraId="139F3019">
      <w:pPr>
        <w:pStyle w:val="3"/>
      </w:pPr>
      <w:r>
        <w:t>What we are doing</w:t>
      </w:r>
    </w:p>
    <w:p w14:paraId="4FAD03E7">
      <w:r>
        <w:t>We have collected company information. We now need to agree on the rules used to check it. Screening first checks the business, then the finances. A company must satisfy every applicable check to pass. Missing required information means needs review, not an automatic pass.</w:t>
      </w:r>
    </w:p>
    <w:p w14:paraId="3DFA289C">
      <w:pPr>
        <w:pStyle w:val="3"/>
      </w:pPr>
      <w:r>
        <w:t>What the comparison columns mean</w:t>
      </w:r>
    </w:p>
    <w:p w14:paraId="736117F8">
      <w:r>
        <w:t>Method means the name of the rules. Role explains who uses them and why. Fit for this FYP means how suitable they are for our US-stock project and what extra information they require. The table compares methods; it does not give company screening results.</w:t>
      </w:r>
    </w:p>
    <w:p w14:paraId="68DF40C8">
      <w:pPr>
        <w:pStyle w:val="3"/>
      </w:pPr>
      <w:r>
        <w:t>Why FTSE Yasaar is recommended for consideration</w:t>
      </w:r>
    </w:p>
    <w:p w14:paraId="5EE57BED">
      <w:r>
        <w:t>It is an international approach, its public financial rules use total assets, and that fits our SEC financial-data route. This is a practical project recommendation, not a claim that it is religiously superior. Complete data and reviewed definitions are still required. Our own implementation is not an official FTSE or Yasaar certificate.</w:t>
      </w:r>
    </w:p>
    <w:p w14:paraId="33F0695A">
      <w:pPr>
        <w:pStyle w:val="3"/>
      </w:pPr>
      <w:r>
        <w:t>How to use this guide</w:t>
      </w:r>
    </w:p>
    <w:p w14:paraId="14CD2546">
      <w:r>
        <w:t>Read the explanations first, compare the four methods, then use the data checklist with your teammate. Record the chosen method and version before coding. Keep the original source references because a short summary cannot replace the full standard.</w:t>
      </w:r>
    </w:p>
    <w:p w14:paraId="30425F1E">
      <w:r>
        <w:br w:type="page"/>
      </w:r>
    </w:p>
    <w:p w14:paraId="732B1D5B">
      <w:r>
        <w:t>This document supports choosing and implementing a screening method for the Halalify US-stock FYP. It separates published rules from project proposals.</w:t>
      </w:r>
    </w:p>
    <w:p w14:paraId="210F2E95">
      <w:pPr>
        <w:pStyle w:val="2"/>
      </w:pPr>
      <w:r>
        <w:t>What the methods do</w:t>
      </w:r>
    </w:p>
    <w:p w14:paraId="3B604CA8">
      <w:r>
        <w:t>A company report describes its business and finances. Screening uses those facts to check activity and financial limits. Assets are what the company owns; debt is borrowing; receivables are money customers owe; revenue is income from sales before costs. Profit is not the same as revenue. Each method defines its own amounts and limits.</w:t>
      </w:r>
    </w:p>
    <w:tbl>
      <w:tblPr>
        <w:tblStyle w:val="12"/>
        <w:tblW w:w="0" w:type="auto"/>
        <w:tblInd w:w="0" w:type="dxa"/>
        <w:tblLayout w:type="fixed"/>
        <w:tblCellMar>
          <w:top w:w="0" w:type="dxa"/>
          <w:left w:w="108" w:type="dxa"/>
          <w:bottom w:w="0" w:type="dxa"/>
          <w:right w:w="108" w:type="dxa"/>
        </w:tblCellMar>
      </w:tblPr>
      <w:tblGrid>
        <w:gridCol w:w="3408"/>
        <w:gridCol w:w="3408"/>
        <w:gridCol w:w="3408"/>
      </w:tblGrid>
      <w:tr w14:paraId="4F49E98D">
        <w:tblPrEx>
          <w:tblCellMar>
            <w:top w:w="0" w:type="dxa"/>
            <w:left w:w="108" w:type="dxa"/>
            <w:bottom w:w="0" w:type="dxa"/>
            <w:right w:w="108" w:type="dxa"/>
          </w:tblCellMar>
        </w:tblPrEx>
        <w:trPr>
          <w:cantSplit/>
          <w:tblHeader/>
        </w:trPr>
        <w:tc>
          <w:tcPr>
            <w:tcW w:w="3408" w:type="dxa"/>
            <w:tcBorders>
              <w:top w:val="single" w:color="D9D9D9" w:sz="4" w:space="0"/>
              <w:left w:val="single" w:color="D9D9D9" w:sz="4" w:space="0"/>
              <w:bottom w:val="single" w:color="D9D9D9" w:sz="4" w:space="0"/>
              <w:right w:val="single" w:color="D9D9D9" w:sz="4" w:space="0"/>
            </w:tcBorders>
            <w:shd w:val="clear" w:color="auto" w:fill="17365D"/>
          </w:tcPr>
          <w:p w14:paraId="38E133FE">
            <w:pPr>
              <w:spacing w:before="100" w:after="100"/>
            </w:pPr>
            <w:r>
              <w:rPr>
                <w:b/>
                <w:color w:val="FFFFFF"/>
                <w:sz w:val="20"/>
              </w:rPr>
              <w:t>Method</w:t>
            </w:r>
          </w:p>
        </w:tc>
        <w:tc>
          <w:tcPr>
            <w:tcW w:w="3408" w:type="dxa"/>
            <w:tcBorders>
              <w:top w:val="single" w:color="D9D9D9" w:sz="4" w:space="0"/>
              <w:left w:val="single" w:color="D9D9D9" w:sz="4" w:space="0"/>
              <w:bottom w:val="single" w:color="D9D9D9" w:sz="4" w:space="0"/>
              <w:right w:val="single" w:color="D9D9D9" w:sz="4" w:space="0"/>
            </w:tcBorders>
            <w:shd w:val="clear" w:color="auto" w:fill="17365D"/>
          </w:tcPr>
          <w:p w14:paraId="3CF0F514">
            <w:pPr>
              <w:spacing w:before="100" w:after="100"/>
            </w:pPr>
            <w:r>
              <w:rPr>
                <w:b/>
                <w:color w:val="FFFFFF"/>
                <w:sz w:val="20"/>
              </w:rPr>
              <w:t>Role</w:t>
            </w:r>
          </w:p>
        </w:tc>
        <w:tc>
          <w:tcPr>
            <w:tcW w:w="3408" w:type="dxa"/>
            <w:tcBorders>
              <w:top w:val="single" w:color="D9D9D9" w:sz="4" w:space="0"/>
              <w:left w:val="single" w:color="D9D9D9" w:sz="4" w:space="0"/>
              <w:bottom w:val="single" w:color="D9D9D9" w:sz="4" w:space="0"/>
              <w:right w:val="single" w:color="D9D9D9" w:sz="4" w:space="0"/>
            </w:tcBorders>
            <w:shd w:val="clear" w:color="auto" w:fill="17365D"/>
          </w:tcPr>
          <w:p w14:paraId="023A03E6">
            <w:pPr>
              <w:spacing w:before="100" w:after="100"/>
            </w:pPr>
            <w:r>
              <w:rPr>
                <w:b/>
                <w:color w:val="FFFFFF"/>
                <w:sz w:val="20"/>
              </w:rPr>
              <w:t>Fit for this FYP</w:t>
            </w:r>
          </w:p>
        </w:tc>
      </w:tr>
      <w:tr w14:paraId="676DACCD">
        <w:tblPrEx>
          <w:tblCellMar>
            <w:top w:w="0" w:type="dxa"/>
            <w:left w:w="108" w:type="dxa"/>
            <w:bottom w:w="0" w:type="dxa"/>
            <w:right w:w="108" w:type="dxa"/>
          </w:tblCellMar>
        </w:tblPrEx>
        <w:trPr>
          <w:cantSplit/>
        </w:trPr>
        <w:tc>
          <w:tcPr>
            <w:tcW w:w="3408" w:type="dxa"/>
            <w:tcBorders>
              <w:top w:val="single" w:color="D9D9D9" w:sz="4" w:space="0"/>
              <w:left w:val="single" w:color="D9D9D9" w:sz="4" w:space="0"/>
              <w:bottom w:val="single" w:color="D9D9D9" w:sz="4" w:space="0"/>
              <w:right w:val="single" w:color="D9D9D9" w:sz="4" w:space="0"/>
            </w:tcBorders>
            <w:shd w:val="clear" w:color="auto" w:fill="EEF3F8"/>
          </w:tcPr>
          <w:p w14:paraId="21C0C382">
            <w:pPr>
              <w:spacing w:before="100" w:after="100"/>
            </w:pPr>
            <w:r>
              <w:rPr>
                <w:b w:val="0"/>
                <w:sz w:val="20"/>
              </w:rPr>
              <w:t>Meezan</w:t>
            </w:r>
          </w:p>
        </w:tc>
        <w:tc>
          <w:tcPr>
            <w:tcW w:w="3408" w:type="dxa"/>
            <w:tcBorders>
              <w:top w:val="single" w:color="D9D9D9" w:sz="4" w:space="0"/>
              <w:left w:val="single" w:color="D9D9D9" w:sz="4" w:space="0"/>
              <w:bottom w:val="single" w:color="D9D9D9" w:sz="4" w:space="0"/>
              <w:right w:val="single" w:color="D9D9D9" w:sz="4" w:space="0"/>
            </w:tcBorders>
            <w:shd w:val="clear" w:color="auto" w:fill="EEF3F8"/>
          </w:tcPr>
          <w:p w14:paraId="203CAE31">
            <w:pPr>
              <w:spacing w:before="100" w:after="100"/>
            </w:pPr>
            <w:r>
              <w:rPr>
                <w:b w:val="0"/>
                <w:sz w:val="20"/>
              </w:rPr>
              <w:t>Pakistan-focused published equity criteria</w:t>
            </w:r>
          </w:p>
        </w:tc>
        <w:tc>
          <w:tcPr>
            <w:tcW w:w="3408" w:type="dxa"/>
            <w:tcBorders>
              <w:top w:val="single" w:color="D9D9D9" w:sz="4" w:space="0"/>
              <w:left w:val="single" w:color="D9D9D9" w:sz="4" w:space="0"/>
              <w:bottom w:val="single" w:color="D9D9D9" w:sz="4" w:space="0"/>
              <w:right w:val="single" w:color="D9D9D9" w:sz="4" w:space="0"/>
            </w:tcBorders>
            <w:shd w:val="clear" w:color="auto" w:fill="EEF3F8"/>
          </w:tcPr>
          <w:p w14:paraId="5DE8AEC6">
            <w:pPr>
              <w:spacing w:before="100" w:after="100"/>
            </w:pPr>
            <w:r>
              <w:rPr>
                <w:b w:val="0"/>
                <w:sz w:val="20"/>
              </w:rPr>
              <w:t>Comparison option; needs additional illiquid-assets and share data</w:t>
            </w:r>
          </w:p>
        </w:tc>
      </w:tr>
      <w:tr w14:paraId="274D4F70">
        <w:tblPrEx>
          <w:tblCellMar>
            <w:top w:w="0" w:type="dxa"/>
            <w:left w:w="108" w:type="dxa"/>
            <w:bottom w:w="0" w:type="dxa"/>
            <w:right w:w="108" w:type="dxa"/>
          </w:tblCellMar>
        </w:tblPrEx>
        <w:trPr>
          <w:cantSplit/>
        </w:trPr>
        <w:tc>
          <w:tcPr>
            <w:tcW w:w="3408" w:type="dxa"/>
            <w:tcBorders>
              <w:top w:val="single" w:color="D9D9D9" w:sz="4" w:space="0"/>
              <w:left w:val="single" w:color="D9D9D9" w:sz="4" w:space="0"/>
              <w:bottom w:val="single" w:color="D9D9D9" w:sz="4" w:space="0"/>
              <w:right w:val="single" w:color="D9D9D9" w:sz="4" w:space="0"/>
            </w:tcBorders>
            <w:shd w:val="clear" w:color="auto" w:fill="FFFFFF"/>
          </w:tcPr>
          <w:p w14:paraId="1A4B86FF">
            <w:pPr>
              <w:spacing w:before="100" w:after="100"/>
            </w:pPr>
            <w:r>
              <w:rPr>
                <w:b w:val="0"/>
                <w:sz w:val="20"/>
              </w:rPr>
              <w:t>PSX KMI</w:t>
            </w:r>
          </w:p>
        </w:tc>
        <w:tc>
          <w:tcPr>
            <w:tcW w:w="3408" w:type="dxa"/>
            <w:tcBorders>
              <w:top w:val="single" w:color="D9D9D9" w:sz="4" w:space="0"/>
              <w:left w:val="single" w:color="D9D9D9" w:sz="4" w:space="0"/>
              <w:bottom w:val="single" w:color="D9D9D9" w:sz="4" w:space="0"/>
              <w:right w:val="single" w:color="D9D9D9" w:sz="4" w:space="0"/>
            </w:tcBorders>
            <w:shd w:val="clear" w:color="auto" w:fill="FFFFFF"/>
          </w:tcPr>
          <w:p w14:paraId="6E65429E">
            <w:pPr>
              <w:spacing w:before="100" w:after="100"/>
            </w:pPr>
            <w:r>
              <w:rPr>
                <w:b w:val="0"/>
                <w:sz w:val="20"/>
              </w:rPr>
              <w:t>Pakistan exchange index methodology</w:t>
            </w:r>
          </w:p>
        </w:tc>
        <w:tc>
          <w:tcPr>
            <w:tcW w:w="3408" w:type="dxa"/>
            <w:tcBorders>
              <w:top w:val="single" w:color="D9D9D9" w:sz="4" w:space="0"/>
              <w:left w:val="single" w:color="D9D9D9" w:sz="4" w:space="0"/>
              <w:bottom w:val="single" w:color="D9D9D9" w:sz="4" w:space="0"/>
              <w:right w:val="single" w:color="D9D9D9" w:sz="4" w:space="0"/>
            </w:tcBorders>
            <w:shd w:val="clear" w:color="auto" w:fill="FFFFFF"/>
          </w:tcPr>
          <w:p w14:paraId="5680A075">
            <w:pPr>
              <w:spacing w:before="100" w:after="100"/>
            </w:pPr>
            <w:r>
              <w:rPr>
                <w:b w:val="0"/>
                <w:sz w:val="20"/>
              </w:rPr>
              <w:t>Comparison option; separate dated revisions and PSX membership filters</w:t>
            </w:r>
          </w:p>
        </w:tc>
      </w:tr>
      <w:tr w14:paraId="0F8488D3">
        <w:tblPrEx>
          <w:tblCellMar>
            <w:top w:w="0" w:type="dxa"/>
            <w:left w:w="108" w:type="dxa"/>
            <w:bottom w:w="0" w:type="dxa"/>
            <w:right w:w="108" w:type="dxa"/>
          </w:tblCellMar>
        </w:tblPrEx>
        <w:trPr>
          <w:cantSplit/>
        </w:trPr>
        <w:tc>
          <w:tcPr>
            <w:tcW w:w="3408" w:type="dxa"/>
            <w:tcBorders>
              <w:top w:val="single" w:color="D9D9D9" w:sz="4" w:space="0"/>
              <w:left w:val="single" w:color="D9D9D9" w:sz="4" w:space="0"/>
              <w:bottom w:val="single" w:color="D9D9D9" w:sz="4" w:space="0"/>
              <w:right w:val="single" w:color="D9D9D9" w:sz="4" w:space="0"/>
            </w:tcBorders>
            <w:shd w:val="clear" w:color="auto" w:fill="EEF3F8"/>
          </w:tcPr>
          <w:p w14:paraId="37F9D364">
            <w:pPr>
              <w:spacing w:before="100" w:after="100"/>
            </w:pPr>
            <w:r>
              <w:rPr>
                <w:b w:val="0"/>
                <w:sz w:val="20"/>
              </w:rPr>
              <w:t>FTSE Yasaar</w:t>
            </w:r>
          </w:p>
        </w:tc>
        <w:tc>
          <w:tcPr>
            <w:tcW w:w="3408" w:type="dxa"/>
            <w:tcBorders>
              <w:top w:val="single" w:color="D9D9D9" w:sz="4" w:space="0"/>
              <w:left w:val="single" w:color="D9D9D9" w:sz="4" w:space="0"/>
              <w:bottom w:val="single" w:color="D9D9D9" w:sz="4" w:space="0"/>
              <w:right w:val="single" w:color="D9D9D9" w:sz="4" w:space="0"/>
            </w:tcBorders>
            <w:shd w:val="clear" w:color="auto" w:fill="EEF3F8"/>
          </w:tcPr>
          <w:p w14:paraId="4AE08359">
            <w:pPr>
              <w:spacing w:before="100" w:after="100"/>
            </w:pPr>
            <w:r>
              <w:rPr>
                <w:b w:val="0"/>
                <w:sz w:val="20"/>
              </w:rPr>
              <w:t>International screened equity index method</w:t>
            </w:r>
          </w:p>
        </w:tc>
        <w:tc>
          <w:tcPr>
            <w:tcW w:w="3408" w:type="dxa"/>
            <w:tcBorders>
              <w:top w:val="single" w:color="D9D9D9" w:sz="4" w:space="0"/>
              <w:left w:val="single" w:color="D9D9D9" w:sz="4" w:space="0"/>
              <w:bottom w:val="single" w:color="D9D9D9" w:sz="4" w:space="0"/>
              <w:right w:val="single" w:color="D9D9D9" w:sz="4" w:space="0"/>
            </w:tcBorders>
            <w:shd w:val="clear" w:color="auto" w:fill="EEF3F8"/>
          </w:tcPr>
          <w:p w14:paraId="5BA1EA9C">
            <w:pPr>
              <w:spacing w:before="100" w:after="100"/>
            </w:pPr>
            <w:r>
              <w:rPr>
                <w:b w:val="0"/>
                <w:sz w:val="20"/>
              </w:rPr>
              <w:t>Recommended candidate; asset-based public rules</w:t>
            </w:r>
          </w:p>
        </w:tc>
      </w:tr>
      <w:tr w14:paraId="59E458A3">
        <w:tblPrEx>
          <w:tblCellMar>
            <w:top w:w="0" w:type="dxa"/>
            <w:left w:w="108" w:type="dxa"/>
            <w:bottom w:w="0" w:type="dxa"/>
            <w:right w:w="108" w:type="dxa"/>
          </w:tblCellMar>
        </w:tblPrEx>
        <w:trPr>
          <w:cantSplit/>
        </w:trPr>
        <w:tc>
          <w:tcPr>
            <w:tcW w:w="3408" w:type="dxa"/>
            <w:tcBorders>
              <w:top w:val="single" w:color="D9D9D9" w:sz="4" w:space="0"/>
              <w:left w:val="single" w:color="D9D9D9" w:sz="4" w:space="0"/>
              <w:bottom w:val="single" w:color="D9D9D9" w:sz="4" w:space="0"/>
              <w:right w:val="single" w:color="D9D9D9" w:sz="4" w:space="0"/>
            </w:tcBorders>
            <w:shd w:val="clear" w:color="auto" w:fill="FFFFFF"/>
          </w:tcPr>
          <w:p w14:paraId="5FEBE723">
            <w:pPr>
              <w:spacing w:before="100" w:after="100"/>
            </w:pPr>
            <w:r>
              <w:rPr>
                <w:b w:val="0"/>
                <w:sz w:val="20"/>
              </w:rPr>
              <w:t>AAOIFI SS21</w:t>
            </w:r>
          </w:p>
        </w:tc>
        <w:tc>
          <w:tcPr>
            <w:tcW w:w="3408" w:type="dxa"/>
            <w:tcBorders>
              <w:top w:val="single" w:color="D9D9D9" w:sz="4" w:space="0"/>
              <w:left w:val="single" w:color="D9D9D9" w:sz="4" w:space="0"/>
              <w:bottom w:val="single" w:color="D9D9D9" w:sz="4" w:space="0"/>
              <w:right w:val="single" w:color="D9D9D9" w:sz="4" w:space="0"/>
            </w:tcBorders>
            <w:shd w:val="clear" w:color="auto" w:fill="FFFFFF"/>
          </w:tcPr>
          <w:p w14:paraId="7901E52D">
            <w:pPr>
              <w:spacing w:before="100" w:after="100"/>
            </w:pPr>
            <w:r>
              <w:rPr>
                <w:b w:val="0"/>
                <w:sz w:val="20"/>
              </w:rPr>
              <w:t>Formal standard on shares and bonds</w:t>
            </w:r>
          </w:p>
        </w:tc>
        <w:tc>
          <w:tcPr>
            <w:tcW w:w="3408" w:type="dxa"/>
            <w:tcBorders>
              <w:top w:val="single" w:color="D9D9D9" w:sz="4" w:space="0"/>
              <w:left w:val="single" w:color="D9D9D9" w:sz="4" w:space="0"/>
              <w:bottom w:val="single" w:color="D9D9D9" w:sz="4" w:space="0"/>
              <w:right w:val="single" w:color="D9D9D9" w:sz="4" w:space="0"/>
            </w:tcBorders>
            <w:shd w:val="clear" w:color="auto" w:fill="FFFFFF"/>
          </w:tcPr>
          <w:p w14:paraId="459E6A6E">
            <w:pPr>
              <w:spacing w:before="100" w:after="100"/>
            </w:pPr>
            <w:r>
              <w:rPr>
                <w:b w:val="0"/>
                <w:sz w:val="20"/>
              </w:rPr>
              <w:t>Alternative after edition verification; requires market capitalisation</w:t>
            </w:r>
          </w:p>
        </w:tc>
      </w:tr>
    </w:tbl>
    <w:p w14:paraId="73E0719D">
      <w:pPr>
        <w:pStyle w:val="2"/>
      </w:pPr>
      <w:r>
        <w:t>Recommendation and its limits</w:t>
      </w:r>
    </w:p>
    <w:p w14:paraId="7FB76C88">
      <w:r>
        <w:t>Recommend considering FTSE Yasaar for the first research implementation. Its international scope fits US equities and its asset denominator aligns with the financial data route already collected. This does not make it universally better or guarantee that our data is complete. The screening teammate and supervisor should confirm the selected version and accounting mappings.</w:t>
      </w:r>
    </w:p>
    <w:p w14:paraId="3EF66052">
      <w:r>
        <w:t>Keep methods separate. If the team compares them, generate a separate result for each. Do not borrow Meezan debt limits, FTSE income limits and AAOIFI denominators to create an unnamed hybrid. Do not select the method merely because it makes more companies pass.</w:t>
      </w:r>
    </w:p>
    <w:p w14:paraId="7F8BFCFD">
      <w:r>
        <w:br w:type="page"/>
      </w:r>
    </w:p>
    <w:p w14:paraId="024FEFAE">
      <w:pPr>
        <w:pStyle w:val="2"/>
      </w:pPr>
      <w:r>
        <w:t>Meezan and PSX KMI</w:t>
      </w:r>
    </w:p>
    <w:tbl>
      <w:tblPr>
        <w:tblStyle w:val="12"/>
        <w:tblW w:w="0" w:type="auto"/>
        <w:tblInd w:w="0" w:type="dxa"/>
        <w:tblLayout w:type="fixed"/>
        <w:tblCellMar>
          <w:top w:w="0" w:type="dxa"/>
          <w:left w:w="108" w:type="dxa"/>
          <w:bottom w:w="0" w:type="dxa"/>
          <w:right w:w="108" w:type="dxa"/>
        </w:tblCellMar>
      </w:tblPr>
      <w:tblGrid>
        <w:gridCol w:w="5112"/>
        <w:gridCol w:w="5112"/>
      </w:tblGrid>
      <w:tr w14:paraId="39D7BA66">
        <w:tblPrEx>
          <w:tblCellMar>
            <w:top w:w="0" w:type="dxa"/>
            <w:left w:w="108" w:type="dxa"/>
            <w:bottom w:w="0" w:type="dxa"/>
            <w:right w:w="108" w:type="dxa"/>
          </w:tblCellMar>
        </w:tblPrEx>
        <w:trPr>
          <w:cantSplit/>
          <w:tblHeader/>
        </w:trPr>
        <w:tc>
          <w:tcPr>
            <w:tcW w:w="5112" w:type="dxa"/>
            <w:tcBorders>
              <w:top w:val="single" w:color="D9D9D9" w:sz="4" w:space="0"/>
              <w:left w:val="single" w:color="D9D9D9" w:sz="4" w:space="0"/>
              <w:bottom w:val="single" w:color="D9D9D9" w:sz="4" w:space="0"/>
              <w:right w:val="single" w:color="D9D9D9" w:sz="4" w:space="0"/>
            </w:tcBorders>
            <w:shd w:val="clear" w:color="auto" w:fill="17365D"/>
          </w:tcPr>
          <w:p w14:paraId="35ACA57C">
            <w:pPr>
              <w:spacing w:before="100" w:after="100"/>
            </w:pPr>
            <w:r>
              <w:rPr>
                <w:b/>
                <w:color w:val="FFFFFF"/>
                <w:sz w:val="20"/>
              </w:rPr>
              <w:t>Meezan website check [M1]</w:t>
            </w:r>
          </w:p>
        </w:tc>
        <w:tc>
          <w:tcPr>
            <w:tcW w:w="5112" w:type="dxa"/>
            <w:tcBorders>
              <w:top w:val="single" w:color="D9D9D9" w:sz="4" w:space="0"/>
              <w:left w:val="single" w:color="D9D9D9" w:sz="4" w:space="0"/>
              <w:bottom w:val="single" w:color="D9D9D9" w:sz="4" w:space="0"/>
              <w:right w:val="single" w:color="D9D9D9" w:sz="4" w:space="0"/>
            </w:tcBorders>
            <w:shd w:val="clear" w:color="auto" w:fill="17365D"/>
          </w:tcPr>
          <w:p w14:paraId="5B42AC9A">
            <w:pPr>
              <w:spacing w:before="100" w:after="100"/>
            </w:pPr>
            <w:r>
              <w:rPr>
                <w:b/>
                <w:color w:val="FFFFFF"/>
                <w:sz w:val="20"/>
              </w:rPr>
              <w:t>Limit</w:t>
            </w:r>
          </w:p>
        </w:tc>
      </w:tr>
      <w:tr w14:paraId="3D156502">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41F18DF2">
            <w:pPr>
              <w:spacing w:before="100" w:after="100"/>
            </w:pPr>
            <w:r>
              <w:rPr>
                <w:b w:val="0"/>
                <w:sz w:val="20"/>
              </w:rPr>
              <w:t>Business</w:t>
            </w:r>
          </w:p>
        </w:tc>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47A54109">
            <w:pPr>
              <w:spacing w:before="100" w:after="100"/>
            </w:pPr>
            <w:r>
              <w:rPr>
                <w:b w:val="0"/>
                <w:sz w:val="20"/>
              </w:rPr>
              <w:t>Permissible core business</w:t>
            </w:r>
          </w:p>
        </w:tc>
      </w:tr>
      <w:tr w14:paraId="45482A42">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5A8A02A1">
            <w:pPr>
              <w:spacing w:before="100" w:after="100"/>
            </w:pPr>
            <w:r>
              <w:rPr>
                <w:b w:val="0"/>
                <w:sz w:val="20"/>
              </w:rPr>
              <w:t>Interest-bearing debt / assets</w:t>
            </w:r>
          </w:p>
        </w:tc>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7F7DD4E4">
            <w:pPr>
              <w:spacing w:before="100" w:after="100"/>
            </w:pPr>
            <w:r>
              <w:rPr>
                <w:b w:val="0"/>
                <w:sz w:val="20"/>
              </w:rPr>
              <w:t>&lt; 37%</w:t>
            </w:r>
          </w:p>
        </w:tc>
      </w:tr>
      <w:tr w14:paraId="6354D35E">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6BF0BD3E">
            <w:pPr>
              <w:spacing w:before="100" w:after="100"/>
            </w:pPr>
            <w:r>
              <w:rPr>
                <w:b w:val="0"/>
                <w:sz w:val="20"/>
              </w:rPr>
              <w:t>Non-compliant investments / assets</w:t>
            </w:r>
          </w:p>
        </w:tc>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5FF7C0C7">
            <w:pPr>
              <w:spacing w:before="100" w:after="100"/>
            </w:pPr>
            <w:r>
              <w:rPr>
                <w:b w:val="0"/>
                <w:sz w:val="20"/>
              </w:rPr>
              <w:t>&lt; 33%</w:t>
            </w:r>
          </w:p>
        </w:tc>
      </w:tr>
      <w:tr w14:paraId="78A8F653">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2570B8B6">
            <w:pPr>
              <w:spacing w:before="100" w:after="100"/>
            </w:pPr>
            <w:r>
              <w:rPr>
                <w:b w:val="0"/>
                <w:sz w:val="20"/>
              </w:rPr>
              <w:t>Non-compliant income / total revenue</w:t>
            </w:r>
          </w:p>
        </w:tc>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4CA3EFE6">
            <w:pPr>
              <w:spacing w:before="100" w:after="100"/>
            </w:pPr>
            <w:r>
              <w:rPr>
                <w:b w:val="0"/>
                <w:sz w:val="20"/>
              </w:rPr>
              <w:t>&lt; 5%</w:t>
            </w:r>
          </w:p>
        </w:tc>
      </w:tr>
      <w:tr w14:paraId="387D31C8">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613501BC">
            <w:pPr>
              <w:spacing w:before="100" w:after="100"/>
            </w:pPr>
            <w:r>
              <w:rPr>
                <w:b w:val="0"/>
                <w:sz w:val="20"/>
              </w:rPr>
              <w:t>Illiquid assets / assets</w:t>
            </w:r>
          </w:p>
        </w:tc>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09B6C567">
            <w:pPr>
              <w:spacing w:before="100" w:after="100"/>
            </w:pPr>
            <w:r>
              <w:rPr>
                <w:b w:val="0"/>
                <w:sz w:val="20"/>
              </w:rPr>
              <w:t>≥ 25%</w:t>
            </w:r>
          </w:p>
        </w:tc>
      </w:tr>
      <w:tr w14:paraId="48CFF568">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34D4BA5B">
            <w:pPr>
              <w:spacing w:before="100" w:after="100"/>
            </w:pPr>
            <w:r>
              <w:rPr>
                <w:b w:val="0"/>
                <w:sz w:val="20"/>
              </w:rPr>
              <w:t>Market price / share</w:t>
            </w:r>
          </w:p>
        </w:tc>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1B50963A">
            <w:pPr>
              <w:spacing w:before="100" w:after="100"/>
            </w:pPr>
            <w:r>
              <w:rPr>
                <w:b w:val="0"/>
                <w:sz w:val="20"/>
              </w:rPr>
              <w:t>&gt; net liquid assets / share</w:t>
            </w:r>
          </w:p>
        </w:tc>
      </w:tr>
    </w:tbl>
    <w:p w14:paraId="75AE22BF">
      <w:r>
        <w:t>Meezan defines debt broadly, including financing leases and certain preference-share arrangements. Its prohibited investment categories extend beyond cash. Revenue includes other income; a sales-only field is insufficient. Inventory and fixed assets may be illiquid, but interest-based investments cannot simply be included as illiquid. Net liquid assets/share = (assets − illiquid assets − total liabilities) / outstanding shares. Source categories must guide each SEC mapping.</w:t>
      </w:r>
    </w:p>
    <w:p w14:paraId="5CA7E83E">
      <w:pPr>
        <w:pStyle w:val="2"/>
      </w:pPr>
      <w:r>
        <w:t>PSX differences and revisions</w:t>
      </w:r>
    </w:p>
    <w:p w14:paraId="11B45F3E">
      <w:r>
        <w:t>The PSX All Share brochure [P1] allows equality for price versus net liquid assets, unlike the Meezan website. It also explicitly excludes tobacco and explosives on ethical grounds. The illiquid-assets heading says &gt;25% while the explanation says at least 25%; record this source conflict and obtain a boundary decision.</w:t>
      </w:r>
    </w:p>
    <w:p w14:paraId="67536145">
      <w:r>
        <w:t>Notice PSX/N-244 dated 26 February 2026 [P2] changes debt/assets from 37% to 33%, effective from the November 2026 review based on June 2026 accounts. It also introduces rating and objection mechanisms. As at 3 October 2026, that review is still upcoming. Record the rule version and effective review; do not apply the future change without an explicit historical research policy.</w:t>
      </w:r>
    </w:p>
    <w:p w14:paraId="5B2D8434">
      <w:r>
        <w:t>For US companies, applying these formulas is a research adaptation. PSX listing, trading and index selection rules do not establish US-stock eligibility or KMI membership. Neither the old 37% rule nor the later 33% rule has been selected for this FYP.</w:t>
      </w:r>
    </w:p>
    <w:p w14:paraId="46BE6648">
      <w:r>
        <w:br w:type="page"/>
      </w:r>
    </w:p>
    <w:p w14:paraId="59EA2734">
      <w:pPr>
        <w:pStyle w:val="2"/>
      </w:pPr>
      <w:r>
        <w:t>FTSE Yasaar rules and implementation scope</w:t>
      </w:r>
    </w:p>
    <w:tbl>
      <w:tblPr>
        <w:tblStyle w:val="12"/>
        <w:tblW w:w="0" w:type="auto"/>
        <w:tblInd w:w="0" w:type="dxa"/>
        <w:tblLayout w:type="fixed"/>
        <w:tblCellMar>
          <w:top w:w="0" w:type="dxa"/>
          <w:left w:w="108" w:type="dxa"/>
          <w:bottom w:w="0" w:type="dxa"/>
          <w:right w:w="108" w:type="dxa"/>
        </w:tblCellMar>
      </w:tblPr>
      <w:tblGrid>
        <w:gridCol w:w="5112"/>
        <w:gridCol w:w="5112"/>
      </w:tblGrid>
      <w:tr w14:paraId="4AD5DCE0">
        <w:tblPrEx>
          <w:tblCellMar>
            <w:top w:w="0" w:type="dxa"/>
            <w:left w:w="108" w:type="dxa"/>
            <w:bottom w:w="0" w:type="dxa"/>
            <w:right w:w="108" w:type="dxa"/>
          </w:tblCellMar>
        </w:tblPrEx>
        <w:trPr>
          <w:cantSplit/>
          <w:tblHeader/>
        </w:trPr>
        <w:tc>
          <w:tcPr>
            <w:tcW w:w="5112" w:type="dxa"/>
            <w:tcBorders>
              <w:top w:val="single" w:color="D9D9D9" w:sz="4" w:space="0"/>
              <w:left w:val="single" w:color="D9D9D9" w:sz="4" w:space="0"/>
              <w:bottom w:val="single" w:color="D9D9D9" w:sz="4" w:space="0"/>
              <w:right w:val="single" w:color="D9D9D9" w:sz="4" w:space="0"/>
            </w:tcBorders>
            <w:shd w:val="clear" w:color="auto" w:fill="17365D"/>
          </w:tcPr>
          <w:p w14:paraId="176B2583">
            <w:pPr>
              <w:spacing w:before="100" w:after="100"/>
            </w:pPr>
            <w:r>
              <w:rPr>
                <w:b/>
                <w:color w:val="FFFFFF"/>
                <w:sz w:val="20"/>
              </w:rPr>
              <w:t>Published check [F1–F2]</w:t>
            </w:r>
          </w:p>
        </w:tc>
        <w:tc>
          <w:tcPr>
            <w:tcW w:w="5112" w:type="dxa"/>
            <w:tcBorders>
              <w:top w:val="single" w:color="D9D9D9" w:sz="4" w:space="0"/>
              <w:left w:val="single" w:color="D9D9D9" w:sz="4" w:space="0"/>
              <w:bottom w:val="single" w:color="D9D9D9" w:sz="4" w:space="0"/>
              <w:right w:val="single" w:color="D9D9D9" w:sz="4" w:space="0"/>
            </w:tcBorders>
            <w:shd w:val="clear" w:color="auto" w:fill="17365D"/>
          </w:tcPr>
          <w:p w14:paraId="0B0F8B3C">
            <w:pPr>
              <w:spacing w:before="100" w:after="100"/>
            </w:pPr>
            <w:r>
              <w:rPr>
                <w:b/>
                <w:color w:val="FFFFFF"/>
                <w:sz w:val="20"/>
              </w:rPr>
              <w:t>Limit</w:t>
            </w:r>
          </w:p>
        </w:tc>
      </w:tr>
      <w:tr w14:paraId="11936EBE">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336EAA27">
            <w:pPr>
              <w:spacing w:before="100" w:after="100"/>
            </w:pPr>
            <w:r>
              <w:rPr>
                <w:b w:val="0"/>
                <w:sz w:val="20"/>
              </w:rPr>
              <w:t>Prohibited business revenue / total revenue</w:t>
            </w:r>
          </w:p>
        </w:tc>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4A25239A">
            <w:pPr>
              <w:spacing w:before="100" w:after="100"/>
            </w:pPr>
            <w:r>
              <w:rPr>
                <w:b w:val="0"/>
                <w:sz w:val="20"/>
              </w:rPr>
              <w:t>Exclude if &gt; 5%</w:t>
            </w:r>
          </w:p>
        </w:tc>
      </w:tr>
      <w:tr w14:paraId="4DE53348">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6FD58FAD">
            <w:pPr>
              <w:spacing w:before="100" w:after="100"/>
            </w:pPr>
            <w:r>
              <w:rPr>
                <w:b w:val="0"/>
                <w:sz w:val="20"/>
              </w:rPr>
              <w:t>Debt / total assets</w:t>
            </w:r>
          </w:p>
        </w:tc>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3E4A0309">
            <w:pPr>
              <w:spacing w:before="100" w:after="100"/>
            </w:pPr>
            <w:r>
              <w:rPr>
                <w:b w:val="0"/>
                <w:sz w:val="20"/>
              </w:rPr>
              <w:t>&lt; 33.333%</w:t>
            </w:r>
          </w:p>
        </w:tc>
      </w:tr>
      <w:tr w14:paraId="75260D39">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27684432">
            <w:pPr>
              <w:spacing w:before="100" w:after="100"/>
            </w:pPr>
            <w:r>
              <w:rPr>
                <w:b w:val="0"/>
                <w:sz w:val="20"/>
              </w:rPr>
              <w:t>(Cash + interest-bearing items) / assets</w:t>
            </w:r>
          </w:p>
        </w:tc>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539E641C">
            <w:pPr>
              <w:spacing w:before="100" w:after="100"/>
            </w:pPr>
            <w:r>
              <w:rPr>
                <w:b w:val="0"/>
                <w:sz w:val="20"/>
              </w:rPr>
              <w:t>&lt; 33.333%</w:t>
            </w:r>
          </w:p>
        </w:tc>
      </w:tr>
      <w:tr w14:paraId="188ABF1A">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010FB593">
            <w:pPr>
              <w:spacing w:before="100" w:after="100"/>
            </w:pPr>
            <w:r>
              <w:rPr>
                <w:b w:val="0"/>
                <w:sz w:val="20"/>
              </w:rPr>
              <w:t>(Receivables + cash) / assets</w:t>
            </w:r>
          </w:p>
        </w:tc>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0BCF2DFB">
            <w:pPr>
              <w:spacing w:before="100" w:after="100"/>
            </w:pPr>
            <w:r>
              <w:rPr>
                <w:b w:val="0"/>
                <w:sz w:val="20"/>
              </w:rPr>
              <w:t>&lt; 50%</w:t>
            </w:r>
          </w:p>
        </w:tc>
      </w:tr>
      <w:tr w14:paraId="43658DF4">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4BC28312">
            <w:pPr>
              <w:spacing w:before="100" w:after="100"/>
            </w:pPr>
            <w:r>
              <w:rPr>
                <w:b w:val="0"/>
                <w:sz w:val="20"/>
              </w:rPr>
              <w:t>(Interest + other non-compliant income) / revenue</w:t>
            </w:r>
          </w:p>
        </w:tc>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1A88D456">
            <w:pPr>
              <w:spacing w:before="100" w:after="100"/>
            </w:pPr>
            <w:r>
              <w:rPr>
                <w:b w:val="0"/>
                <w:sz w:val="20"/>
              </w:rPr>
              <w:t>≤ 5%</w:t>
            </w:r>
          </w:p>
        </w:tc>
      </w:tr>
    </w:tbl>
    <w:p w14:paraId="2F7130DE">
      <w:r>
        <w:t>The prohibited-activity list includes conventional finance; alcohol and intoxicants across their supply chain; pork and non-halal food; specified entertainment such as casinos, cinema, music and hotels; tobacco including vapes and cannabis; and arms/defence manufacturing. Read the full wording; category keywords alone cannot establish revenue exposure.</w:t>
      </w:r>
    </w:p>
    <w:p w14:paraId="609B1CBF">
      <w:r>
        <w:t>Version 4.6, February 2026, additionally monitors companies whose financial compliance changes between successive quarters. Debt and cash/interest-bearing ratios use the stated band around 33.333%, with 31.667% and 35% boundaries and two consecutive quarters. Preserve prior status and observations when implementing this mechanism; it is not permission to replace the ordinary thresholds with 35%.</w:t>
      </w:r>
    </w:p>
    <w:p w14:paraId="33A07F5B">
      <w:r>
        <w:t>Reviews occur quarterly in March, June, September and December, with defined data cut-offs and implementation dates. The ground rules address dividend purification and broader index eligibility. Purification means removing the prohibited portion of earnings; it does not repair a failed business screen.</w:t>
      </w:r>
    </w:p>
    <w:p w14:paraId="4299446B">
      <w:pPr>
        <w:pStyle w:val="2"/>
      </w:pPr>
      <w:r>
        <w:t>What Halalify can honestly claim</w:t>
      </w:r>
    </w:p>
    <w:p w14:paraId="626E4241">
      <w:r>
        <w:t>A formula-only prototype is an adaptation of FTSE Yasaar financial and business screens. Full replication needs the monitoring, review timing, categorisation and relevant index rules. Our output must not claim official Yasaar approval or index inclusion. If purification is not implemented, show that limitation explicitly.</w:t>
      </w:r>
    </w:p>
    <w:p w14:paraId="232B51E6">
      <w:pPr>
        <w:pStyle w:val="2"/>
      </w:pPr>
      <w:r>
        <w:t>Historical use</w:t>
      </w:r>
    </w:p>
    <w:p w14:paraId="2CD8ADC2">
      <w:r>
        <w:t>The available rulebook is from 2026, while our research prices cover 2016–2025. Choose either a fixed-version retrospective study, explicitly labelled as such, or recover historical editions for date-effective screening. A current rulebook is not proof of the rules used in every earlier year.</w:t>
      </w:r>
    </w:p>
    <w:p w14:paraId="79038733">
      <w:r>
        <w:br w:type="page"/>
      </w:r>
    </w:p>
    <w:p w14:paraId="321138B1">
      <w:pPr>
        <w:pStyle w:val="2"/>
      </w:pPr>
      <w:r>
        <w:t>AAOIFI Standard 21 and edition confirmation</w:t>
      </w:r>
    </w:p>
    <w:p w14:paraId="2EAE7CEE">
      <w:r>
        <w:t>AAOIFI publishes formal standards. SS21 concerns shares and bonds; SS27 concerns indices [A1]. Calling AAOIFI merely a reference with no numerical equity conditions was incomplete. An older public reproduction of SS21 [A2] contains the following conditions.</w:t>
      </w:r>
    </w:p>
    <w:tbl>
      <w:tblPr>
        <w:tblStyle w:val="12"/>
        <w:tblW w:w="0" w:type="auto"/>
        <w:tblInd w:w="0" w:type="dxa"/>
        <w:tblLayout w:type="fixed"/>
        <w:tblCellMar>
          <w:top w:w="0" w:type="dxa"/>
          <w:left w:w="108" w:type="dxa"/>
          <w:bottom w:w="0" w:type="dxa"/>
          <w:right w:w="108" w:type="dxa"/>
        </w:tblCellMar>
      </w:tblPr>
      <w:tblGrid>
        <w:gridCol w:w="5112"/>
        <w:gridCol w:w="5112"/>
      </w:tblGrid>
      <w:tr w14:paraId="3668F471">
        <w:tblPrEx>
          <w:tblCellMar>
            <w:top w:w="0" w:type="dxa"/>
            <w:left w:w="108" w:type="dxa"/>
            <w:bottom w:w="0" w:type="dxa"/>
            <w:right w:w="108" w:type="dxa"/>
          </w:tblCellMar>
        </w:tblPrEx>
        <w:trPr>
          <w:cantSplit/>
          <w:tblHeader/>
        </w:trPr>
        <w:tc>
          <w:tcPr>
            <w:tcW w:w="5112" w:type="dxa"/>
            <w:tcBorders>
              <w:top w:val="single" w:color="D9D9D9" w:sz="4" w:space="0"/>
              <w:left w:val="single" w:color="D9D9D9" w:sz="4" w:space="0"/>
              <w:bottom w:val="single" w:color="D9D9D9" w:sz="4" w:space="0"/>
              <w:right w:val="single" w:color="D9D9D9" w:sz="4" w:space="0"/>
            </w:tcBorders>
            <w:shd w:val="clear" w:color="auto" w:fill="17365D"/>
          </w:tcPr>
          <w:p w14:paraId="25DA8120">
            <w:pPr>
              <w:spacing w:before="100" w:after="100"/>
            </w:pPr>
            <w:r>
              <w:rPr>
                <w:b/>
                <w:color w:val="FFFFFF"/>
                <w:sz w:val="20"/>
              </w:rPr>
              <w:t>Condition in older SS21 text</w:t>
            </w:r>
          </w:p>
        </w:tc>
        <w:tc>
          <w:tcPr>
            <w:tcW w:w="5112" w:type="dxa"/>
            <w:tcBorders>
              <w:top w:val="single" w:color="D9D9D9" w:sz="4" w:space="0"/>
              <w:left w:val="single" w:color="D9D9D9" w:sz="4" w:space="0"/>
              <w:bottom w:val="single" w:color="D9D9D9" w:sz="4" w:space="0"/>
              <w:right w:val="single" w:color="D9D9D9" w:sz="4" w:space="0"/>
            </w:tcBorders>
            <w:shd w:val="clear" w:color="auto" w:fill="17365D"/>
          </w:tcPr>
          <w:p w14:paraId="3F290CE0">
            <w:pPr>
              <w:spacing w:before="100" w:after="100"/>
            </w:pPr>
            <w:r>
              <w:rPr>
                <w:b/>
                <w:color w:val="FFFFFF"/>
                <w:sz w:val="20"/>
              </w:rPr>
              <w:t>Clause and ceiling</w:t>
            </w:r>
          </w:p>
        </w:tc>
      </w:tr>
      <w:tr w14:paraId="4704DAF5">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55AFC28D">
            <w:pPr>
              <w:spacing w:before="100" w:after="100"/>
            </w:pPr>
            <w:r>
              <w:rPr>
                <w:b w:val="0"/>
                <w:sz w:val="20"/>
              </w:rPr>
              <w:t>Interest-bearing borrowing / market capitalisation</w:t>
            </w:r>
          </w:p>
        </w:tc>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4F27A15F">
            <w:pPr>
              <w:spacing w:before="100" w:after="100"/>
            </w:pPr>
            <w:r>
              <w:rPr>
                <w:b w:val="0"/>
                <w:sz w:val="20"/>
              </w:rPr>
              <w:t>≤ 30%; clause 3/4/2</w:t>
            </w:r>
          </w:p>
        </w:tc>
      </w:tr>
      <w:tr w14:paraId="6BC722A0">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35710D85">
            <w:pPr>
              <w:spacing w:before="100" w:after="100"/>
            </w:pPr>
            <w:r>
              <w:rPr>
                <w:b w:val="0"/>
                <w:sz w:val="20"/>
              </w:rPr>
              <w:t>Interest-taking deposits / market capitalisation</w:t>
            </w:r>
          </w:p>
        </w:tc>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20A8A997">
            <w:pPr>
              <w:spacing w:before="100" w:after="100"/>
            </w:pPr>
            <w:r>
              <w:rPr>
                <w:b w:val="0"/>
                <w:sz w:val="20"/>
              </w:rPr>
              <w:t>≤ 30%; clause 3/4/3</w:t>
            </w:r>
          </w:p>
        </w:tc>
      </w:tr>
      <w:tr w14:paraId="464DA505">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63829B4E">
            <w:pPr>
              <w:spacing w:before="100" w:after="100"/>
            </w:pPr>
            <w:r>
              <w:rPr>
                <w:b w:val="0"/>
                <w:sz w:val="20"/>
              </w:rPr>
              <w:t>Prohibited income / total income</w:t>
            </w:r>
          </w:p>
        </w:tc>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6D0F59A2">
            <w:pPr>
              <w:spacing w:before="100" w:after="100"/>
            </w:pPr>
            <w:r>
              <w:rPr>
                <w:b w:val="0"/>
                <w:sz w:val="20"/>
              </w:rPr>
              <w:t>≤ 5%; clause 3/4/4</w:t>
            </w:r>
          </w:p>
        </w:tc>
      </w:tr>
    </w:tbl>
    <w:p w14:paraId="71882173">
      <w:r>
        <w:t>The clauses use market capitalisation rather than total assets. The same text requires lawful company objectives, investigation of undisclosed income, continuing compliance and removal of prohibited earnings. Clauses 3/17–3/20 discuss tradability where assets consist of cash, debts or mixed assets; a complete implementation cannot ignore these provisions.</w:t>
      </w:r>
    </w:p>
    <w:p w14:paraId="581DA3F1">
      <w:r>
        <w:t>Clause 3/4/6 includes a per-share prohibited-income allocation, multiplied by shares held, under its ownership-period conditions. Do not substitute a generic dividend percentage for that procedure.</w:t>
      </w:r>
    </w:p>
    <w:p w14:paraId="4CF8CA73">
      <w:pPr>
        <w:pStyle w:val="2"/>
      </w:pPr>
      <w:r>
        <w:t>Source limitation that affects selection</w:t>
      </w:r>
    </w:p>
    <w:p w14:paraId="649BBCE5">
      <w:r>
        <w:t>A2 is a publicly hosted reproduction on PSE infrastructure, with a 2004 issue date and search metadata describing an Exposure Draft Translation. It is useful for identifying clauses but is not proof of the latest authorised edition. The official AAOIFI page confirms the standard title without providing a fully verifiable current edition in the accessible text.</w:t>
      </w:r>
    </w:p>
    <w:p w14:paraId="3F5537F2">
      <w:r>
        <w:t>Before choosing AAOIFI, obtain the authorised edition, confirm amendments and exact boundary wording, and have the teammate map deposits, income, market capitalisation and tradability. Do not silently adopt a 12-month market-cap average: that convention needs its own source and approval. We have not verified a complete historical share-count/market-cap series for all companies.</w:t>
      </w:r>
    </w:p>
    <w:p w14:paraId="27F59369">
      <w:r>
        <w:br w:type="page"/>
      </w:r>
    </w:p>
    <w:p w14:paraId="4596F35E">
      <w:pPr>
        <w:pStyle w:val="2"/>
      </w:pPr>
      <w:r>
        <w:t>Data checklist for the screening teammate</w:t>
      </w:r>
    </w:p>
    <w:tbl>
      <w:tblPr>
        <w:tblStyle w:val="12"/>
        <w:tblW w:w="0" w:type="auto"/>
        <w:tblInd w:w="0" w:type="dxa"/>
        <w:tblLayout w:type="fixed"/>
        <w:tblCellMar>
          <w:top w:w="0" w:type="dxa"/>
          <w:left w:w="108" w:type="dxa"/>
          <w:bottom w:w="0" w:type="dxa"/>
          <w:right w:w="108" w:type="dxa"/>
        </w:tblCellMar>
      </w:tblPr>
      <w:tblGrid>
        <w:gridCol w:w="5112"/>
        <w:gridCol w:w="5112"/>
      </w:tblGrid>
      <w:tr w14:paraId="4758EBE8">
        <w:tblPrEx>
          <w:tblCellMar>
            <w:top w:w="0" w:type="dxa"/>
            <w:left w:w="108" w:type="dxa"/>
            <w:bottom w:w="0" w:type="dxa"/>
            <w:right w:w="108" w:type="dxa"/>
          </w:tblCellMar>
        </w:tblPrEx>
        <w:trPr>
          <w:cantSplit/>
          <w:tblHeader/>
        </w:trPr>
        <w:tc>
          <w:tcPr>
            <w:tcW w:w="5112" w:type="dxa"/>
            <w:tcBorders>
              <w:top w:val="single" w:color="D9D9D9" w:sz="4" w:space="0"/>
              <w:left w:val="single" w:color="D9D9D9" w:sz="4" w:space="0"/>
              <w:bottom w:val="single" w:color="D9D9D9" w:sz="4" w:space="0"/>
              <w:right w:val="single" w:color="D9D9D9" w:sz="4" w:space="0"/>
            </w:tcBorders>
            <w:shd w:val="clear" w:color="auto" w:fill="17365D"/>
          </w:tcPr>
          <w:p w14:paraId="263D5A02">
            <w:pPr>
              <w:spacing w:before="100" w:after="100"/>
            </w:pPr>
            <w:r>
              <w:rPr>
                <w:b/>
                <w:color w:val="FFFFFF"/>
                <w:sz w:val="20"/>
              </w:rPr>
              <w:t>Required evidence</w:t>
            </w:r>
          </w:p>
        </w:tc>
        <w:tc>
          <w:tcPr>
            <w:tcW w:w="5112" w:type="dxa"/>
            <w:tcBorders>
              <w:top w:val="single" w:color="D9D9D9" w:sz="4" w:space="0"/>
              <w:left w:val="single" w:color="D9D9D9" w:sz="4" w:space="0"/>
              <w:bottom w:val="single" w:color="D9D9D9" w:sz="4" w:space="0"/>
              <w:right w:val="single" w:color="D9D9D9" w:sz="4" w:space="0"/>
            </w:tcBorders>
            <w:shd w:val="clear" w:color="auto" w:fill="17365D"/>
          </w:tcPr>
          <w:p w14:paraId="79583879">
            <w:pPr>
              <w:spacing w:before="100" w:after="100"/>
            </w:pPr>
            <w:r>
              <w:rPr>
                <w:b/>
                <w:color w:val="FFFFFF"/>
                <w:sz w:val="20"/>
              </w:rPr>
              <w:t>What must be reviewed</w:t>
            </w:r>
          </w:p>
        </w:tc>
      </w:tr>
      <w:tr w14:paraId="4B5AC928">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14E37B7A">
            <w:pPr>
              <w:spacing w:before="100" w:after="100"/>
            </w:pPr>
            <w:r>
              <w:rPr>
                <w:b w:val="0"/>
                <w:sz w:val="20"/>
              </w:rPr>
              <w:t>Business and product revenue</w:t>
            </w:r>
          </w:p>
        </w:tc>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440BCE42">
            <w:pPr>
              <w:spacing w:before="100" w:after="100"/>
            </w:pPr>
            <w:r>
              <w:rPr>
                <w:b w:val="0"/>
                <w:sz w:val="20"/>
              </w:rPr>
              <w:t>Dated activity descriptions and any prohibited revenue amounts</w:t>
            </w:r>
          </w:p>
        </w:tc>
      </w:tr>
      <w:tr w14:paraId="3A6599A4">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0B500BAD">
            <w:pPr>
              <w:spacing w:before="100" w:after="100"/>
            </w:pPr>
            <w:r>
              <w:rPr>
                <w:b w:val="0"/>
                <w:sz w:val="20"/>
              </w:rPr>
              <w:t>Assets and borrowing</w:t>
            </w:r>
          </w:p>
        </w:tc>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3972767B">
            <w:pPr>
              <w:spacing w:before="100" w:after="100"/>
            </w:pPr>
            <w:r>
              <w:rPr>
                <w:b w:val="0"/>
                <w:sz w:val="20"/>
              </w:rPr>
              <w:t>Consolidated assets; debt components and financing categories</w:t>
            </w:r>
          </w:p>
        </w:tc>
      </w:tr>
      <w:tr w14:paraId="37B5FAC1">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67A9D301">
            <w:pPr>
              <w:spacing w:before="100" w:after="100"/>
            </w:pPr>
            <w:r>
              <w:rPr>
                <w:b w:val="0"/>
                <w:sz w:val="20"/>
              </w:rPr>
              <w:t>Cash and investments</w:t>
            </w:r>
          </w:p>
        </w:tc>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00D0EC9C">
            <w:pPr>
              <w:spacing w:before="100" w:after="100"/>
            </w:pPr>
            <w:r>
              <w:rPr>
                <w:b w:val="0"/>
                <w:sz w:val="20"/>
              </w:rPr>
              <w:t>Cash separated from interest-bearing instruments; avoid double counting</w:t>
            </w:r>
          </w:p>
        </w:tc>
      </w:tr>
      <w:tr w14:paraId="59661856">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2BDD19B8">
            <w:pPr>
              <w:spacing w:before="100" w:after="100"/>
            </w:pPr>
            <w:r>
              <w:rPr>
                <w:b w:val="0"/>
                <w:sz w:val="20"/>
              </w:rPr>
              <w:t>Receivables</w:t>
            </w:r>
          </w:p>
        </w:tc>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59F847CE">
            <w:pPr>
              <w:spacing w:before="100" w:after="100"/>
            </w:pPr>
            <w:r>
              <w:rPr>
                <w:b w:val="0"/>
                <w:sz w:val="20"/>
              </w:rPr>
              <w:t>Correct company-wide balance for the same reporting date</w:t>
            </w:r>
          </w:p>
        </w:tc>
      </w:tr>
      <w:tr w14:paraId="540BE8FD">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6DB1CA24">
            <w:pPr>
              <w:spacing w:before="100" w:after="100"/>
            </w:pPr>
            <w:r>
              <w:rPr>
                <w:b w:val="0"/>
                <w:sz w:val="20"/>
              </w:rPr>
              <w:t>Income</w:t>
            </w:r>
          </w:p>
        </w:tc>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53E2A7A9">
            <w:pPr>
              <w:spacing w:before="100" w:after="100"/>
            </w:pPr>
            <w:r>
              <w:rPr>
                <w:b w:val="0"/>
                <w:sz w:val="20"/>
              </w:rPr>
              <w:t>Interest and other prohibited earnings; correct denominator and period</w:t>
            </w:r>
          </w:p>
        </w:tc>
      </w:tr>
      <w:tr w14:paraId="2A04E310">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0CA83389">
            <w:pPr>
              <w:spacing w:before="100" w:after="100"/>
            </w:pPr>
            <w:r>
              <w:rPr>
                <w:b w:val="0"/>
                <w:sz w:val="20"/>
              </w:rPr>
              <w:t>Extra Meezan or PSX inputs</w:t>
            </w:r>
          </w:p>
        </w:tc>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2F3EF6CB">
            <w:pPr>
              <w:spacing w:before="100" w:after="100"/>
            </w:pPr>
            <w:r>
              <w:rPr>
                <w:b w:val="0"/>
                <w:sz w:val="20"/>
              </w:rPr>
              <w:t>Illiquid assets, total liabilities, shares and compatible market price</w:t>
            </w:r>
          </w:p>
        </w:tc>
      </w:tr>
      <w:tr w14:paraId="78E9ACFC">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235B455D">
            <w:pPr>
              <w:spacing w:before="100" w:after="100"/>
            </w:pPr>
            <w:r>
              <w:rPr>
                <w:b w:val="0"/>
                <w:sz w:val="20"/>
              </w:rPr>
              <w:t>Extra AAOIFI inputs</w:t>
            </w:r>
          </w:p>
        </w:tc>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47FDC690">
            <w:pPr>
              <w:spacing w:before="100" w:after="100"/>
            </w:pPr>
            <w:r>
              <w:rPr>
                <w:b w:val="0"/>
                <w:sz w:val="20"/>
              </w:rPr>
              <w:t>Verified market capitalisation and edition-specific deposit/tradability inputs</w:t>
            </w:r>
          </w:p>
        </w:tc>
      </w:tr>
    </w:tbl>
    <w:p w14:paraId="0145DB9C">
      <w:pPr>
        <w:pStyle w:val="2"/>
      </w:pPr>
      <w:r>
        <w:t>What our existing files provide</w:t>
      </w:r>
    </w:p>
    <w:p w14:paraId="01E9A371">
      <w:r>
        <w:t>data/raw/sec_screening_evidence/sec_sources_20261002.zip contains original SEC source documents. data/interim/screening_evidence/sec_2015_2025_v2 contains extracted business evidence, numeric candidates and review packets. These are evidence inputs, not approved totals or halal decisions. Separate financial handoff data remains necessary.</w:t>
      </w:r>
    </w:p>
    <w:p w14:paraId="6397A39E">
      <w:r>
        <w:t>The numeric file includes duplicate representations, different periods and business segments. Select a coherent issuer-level figure with a source reference; never add every matching record. Do not replace gross interest earned with net interest after expenses or assume an unreported figure is zero.</w:t>
      </w:r>
    </w:p>
    <w:p w14:paraId="6E9BD71B">
      <w:pPr>
        <w:pStyle w:val="2"/>
      </w:pPr>
      <w:r>
        <w:t>Data limitations still to resolve</w:t>
      </w:r>
    </w:p>
    <w:p w14:paraId="1CC15D20">
      <w:r>
        <w:t>Latest business excerpts exist for all 50 study companies, but that does not prove every historical prohibited-income amount is disclosed. Separate gross-interest candidates were not established for AAPL, MSFT, HD, SBUX, MCD, COST, UPS, V, MA and PEP. Manual report review may recover them; otherwise retain unknown. BAC identity was verified against original filings, and XOM historical issuer evidence was recovered; this does not approve financial mappings.</w:t>
      </w:r>
    </w:p>
    <w:p w14:paraId="71CF2B88">
      <w:r>
        <w:br w:type="page"/>
      </w:r>
    </w:p>
    <w:p w14:paraId="4F124C60">
      <w:pPr>
        <w:pStyle w:val="2"/>
      </w:pPr>
      <w:r>
        <w:t>Proposed Halalify implementation controls</w:t>
      </w:r>
    </w:p>
    <w:p w14:paraId="51562FF6">
      <w:r>
        <w:t>These controls are project recommendations, not additional published religious thresholds. Approve and version them before coding.</w:t>
      </w:r>
    </w:p>
    <w:p w14:paraId="64304C0C">
      <w:r>
        <w:t>Keep screening in src/screening and rule settings in configs; methodology in docs; validation evidence in reports. Preserve large raw/interim files outside Git.</w:t>
      </w:r>
    </w:p>
    <w:p w14:paraId="7B007130">
      <w:r>
        <w:t>Record stock identifier, issuer identifier, reporting period, original filing, public release date, selected metric, exact rule version and reviewer for each result.</w:t>
      </w:r>
    </w:p>
    <w:p w14:paraId="021D7C80">
      <w:r>
        <w:t>Use evidence no earlier than the next US exchange session after filing/acceptance date, following our data dictionary. Never use future restatements in an earlier decision.</w:t>
      </w:r>
    </w:p>
    <w:p w14:paraId="31FAB5EA">
      <w:r>
        <w:t>Use aligned reporting dates and currencies for balance-sheet ratios. For income, explicitly choose and document annual or four non-overlapping quarters; do not mix quarterly and year-to-date totals.</w:t>
      </w:r>
    </w:p>
    <w:p w14:paraId="242A29E9">
      <w:r>
        <w:t>Retain missing data as unknown. PASS requires all applicable checks and complete approved evidence. FAIL requires a supported failing check. NEEDS_REVIEW covers unresolved inputs or unapproved definitions; it is not portfolio eligible.</w:t>
      </w:r>
    </w:p>
    <w:p w14:paraId="218FD089">
      <w:r>
        <w:t>Calculate with unrounded decimal ratios. For FTSE 5% income passes and debt exactly 33.333% fails. Test boundary values, zero denominators, duplicate facts, stale filings and missing evidence.</w:t>
      </w:r>
    </w:p>
    <w:p w14:paraId="1C4D41D5">
      <w:r>
        <w:t>Define freshness and update cadence separately from published rules. Existing proposed 180-day financial and 450-day business limits are prototype choices, not verified requirements of these standards.</w:t>
      </w:r>
    </w:p>
    <w:p w14:paraId="7667CB08">
      <w:r>
        <w:t>Retain the previous status when implementing FTSE monitoring. Decide how unknown quarters interrupt monitoring; do not invent a provider rule.</w:t>
      </w:r>
    </w:p>
    <w:p w14:paraId="3183FEB1">
      <w:r>
        <w:t>Keep ML return/risk predictions separate from screening. A high predicted return cannot make a failed or unknown company eligible.</w:t>
      </w:r>
    </w:p>
    <w:p w14:paraId="682F4A67">
      <w:r>
        <w:t>Document purification scope, exits after status changes, historical version policy and reviewer responsibility. Reproduce checks in a fresh environment before claiming completion.</w:t>
      </w:r>
    </w:p>
    <w:p w14:paraId="4193430D">
      <w:r>
        <w:br w:type="page"/>
      </w:r>
    </w:p>
    <w:p w14:paraId="58061664">
      <w:pPr>
        <w:pStyle w:val="2"/>
      </w:pPr>
      <w:r>
        <w:t>Decision record and verified references</w:t>
      </w:r>
    </w:p>
    <w:tbl>
      <w:tblPr>
        <w:tblStyle w:val="12"/>
        <w:tblW w:w="0" w:type="auto"/>
        <w:tblInd w:w="0" w:type="dxa"/>
        <w:tblLayout w:type="fixed"/>
        <w:tblCellMar>
          <w:top w:w="0" w:type="dxa"/>
          <w:left w:w="108" w:type="dxa"/>
          <w:bottom w:w="0" w:type="dxa"/>
          <w:right w:w="108" w:type="dxa"/>
        </w:tblCellMar>
      </w:tblPr>
      <w:tblGrid>
        <w:gridCol w:w="5112"/>
        <w:gridCol w:w="5112"/>
      </w:tblGrid>
      <w:tr w14:paraId="61817DE6">
        <w:tblPrEx>
          <w:tblCellMar>
            <w:top w:w="0" w:type="dxa"/>
            <w:left w:w="108" w:type="dxa"/>
            <w:bottom w:w="0" w:type="dxa"/>
            <w:right w:w="108" w:type="dxa"/>
          </w:tblCellMar>
        </w:tblPrEx>
        <w:trPr>
          <w:cantSplit/>
          <w:tblHeader/>
        </w:trPr>
        <w:tc>
          <w:tcPr>
            <w:tcW w:w="5112" w:type="dxa"/>
            <w:tcBorders>
              <w:top w:val="single" w:color="D9D9D9" w:sz="4" w:space="0"/>
              <w:left w:val="single" w:color="D9D9D9" w:sz="4" w:space="0"/>
              <w:bottom w:val="single" w:color="D9D9D9" w:sz="4" w:space="0"/>
              <w:right w:val="single" w:color="D9D9D9" w:sz="4" w:space="0"/>
            </w:tcBorders>
            <w:shd w:val="clear" w:color="auto" w:fill="17365D"/>
          </w:tcPr>
          <w:p w14:paraId="3DCFDDAF">
            <w:pPr>
              <w:spacing w:before="100" w:after="100"/>
            </w:pPr>
            <w:r>
              <w:rPr>
                <w:b/>
                <w:color w:val="FFFFFF"/>
                <w:sz w:val="20"/>
              </w:rPr>
              <w:t>Decision</w:t>
            </w:r>
          </w:p>
        </w:tc>
        <w:tc>
          <w:tcPr>
            <w:tcW w:w="5112" w:type="dxa"/>
            <w:tcBorders>
              <w:top w:val="single" w:color="D9D9D9" w:sz="4" w:space="0"/>
              <w:left w:val="single" w:color="D9D9D9" w:sz="4" w:space="0"/>
              <w:bottom w:val="single" w:color="D9D9D9" w:sz="4" w:space="0"/>
              <w:right w:val="single" w:color="D9D9D9" w:sz="4" w:space="0"/>
            </w:tcBorders>
            <w:shd w:val="clear" w:color="auto" w:fill="17365D"/>
          </w:tcPr>
          <w:p w14:paraId="1743AD9C">
            <w:pPr>
              <w:spacing w:before="100" w:after="100"/>
            </w:pPr>
            <w:r>
              <w:rPr>
                <w:b/>
                <w:color w:val="FFFFFF"/>
                <w:sz w:val="20"/>
              </w:rPr>
              <w:t>Current position</w:t>
            </w:r>
          </w:p>
        </w:tc>
      </w:tr>
      <w:tr w14:paraId="0116F783">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3E0AF757">
            <w:pPr>
              <w:spacing w:before="100" w:after="100"/>
            </w:pPr>
            <w:r>
              <w:rPr>
                <w:b w:val="0"/>
                <w:sz w:val="20"/>
              </w:rPr>
              <w:t>Primary method</w:t>
            </w:r>
          </w:p>
        </w:tc>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31AE6984">
            <w:pPr>
              <w:spacing w:before="100" w:after="100"/>
            </w:pPr>
            <w:r>
              <w:rPr>
                <w:b w:val="0"/>
                <w:sz w:val="20"/>
              </w:rPr>
              <w:t>FTSE Yasaar recommended candidate; not selected</w:t>
            </w:r>
          </w:p>
        </w:tc>
      </w:tr>
      <w:tr w14:paraId="7DF444A2">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496727B7">
            <w:pPr>
              <w:spacing w:before="100" w:after="100"/>
            </w:pPr>
            <w:r>
              <w:rPr>
                <w:b w:val="0"/>
                <w:sz w:val="20"/>
              </w:rPr>
              <w:t>Edition</w:t>
            </w:r>
          </w:p>
        </w:tc>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234D40BD">
            <w:pPr>
              <w:spacing w:before="100" w:after="100"/>
            </w:pPr>
            <w:r>
              <w:rPr>
                <w:b w:val="0"/>
                <w:sz w:val="20"/>
              </w:rPr>
              <w:t>v4.6 February 2026 considered; historical policy pending</w:t>
            </w:r>
          </w:p>
        </w:tc>
      </w:tr>
      <w:tr w14:paraId="36D299F3">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4298DA8B">
            <w:pPr>
              <w:spacing w:before="100" w:after="100"/>
            </w:pPr>
            <w:r>
              <w:rPr>
                <w:b w:val="0"/>
                <w:sz w:val="20"/>
              </w:rPr>
              <w:t>Domain reviewer</w:t>
            </w:r>
          </w:p>
        </w:tc>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6E9FCBDC">
            <w:pPr>
              <w:spacing w:before="100" w:after="100"/>
            </w:pPr>
            <w:r>
              <w:rPr>
                <w:b w:val="0"/>
                <w:sz w:val="20"/>
              </w:rPr>
              <w:t>To be recorded by team</w:t>
            </w:r>
          </w:p>
        </w:tc>
      </w:tr>
      <w:tr w14:paraId="59AF07C7">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21EC048D">
            <w:pPr>
              <w:spacing w:before="100" w:after="100"/>
            </w:pPr>
            <w:r>
              <w:rPr>
                <w:b w:val="0"/>
                <w:sz w:val="20"/>
              </w:rPr>
              <w:t>Accounting mappings</w:t>
            </w:r>
          </w:p>
        </w:tc>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458F9F57">
            <w:pPr>
              <w:spacing w:before="100" w:after="100"/>
            </w:pPr>
            <w:r>
              <w:rPr>
                <w:b w:val="0"/>
                <w:sz w:val="20"/>
              </w:rPr>
              <w:t>Pending review of issuer-level amounts</w:t>
            </w:r>
          </w:p>
        </w:tc>
      </w:tr>
      <w:tr w14:paraId="4475E043">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771D31E1">
            <w:pPr>
              <w:spacing w:before="100" w:after="100"/>
            </w:pPr>
            <w:r>
              <w:rPr>
                <w:b w:val="0"/>
                <w:sz w:val="20"/>
              </w:rPr>
              <w:t>Historical policy</w:t>
            </w:r>
          </w:p>
        </w:tc>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0373D179">
            <w:pPr>
              <w:spacing w:before="100" w:after="100"/>
            </w:pPr>
            <w:r>
              <w:rPr>
                <w:b w:val="0"/>
                <w:sz w:val="20"/>
              </w:rPr>
              <w:t>Fixed-version study or date-effective editions: pending</w:t>
            </w:r>
          </w:p>
        </w:tc>
      </w:tr>
      <w:tr w14:paraId="102F6C44">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79935732">
            <w:pPr>
              <w:spacing w:before="100" w:after="100"/>
            </w:pPr>
            <w:r>
              <w:rPr>
                <w:b w:val="0"/>
                <w:sz w:val="20"/>
              </w:rPr>
              <w:t>Quarterly monitoring and purification</w:t>
            </w:r>
          </w:p>
        </w:tc>
        <w:tc>
          <w:tcPr>
            <w:tcW w:w="5112" w:type="dxa"/>
            <w:tcBorders>
              <w:top w:val="single" w:color="D9D9D9" w:sz="4" w:space="0"/>
              <w:left w:val="single" w:color="D9D9D9" w:sz="4" w:space="0"/>
              <w:bottom w:val="single" w:color="D9D9D9" w:sz="4" w:space="0"/>
              <w:right w:val="single" w:color="D9D9D9" w:sz="4" w:space="0"/>
            </w:tcBorders>
            <w:shd w:val="clear" w:color="auto" w:fill="FFFFFF"/>
          </w:tcPr>
          <w:p w14:paraId="466897F2">
            <w:pPr>
              <w:spacing w:before="100" w:after="100"/>
            </w:pPr>
            <w:r>
              <w:rPr>
                <w:b w:val="0"/>
                <w:sz w:val="20"/>
              </w:rPr>
              <w:t>Scope and implementation pending</w:t>
            </w:r>
          </w:p>
        </w:tc>
      </w:tr>
      <w:tr w14:paraId="07E5CC41">
        <w:tblPrEx>
          <w:tblCellMar>
            <w:top w:w="0" w:type="dxa"/>
            <w:left w:w="108" w:type="dxa"/>
            <w:bottom w:w="0" w:type="dxa"/>
            <w:right w:w="108" w:type="dxa"/>
          </w:tblCellMar>
        </w:tblPrEx>
        <w:trPr>
          <w:cantSplit/>
        </w:trPr>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28EF83E2">
            <w:pPr>
              <w:spacing w:before="100" w:after="100"/>
            </w:pPr>
            <w:r>
              <w:rPr>
                <w:b w:val="0"/>
                <w:sz w:val="20"/>
              </w:rPr>
              <w:t>Approval date and approver</w:t>
            </w:r>
          </w:p>
        </w:tc>
        <w:tc>
          <w:tcPr>
            <w:tcW w:w="5112" w:type="dxa"/>
            <w:tcBorders>
              <w:top w:val="single" w:color="D9D9D9" w:sz="4" w:space="0"/>
              <w:left w:val="single" w:color="D9D9D9" w:sz="4" w:space="0"/>
              <w:bottom w:val="single" w:color="D9D9D9" w:sz="4" w:space="0"/>
              <w:right w:val="single" w:color="D9D9D9" w:sz="4" w:space="0"/>
            </w:tcBorders>
            <w:shd w:val="clear" w:color="auto" w:fill="EEF3F8"/>
          </w:tcPr>
          <w:p w14:paraId="1BCA1F91">
            <w:pPr>
              <w:spacing w:before="100" w:after="100"/>
            </w:pPr>
            <w:r>
              <w:rPr>
                <w:b w:val="0"/>
                <w:sz w:val="20"/>
              </w:rPr>
              <w:t>Not recorded; no approval inferred</w:t>
            </w:r>
          </w:p>
        </w:tc>
      </w:tr>
    </w:tbl>
    <w:p w14:paraId="0A184B02">
      <w:r>
        <w:t>Once the team agrees, record the exact method, edition, scope, field definitions and historical policy in configs and docs/screening_methodology.md. Update AGENTS.md with the actual decision; do not treat this recommendation as selection. All sources below were reviewed on 3 October 2026.</w:t>
      </w:r>
    </w:p>
    <w:p w14:paraId="5AB89557">
      <w:r>
        <w:t>[M1] Meezan screening criteria, criteria 1–6; accessed 3 October 2026</w:t>
      </w:r>
    </w:p>
    <w:p w14:paraId="61E32B3D">
      <w:r>
        <w:fldChar w:fldCharType="begin"/>
      </w:r>
      <w:r>
        <w:instrText xml:space="preserve"> HYPERLINK "https://www.meezanbank.com/shariah-screening-criteria/" \h </w:instrText>
      </w:r>
      <w:r>
        <w:fldChar w:fldCharType="separate"/>
      </w:r>
      <w:r>
        <w:t>Open source</w:t>
      </w:r>
      <w:r>
        <w:fldChar w:fldCharType="end"/>
      </w:r>
    </w:p>
    <w:p w14:paraId="161CFA4D">
      <w:r>
        <w:t>[P1] PSX All Share Islamic Index brochure, printed pages 2–3</w:t>
      </w:r>
    </w:p>
    <w:p w14:paraId="500552A0">
      <w:r>
        <w:fldChar w:fldCharType="begin"/>
      </w:r>
      <w:r>
        <w:instrText xml:space="preserve"> HYPERLINK "https://www.psx.com.pk/psx/themes/psx/uploads/brochure-all-shares-Islamic-index-of-pakistan.pdf" \h </w:instrText>
      </w:r>
      <w:r>
        <w:fldChar w:fldCharType="separate"/>
      </w:r>
      <w:r>
        <w:t>Open source</w:t>
      </w:r>
      <w:r>
        <w:fldChar w:fldCharType="end"/>
      </w:r>
    </w:p>
    <w:p w14:paraId="616EE67F">
      <w:r>
        <w:t>[P2] PSX/N-244, 26 February 2026; implementation from November 2026 review</w:t>
      </w:r>
    </w:p>
    <w:p w14:paraId="7D90C56C">
      <w:r>
        <w:fldChar w:fldCharType="begin"/>
      </w:r>
      <w:r>
        <w:instrText xml:space="preserve"> HYPERLINK "https://www.psx.com.pk/psx/files/?file=271129-1.pdf" \h </w:instrText>
      </w:r>
      <w:r>
        <w:fldChar w:fldCharType="separate"/>
      </w:r>
      <w:r>
        <w:t>Open source</w:t>
      </w:r>
      <w:r>
        <w:fldChar w:fldCharType="end"/>
      </w:r>
    </w:p>
    <w:p w14:paraId="2AAB59B4">
      <w:r>
        <w:t>[F1] FTSE Yasaar Ground Rules v4.6, February 2026; rules 4.3–4.4 and 5.2</w:t>
      </w:r>
    </w:p>
    <w:p w14:paraId="11A12B41">
      <w:r>
        <w:fldChar w:fldCharType="begin"/>
      </w:r>
      <w:r>
        <w:instrText xml:space="preserve"> HYPERLINK "https://www.lseg.com/content/dam/ftse-russell/en_us/documents/ground-rules/ftse-yasaar-global-equity-shariah-index-series-ground-rules.pdf" \h </w:instrText>
      </w:r>
      <w:r>
        <w:fldChar w:fldCharType="separate"/>
      </w:r>
      <w:r>
        <w:t>Open source</w:t>
      </w:r>
      <w:r>
        <w:fldChar w:fldCharType="end"/>
      </w:r>
    </w:p>
    <w:p w14:paraId="3BF04370">
      <w:r>
        <w:t>[F2] LSEG FTSE Yasaar official overview; accessed 3 October 2026</w:t>
      </w:r>
    </w:p>
    <w:p w14:paraId="0A0B9733">
      <w:r>
        <w:fldChar w:fldCharType="begin"/>
      </w:r>
      <w:r>
        <w:instrText xml:space="preserve"> HYPERLINK "https://www.lseg.com/en/ftse-russell/indices/global-shariah" \h </w:instrText>
      </w:r>
      <w:r>
        <w:fldChar w:fldCharType="separate"/>
      </w:r>
      <w:r>
        <w:t>Open source</w:t>
      </w:r>
      <w:r>
        <w:fldChar w:fldCharType="end"/>
      </w:r>
    </w:p>
    <w:p w14:paraId="626422C5">
      <w:r>
        <w:t>[A1] AAOIFI official Standard 21 listing; confirms subject, not edition text</w:t>
      </w:r>
    </w:p>
    <w:p w14:paraId="588DE530">
      <w:r>
        <w:fldChar w:fldCharType="begin"/>
      </w:r>
      <w:r>
        <w:instrText xml:space="preserve"> HYPERLINK "https://aaoifi.com/ss-21-financial-paper-shares-and-bonds/?lang=en" \h </w:instrText>
      </w:r>
      <w:r>
        <w:fldChar w:fldCharType="separate"/>
      </w:r>
      <w:r>
        <w:t>Open source</w:t>
      </w:r>
      <w:r>
        <w:fldChar w:fldCharType="end"/>
      </w:r>
    </w:p>
    <w:p w14:paraId="74325BBA">
      <w:r>
        <w:t>[A2] Public AAOIFI SS21 reproduction on PSE infrastructure; older text issued 20 May 2004; clauses 3/4 and 3/17–3/20. Search metadata labels it Exposure Draft Translation; confirm against authorised edition before adoption</w:t>
      </w:r>
    </w:p>
    <w:p w14:paraId="5E609852">
      <w:r>
        <w:fldChar w:fldCharType="begin"/>
      </w:r>
      <w:r>
        <w:instrText xml:space="preserve"> HYPERLINK "https://s3-ap-southeast-1.amazonaws.com/pse.uat.premierse.com/wp-content/uploads/sites/15/2020/08/AAOIFI-Sharia-Standard-No-21-Financial-Paper-1.pdf" \h </w:instrText>
      </w:r>
      <w:r>
        <w:fldChar w:fldCharType="separate"/>
      </w:r>
      <w:r>
        <w:t>Open source</w:t>
      </w:r>
      <w:r>
        <w:fldChar w:fldCharType="end"/>
      </w:r>
    </w:p>
    <w:p w14:paraId="0CC6DA3F">
      <w:r>
        <w:br w:type="page"/>
      </w:r>
    </w:p>
    <w:p w14:paraId="035706FA">
      <w:pPr>
        <w:pStyle w:val="2"/>
      </w:pPr>
      <w:r>
        <w:t>Plain language glossary and examples</w:t>
      </w:r>
    </w:p>
    <w:p w14:paraId="6589B337">
      <w:r>
        <w:rPr>
          <w:b/>
        </w:rPr>
        <w:t xml:space="preserve">Share or stock — </w:t>
      </w:r>
      <w:r>
        <w:t>A small ownership part of a company. Buying shares makes you a shareholder.</w:t>
      </w:r>
    </w:p>
    <w:p w14:paraId="689A9BE0">
      <w:r>
        <w:rPr>
          <w:b/>
        </w:rPr>
        <w:t xml:space="preserve">Screening standard or method — </w:t>
      </w:r>
      <w:r>
        <w:t>A set of rules used to assess the company. It is separate from our AI predictions.</w:t>
      </w:r>
    </w:p>
    <w:p w14:paraId="773B433D">
      <w:r>
        <w:rPr>
          <w:b/>
        </w:rPr>
        <w:t xml:space="preserve">Equity index — </w:t>
      </w:r>
      <w:r>
        <w:t>A selected group of stocks tracked together. Passing screening does not automatically mean membership of an official index.</w:t>
      </w:r>
    </w:p>
    <w:p w14:paraId="560E998A">
      <w:r>
        <w:rPr>
          <w:b/>
        </w:rPr>
        <w:t xml:space="preserve">KMI — </w:t>
      </w:r>
      <w:r>
        <w:t>Karachi Meezan Index. KMI 37% refers to one older debt/assets limit, not a separate complete standard.</w:t>
      </w:r>
    </w:p>
    <w:p w14:paraId="2FC43583">
      <w:r>
        <w:rPr>
          <w:b/>
        </w:rPr>
        <w:t xml:space="preserve">Assets — </w:t>
      </w:r>
      <w:r>
        <w:t>What the company owns or controls, such as cash, equipment and inventory.</w:t>
      </w:r>
    </w:p>
    <w:p w14:paraId="4D12ACBC">
      <w:r>
        <w:rPr>
          <w:b/>
        </w:rPr>
        <w:t xml:space="preserve">Interest-bearing debt — </w:t>
      </w:r>
      <w:r>
        <w:t>Borrowed money on which interest is charged. It is not the same as every liability.</w:t>
      </w:r>
    </w:p>
    <w:p w14:paraId="1911FA0E">
      <w:r>
        <w:rPr>
          <w:b/>
        </w:rPr>
        <w:t xml:space="preserve">Liabilities — </w:t>
      </w:r>
      <w:r>
        <w:t>Amounts and obligations the company owes. These can include borrowing, supplier bills and other obligations.</w:t>
      </w:r>
    </w:p>
    <w:p w14:paraId="4FDF8C81">
      <w:r>
        <w:rPr>
          <w:b/>
        </w:rPr>
        <w:t xml:space="preserve">Receivables — </w:t>
      </w:r>
      <w:r>
        <w:t>Amounts customers owe the company for goods or services already supplied.</w:t>
      </w:r>
    </w:p>
    <w:p w14:paraId="7B529345">
      <w:r>
        <w:rPr>
          <w:b/>
        </w:rPr>
        <w:t xml:space="preserve">Revenue and profit — </w:t>
      </w:r>
      <w:r>
        <w:t>Revenue is money earned before costs. Profit is what remains after relevant costs. Each method specifies its own revenue or income definition.</w:t>
      </w:r>
    </w:p>
    <w:p w14:paraId="44BF72EE">
      <w:r>
        <w:rPr>
          <w:b/>
        </w:rPr>
        <w:t xml:space="preserve">Interest income — </w:t>
      </w:r>
      <w:r>
        <w:t>Interest the company earns. Interest expense is interest it pays; net interest combines amounts and may hide the gross income needed for screening.</w:t>
      </w:r>
    </w:p>
    <w:p w14:paraId="5472F250">
      <w:r>
        <w:rPr>
          <w:b/>
        </w:rPr>
        <w:t xml:space="preserve">Illiquid assets — </w:t>
      </w:r>
      <w:r>
        <w:t>In these screening methods, a defined category including items such as inventory and fixed assets. Use the method’s definition, not simply all assets minus cash.</w:t>
      </w:r>
    </w:p>
    <w:p w14:paraId="1229EFF2">
      <w:r>
        <w:rPr>
          <w:b/>
        </w:rPr>
        <w:t xml:space="preserve">Market capitalisation — </w:t>
      </w:r>
      <w:r>
        <w:t>The value of the company’s outstanding shares: share price multiplied by the number of shares. It is not the value of its assets.</w:t>
      </w:r>
    </w:p>
    <w:p w14:paraId="6517949D">
      <w:r>
        <w:rPr>
          <w:b/>
        </w:rPr>
        <w:t xml:space="preserve">Edition and effective date — </w:t>
      </w:r>
      <w:r>
        <w:t>Which published rule version is used and when it applies. A newly published rule is not automatically the rule for earlier years.</w:t>
      </w:r>
    </w:p>
    <w:p w14:paraId="713B9B87">
      <w:r>
        <w:rPr>
          <w:b/>
        </w:rPr>
        <w:t xml:space="preserve">Purification — </w:t>
      </w:r>
      <w:r>
        <w:t>Removing the prohibited part of earnings according to the selected method. It does not turn an otherwise failed company into a passing company.</w:t>
      </w:r>
    </w:p>
    <w:p w14:paraId="3BE894FB">
      <w:r>
        <w:rPr>
          <w:b/>
        </w:rPr>
        <w:t xml:space="preserve">Accounting mapping — </w:t>
      </w:r>
      <w:r>
        <w:t>Agreeing which numbers in the company report count toward a rule. Similar-looking SEC field names are not always interchangeable.</w:t>
      </w:r>
    </w:p>
    <w:p w14:paraId="654A66BD">
      <w:r>
        <w:br w:type="page"/>
      </w:r>
    </w:p>
    <w:p w14:paraId="67170A82">
      <w:pPr>
        <w:pStyle w:val="2"/>
      </w:pPr>
      <w:r>
        <w:t>Worked example and handoff instructions</w:t>
      </w:r>
    </w:p>
    <w:p w14:paraId="4AF76F2D">
      <w:r>
        <w:t>The following invented company illustrates the mathematics only. It is not a real company assessment.</w:t>
      </w:r>
    </w:p>
    <w:p w14:paraId="679BC141">
      <w:r>
        <w:t>Suppose assets are 100 million and interest-bearing debt is 30 million. Debt/assets × 100 = 30%. This passes the older KMI &lt;37% debt check. Debt of exactly 37 million would fail that check because equality is excluded. A passing debt result does not establish overall compliance.</w:t>
      </w:r>
    </w:p>
    <w:p w14:paraId="4F87D549">
      <w:r>
        <w:t>Suppose the other reviewed FTSE inputs are cash 10 million, interest-bearing items 5 million and receivables 20 million. The cash/items ratio is 15% and the receivables/cash ratio is 30%. These pass their respective &lt;33.333% and &lt;50% limits. If interest and other prohibited income total 4 million against revenue of 100 million, the income ratio is 4%. Business activity must still be checked.</w:t>
      </w:r>
    </w:p>
    <w:p w14:paraId="0685FB3B">
      <w:r>
        <w:t>If prohibited income is unknown, we cannot assume the income ratio is 0%. The result remains needs review unless another supported failure already establishes rejection. No amount should be counted twice; interest income that is also listed under other prohibited income must be reconciled.</w:t>
      </w:r>
    </w:p>
    <w:p w14:paraId="0B375BAD">
      <w:r>
        <w:t>For AAOIFI comparison, a share price of 20 and 10 million outstanding shares gives market capitalisation of 200 million. Borrowing of 30 million is 15% of market capitalisation, although it was 30% of assets above. This shows why denominators must not be mixed.</w:t>
      </w:r>
    </w:p>
    <w:p w14:paraId="30E686CA">
      <w:pPr>
        <w:pStyle w:val="3"/>
      </w:pPr>
      <w:r>
        <w:t>Which files your teammate receives</w:t>
      </w:r>
    </w:p>
    <w:p w14:paraId="7E279968">
      <w:r>
        <w:t>The original ZIP is the full source evidence. The extracted folder contains selected information from those reports to save review time. Start with the extracted information, check the original reports, and obtain the separate financial handoff for assets, borrowing, cash and other required inputs. The extracted numbers are candidates, not approved totals.</w:t>
      </w:r>
    </w:p>
    <w:p w14:paraId="310F30AD">
      <w:r>
        <w:t>Original sources: C:/Users/Muhiddin/OneDrive/Desktop/Halalify/HalalifyAI/data/raw/sec_screening_evidence/sec_sources_20261002.zip</w:t>
      </w:r>
    </w:p>
    <w:p w14:paraId="1E640944">
      <w:r>
        <w:t>Extracted information: C:/Users/Muhiddin/OneDrive/Desktop/Halalify/HalalifyAI/data/interim/screening_evidence/sec_2015_2025_v2/</w:t>
      </w:r>
    </w:p>
    <w:p w14:paraId="58655400">
      <w:r>
        <w:t>business_evidence.jsonl contains extracted business passages; numeric_candidates.jsonl contains possible financial observations; screening_review_packets.json contains review summaries. JSONL means one structured record per line. These files are intended for review/code, not an ordinary spreadsheet table.</w:t>
      </w:r>
    </w:p>
    <w:p w14:paraId="10BC623A">
      <w:pPr>
        <w:pStyle w:val="3"/>
      </w:pPr>
      <w:r>
        <w:t>A safe order of work</w:t>
      </w:r>
    </w:p>
    <w:p w14:paraId="4DE5CE4E">
      <w:r>
        <w:t>1. Agree on the method, edition and historical policy using the decision record in this guide.</w:t>
      </w:r>
    </w:p>
    <w:p w14:paraId="5F8046A3">
      <w:r>
        <w:t>2. Approve the financial definitions and resolve missing business/income evidence.</w:t>
      </w:r>
    </w:p>
    <w:p w14:paraId="4F974B24">
      <w:r>
        <w:t>3. Implement each required check and the result explanation; keep unknown values visible.</w:t>
      </w:r>
    </w:p>
    <w:p w14:paraId="717CF68B">
      <w:r>
        <w:t>4. Verify examples and boundary cases, reproduce the tests and obtain actual teammate review.</w:t>
      </w:r>
    </w:p>
    <w:p w14:paraId="6CD2C6A4">
      <w:r>
        <w:t>5. Update project documentation and AGENTS.md with the approved decision; do not claim completion before evidence supports it.</w:t>
      </w:r>
      <w:bookmarkStart w:id="0" w:name="_GoBack"/>
      <w:bookmarkEnd w:id="0"/>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BD03C">
    <w:pPr>
      <w:pStyle w:val="18"/>
      <w:jc w:val="right"/>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C3C1DA0"/>
    <w:rsid w:val="790701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4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2766</Words>
  <Characters>16597</Characters>
  <Lines>0</Lines>
  <Paragraphs>0</Paragraphs>
  <TotalTime>2</TotalTime>
  <ScaleCrop>false</ScaleCrop>
  <LinksUpToDate>false</LinksUpToDate>
  <CharactersWithSpaces>19176</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Muhiu DDin</cp:lastModifiedBy>
  <dcterms:modified xsi:type="dcterms:W3CDTF">2026-10-03T12:41:25Z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eyJoZGlkIjoiNjBhYTk0OGU1OGI0MzdmODBlYWNmNTgxM2Q0M2Y0MDAiLCJ1c2VySWQiOiIxOTQxODg0NTc1NDA4In0=</vt:lpwstr>
  </property>
  <property fmtid="{D5CDD505-2E9C-101B-9397-08002B2CF9AE}" pid="3" name="KSOProductBuildVer">
    <vt:lpwstr>1033-12.1.0.24752</vt:lpwstr>
  </property>
  <property fmtid="{D5CDD505-2E9C-101B-9397-08002B2CF9AE}" pid="4" name="ICV">
    <vt:lpwstr>78EAF04B65CF47BFBBF9E3A75E05122E_12</vt:lpwstr>
  </property>
</Properties>
</file>