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t xml:space="preserve">Evaluation of the Dissertation</w:t>
      </w:r>
    </w:p>
    <w:p>
      <w:pPr>
        <w:spacing w:after="60"/>
      </w:pPr>
      <w:r>
        <w:rPr>
          <w:b/>
          <w:bCs/>
        </w:rPr>
        <w:t xml:space="preserve">“Development of Rapid Point-of-Care Diagnostics for Viral Infectious Diseases using Lateral Flow Platforms”</w:t>
      </w:r>
    </w:p>
    <w:p>
      <w:pPr>
        <w:spacing w:after="60"/>
      </w:pPr>
      <w:r>
        <w:t xml:space="preserve">Submitted by Ms. Yuli Peng, M.Sc.</w:t>
      </w:r>
    </w:p>
    <w:p>
      <w:pPr>
        <w:spacing w:after="60"/>
      </w:pPr>
      <w:r>
        <w:t xml:space="preserve">King Abdullah University of Science and Technology (KAUST), Thuwal, Saudi Arabia</w:t>
      </w:r>
    </w:p>
    <w:p>
      <w:pPr>
        <w:spacing w:after="60"/>
      </w:pPr>
      <w:r>
        <w:t xml:space="preserve">Hamburg, [date]</w:t>
      </w:r>
    </w:p>
    <w:p>
      <w:pPr>
        <w:spacing w:after="240"/>
      </w:pPr>
    </w:p>
    <w:p>
      <w:pPr>
        <w:spacing w:after="160"/>
        <w:jc w:val="both"/>
      </w:pPr>
      <w:r>
        <w:t xml:space="preserve">In her PhD work, Ms. Yuli Peng focused on lateral flow assays (LFAs) for the rapid detection of viral infections at the point of care. LFAs are known from pregnancy tests and COVID-19 self-tests. They are cheap, need no instrument and can be read by eye. Conventional LFAs use full-length antibodies, which are produced in mammalian cell culture and are the main cost factor of the test. The idea of the thesis is to replace these antibodies by nanobodies. Nanobodies are the isolated binding domains of camelid heavy-chain antibodies. They are about ten times smaller than an antibody, very stable and can be produced in </w:t>
      </w:r>
      <w:r>
        <w:rPr>
          <w:i/>
          <w:iCs/>
        </w:rPr>
        <w:t xml:space="preserve">E. coli</w:t>
      </w:r>
      <w:r>
        <w:t xml:space="preserve">. The work was carried out in the group of Prof. Magnus Rueping at the KAUST Catalysis Center. Dr. Dominik Renn is named as supervisor in the thesis and is co-author of all publications.</w:t>
      </w:r>
    </w:p>
    <w:p>
      <w:pPr>
        <w:spacing w:after="160"/>
        <w:jc w:val="both"/>
      </w:pPr>
      <w:r>
        <w:t xml:space="preserve">The thesis is well structured. The introduction gives an overview on lateral flow technology and a comprehensive review of nanobody-based LFAs for viral diseases. The review collects all reports since 2014, compares the reported detection limits and discusses the open problems of the field, i.e., finding suitable nanobody pairs, production, conjugation and validation with real samples. It is well written and shows a good understanding of the field. It has been prepared as a review manuscript. The experimental work consists of three parts:</w:t>
      </w:r>
    </w:p>
    <w:p>
      <w:pPr>
        <w:spacing w:after="160"/>
        <w:jc w:val="both"/>
      </w:pPr>
      <w:r>
        <w:t xml:space="preserve">(1) Respiratory viruses: Ms. Peng first combined an isothermal nucleic acid amplification (RPA) with lateral flow readout for the nucleoprotein gene of the respiratory syncytial virus (RSV). This assay was tested with plasmid DNA so far. She then developed a nanobody-based LFA for the RSV fusion protein using four published nanobodies. The nanobody pair identified by ELISA did not work on the strip at first, as direct conjugation to gold nanoparticles caused aggregation and false-positive signals. Ms. Peng solved this by site-specific biotinylation of the nanobody and attachment to streptavidin-coated gold nanoparticles. In the third study of this part, she developed LFAs for the spike proteins of SARS-CoV-2 and MERS-CoV, as single tests and as a multiplexed strip. This included the characterization of the binding affinities, the optimization of the strip components, tests with inactivated virus in saliva and a storage test.</w:t>
      </w:r>
    </w:p>
    <w:p>
      <w:pPr>
        <w:spacing w:after="160"/>
        <w:jc w:val="both"/>
      </w:pPr>
      <w:r>
        <w:t xml:space="preserve">(2) Vector-borne viruses: The second part transfers the approach to dengue and Zika virus. For dengue, Ms. Peng developed a modular assembly in which the nanobodies carry a SpyCatcher domain, are biotinylated with a SpyTag peptide and are then captured on streptavidin-gold. She also showed why the streptavidin-gold conjugate prepared in the lab performed poorly: the coupling chemistry blocks part of the biotin binding sites. The final LFA detects the NS1 protein of all four dengue serotypes in buffer, urine and diluted serum and does not react with Zika NS1. For Zika, she compared different expression routes and tags for two published nanobodies and built an LFA that detects Zika NS1 in serum and urine, in urine down to 1 ng/mL. This is on the level of antibody-based tests. The binding kinetics and mass photometry measurements of this study were carried out by the collaborators and show that the oligomeric state of NS1 supports its capture on the strip.</w:t>
      </w:r>
    </w:p>
    <w:p>
      <w:pPr>
        <w:spacing w:after="160"/>
        <w:jc w:val="both"/>
      </w:pPr>
      <w:r>
        <w:t xml:space="preserve">(3) The thesis closes with a summary. The common finding of all studies is that the affinity of the nanobodies, the conjugation chemistry and the orientation of the nanobody on the gold particle decide whether a test works, and that a conjugation protocol that works for one nanobody does not necessarily work for the next.</w:t>
      </w:r>
    </w:p>
    <w:p>
      <w:pPr>
        <w:spacing w:after="160"/>
        <w:jc w:val="both"/>
      </w:pPr>
      <w:r>
        <w:t xml:space="preserve">So far, the results of Ms. Peng led to two peer-reviewed research articles with her as first author:</w:t>
      </w:r>
    </w:p>
    <w:p>
      <w:pPr>
        <w:pStyle w:val="ListParagraph"/>
        <w:numPr>
          <w:ilvl w:val="0"/>
          <w:numId w:val="2"/>
        </w:numPr>
        <w:spacing w:after="40"/>
      </w:pPr>
      <w:r>
        <w:t xml:space="preserve">ACS Synth. Biol. 2025, 14, 420–430 (full paper, first author)</w:t>
      </w:r>
    </w:p>
    <w:p>
      <w:pPr>
        <w:pStyle w:val="ListParagraph"/>
        <w:numPr>
          <w:ilvl w:val="0"/>
          <w:numId w:val="2"/>
        </w:numPr>
        <w:spacing w:after="40"/>
      </w:pPr>
      <w:r>
        <w:t xml:space="preserve">ACS Synth. Biol. 2025, 14, 890–900 (full paper, first author, shared)</w:t>
      </w:r>
    </w:p>
    <w:p>
      <w:pPr>
        <w:spacing w:after="160"/>
        <w:jc w:val="both"/>
      </w:pPr>
      <w:r>
        <w:t xml:space="preserve">Article (1) reports the SARS-CoV-2 and MERS-CoV LFA, article (2) the Zika LFA. She is co-author of two further articles in Current Protocols. A review with her as first author and two manuscripts on the dengue LFA (shared first author) and on an LFA protocol (first author) are in preparation.</w:t>
      </w:r>
    </w:p>
    <w:p>
      <w:pPr>
        <w:spacing w:after="160"/>
        <w:jc w:val="both"/>
      </w:pPr>
      <w:r>
        <w:t xml:space="preserve">The thesis is a coherent and carefully carried out piece of applied research. Ms. Peng used published nanobodies and concentrated on turning them into working tests. She analyzed at each step why a test did not work and found a solution, mostly in the conjugation chemistry. She reports the failed attempts as openly as the successful ones. It could be noted that, apart from the Zika test, the detection limits are still above those of commercial antibody tests and that the tests were validated with spiked samples rather than patient samples. However, Ms. Peng is aware of this and discusses it in the respective chapters, and the aim of the thesis was to establish the platform rather than a finished product. The thesis contains a number of small errors, which should be corrected before final submission. A list is attached.</w:t>
      </w:r>
    </w:p>
    <w:p>
      <w:pPr>
        <w:spacing w:after="160"/>
        <w:jc w:val="both"/>
      </w:pPr>
      <w:r>
        <w:t xml:space="preserve">According to the authorship statement, Ms. Peng designed and carried out the LFA experiments herself, from nanobody expression to conjugation, strip fabrication and validation. Nanobody purification and binding measurements in the flavivirus projects were contributed by collaborators, who also wrote the corresponding parts of the Zika chapter.</w:t>
      </w:r>
    </w:p>
    <w:p>
      <w:pPr>
        <w:spacing w:after="160"/>
        <w:jc w:val="both"/>
      </w:pPr>
      <w:r>
        <w:t xml:space="preserve">I was asked by KAUST to evaluate this thesis as an external examiner. Based on the data displayed in her publications and in the thesis, I have no reason to suspect an infringement of the rules of good scientific practice, scientific misconduct or any other violations at the present moment.</w:t>
      </w:r>
    </w:p>
    <w:p>
      <w:pPr>
        <w:spacing w:after="160"/>
        <w:jc w:val="both"/>
      </w:pPr>
      <w:r>
        <w:t xml:space="preserve">In summary, I recommend to the committee the acceptance of the PhD thesis of Ms. Yuli Peng and I grade it with</w:t>
      </w:r>
    </w:p>
    <w:p>
      <w:pPr>
        <w:spacing w:after="120" w:before="120"/>
      </w:pPr>
      <w:r>
        <w:rPr>
          <w:b/>
          <w:bCs/>
        </w:rPr>
        <w:t xml:space="preserve">“A-”</w:t>
      </w:r>
    </w:p>
    <w:p>
      <w:pPr>
        <w:spacing w:after="120" w:before="120"/>
      </w:pPr>
      <w:r>
        <w:t xml:space="preserve">Kind regards,</w:t>
      </w:r>
    </w:p>
    <w:p>
      <w:pPr>
        <w:spacing w:after="120" w:before="600"/>
      </w:pPr>
      <w:r>
        <w:t xml:space="preserve">Prof. Dr. Franziska Lissel</w:t>
      </w:r>
    </w:p>
    <w:p>
      <w:r>
        <w:br w:type="page"/>
      </w:r>
    </w:p>
    <w:p>
      <w:pPr>
        <w:spacing w:after="120"/>
      </w:pPr>
      <w:r>
        <w:rPr>
          <w:b/>
          <w:bCs/>
        </w:rPr>
        <w:t xml:space="preserve">Attachment: corrections to be made before final submission</w:t>
      </w:r>
    </w:p>
    <w:p>
      <w:pPr>
        <w:pStyle w:val="ListParagraph"/>
        <w:numPr>
          <w:ilvl w:val="0"/>
          <w:numId w:val="3"/>
        </w:numPr>
        <w:spacing w:after="40"/>
      </w:pPr>
      <w:r>
        <w:t xml:space="preserve">p. 15 vs. List of Publications: status of the review manuscript ("revised for publication in ACS Sensors" vs. "in preparation") should be harmonised.</w:t>
      </w:r>
    </w:p>
    <w:p>
      <w:pPr>
        <w:pStyle w:val="ListParagraph"/>
        <w:numPr>
          <w:ilvl w:val="0"/>
          <w:numId w:val="3"/>
        </w:numPr>
        <w:spacing w:after="40"/>
      </w:pPr>
      <w:r>
        <w:t xml:space="preserve">p. 30: reference 57 is cited for the group's Zika LFA and reference 62 for chikungunya; the numbers appear misplaced (62 is the Zika paper, 103 the chikungunya paper). The MERS-CoV row of Table 1 lacks a reference number.</w:t>
      </w:r>
    </w:p>
    <w:p>
      <w:pPr>
        <w:pStyle w:val="ListParagraph"/>
        <w:numPr>
          <w:ilvl w:val="0"/>
          <w:numId w:val="3"/>
        </w:numPr>
        <w:spacing w:after="40"/>
      </w:pPr>
      <w:r>
        <w:t xml:space="preserve">p. 54: "purchased from either GenDx" (incomplete sentence).</w:t>
      </w:r>
    </w:p>
    <w:p>
      <w:pPr>
        <w:pStyle w:val="ListParagraph"/>
        <w:numPr>
          <w:ilvl w:val="0"/>
          <w:numId w:val="3"/>
        </w:numPr>
        <w:spacing w:after="40"/>
      </w:pPr>
      <w:r>
        <w:t xml:space="preserve">p. 81: "(Table 2)" should read Table 5.</w:t>
      </w:r>
    </w:p>
    <w:p>
      <w:pPr>
        <w:pStyle w:val="ListParagraph"/>
        <w:numPr>
          <w:ilvl w:val="0"/>
          <w:numId w:val="3"/>
        </w:numPr>
        <w:spacing w:after="40"/>
      </w:pPr>
      <w:r>
        <w:t xml:space="preserve">p. 26: the table is referred to as "Table 1.1" instead of Table 1.</w:t>
      </w:r>
    </w:p>
    <w:p>
      <w:pPr>
        <w:pStyle w:val="ListParagraph"/>
        <w:numPr>
          <w:ilvl w:val="0"/>
          <w:numId w:val="3"/>
        </w:numPr>
        <w:spacing w:after="40"/>
      </w:pPr>
      <w:r>
        <w:t xml:space="preserve">p. 108: Figure 21 title "SAS-CoV-2"; the same typo is in the List of Figures (p. 8).</w:t>
      </w:r>
    </w:p>
    <w:p>
      <w:pPr>
        <w:pStyle w:val="ListParagraph"/>
        <w:numPr>
          <w:ilvl w:val="0"/>
          <w:numId w:val="3"/>
        </w:numPr>
        <w:spacing w:after="40"/>
      </w:pPr>
      <w:r>
        <w:t xml:space="preserve">p. 109: inactivated MERS-CoV is said to have been tested on "SARS-CoV-2 LFA strips"; presumably MERS-CoV strips are meant.</w:t>
      </w:r>
    </w:p>
    <w:p>
      <w:pPr>
        <w:pStyle w:val="ListParagraph"/>
        <w:numPr>
          <w:ilvl w:val="0"/>
          <w:numId w:val="3"/>
        </w:numPr>
        <w:spacing w:after="40"/>
      </w:pPr>
      <w:r>
        <w:t xml:space="preserve">p. 117: chikungunya virus is not a flavivirus but an alphavirus (</w:t>
      </w:r>
      <w:r>
        <w:rPr>
          <w:i/>
          <w:iCs/>
        </w:rPr>
        <w:t xml:space="preserve">Togaviridae</w:t>
      </w:r>
      <w:r>
        <w:t xml:space="preserve">).</w:t>
      </w:r>
    </w:p>
    <w:p>
      <w:pPr>
        <w:pStyle w:val="ListParagraph"/>
        <w:numPr>
          <w:ilvl w:val="0"/>
          <w:numId w:val="3"/>
        </w:numPr>
        <w:spacing w:after="40"/>
      </w:pPr>
      <w:r>
        <w:t xml:space="preserve">p. 118: "IgM/IgM" should read IgM/IgG.</w:t>
      </w:r>
    </w:p>
    <w:p>
      <w:pPr>
        <w:pStyle w:val="ListParagraph"/>
        <w:numPr>
          <w:ilvl w:val="0"/>
          <w:numId w:val="3"/>
        </w:numPr>
        <w:spacing w:after="40"/>
      </w:pPr>
      <w:r>
        <w:t xml:space="preserve">p. 126 states that all five dengue nanobodies were purified from the periplasm, whereas the methods (p. 120) state that DD5, DD6 and DD9 were expressed cytoplasmically.</w:t>
      </w:r>
    </w:p>
    <w:p>
      <w:pPr>
        <w:pStyle w:val="ListParagraph"/>
        <w:numPr>
          <w:ilvl w:val="0"/>
          <w:numId w:val="3"/>
        </w:numPr>
        <w:spacing w:after="40"/>
      </w:pPr>
      <w:r>
        <w:t xml:space="preserve">p. 127, Table 8: units (nM) are missing. Are the uncertainties fitting errors or from replicate measurements? This should be stated.</w:t>
      </w:r>
    </w:p>
    <w:p>
      <w:pPr>
        <w:pStyle w:val="ListParagraph"/>
        <w:numPr>
          <w:ilvl w:val="0"/>
          <w:numId w:val="3"/>
        </w:numPr>
        <w:spacing w:after="40"/>
      </w:pPr>
      <w:r>
        <w:t xml:space="preserve">p. 131 reverses the roles of DD7 (detection) and DD9 (capture) relative to the rest of the chapter.</w:t>
      </w:r>
    </w:p>
    <w:p>
      <w:pPr>
        <w:pStyle w:val="ListParagraph"/>
        <w:numPr>
          <w:ilvl w:val="0"/>
          <w:numId w:val="3"/>
        </w:numPr>
        <w:spacing w:after="40"/>
      </w:pPr>
      <w:r>
        <w:t xml:space="preserve">p. 216, Appendix Discussion 2: residual manuscript figure numbering ("Figure S2.7, Figure 2.6").</w:t>
      </w:r>
    </w:p>
    <w:p>
      <w:pPr>
        <w:pStyle w:val="ListParagraph"/>
        <w:numPr>
          <w:ilvl w:val="0"/>
          <w:numId w:val="3"/>
        </w:numPr>
        <w:spacing w:after="40"/>
      </w:pPr>
      <w:r>
        <w:t xml:space="preserve">Chapter 2.3: the claim of the "first nanobody-based sandwich LFA readable by the naked eye" should be reconciled with the earlier colorimetric nanobody LFAs listed in Table 1.</w:t>
      </w:r>
    </w:p>
    <w:sectPr>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2026-09-28T15:28:54.429Z</dcterms:created>
  <dcterms:modified xsi:type="dcterms:W3CDTF">2026-09-28T15:28:54.443Z</dcterms:modified>
</cp:coreProperties>
</file>

<file path=docProps/custom.xml><?xml version="1.0" encoding="utf-8"?>
<Properties xmlns="http://schemas.openxmlformats.org/officeDocument/2006/custom-properties" xmlns:vt="http://schemas.openxmlformats.org/officeDocument/2006/docPropsVTypes"/>
</file>