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Examiner's Report on the PhD Dissertation</w:t>
      </w:r>
    </w:p>
    <w:p>
      <w:pPr>
        <w:spacing w:after="20"/>
      </w:pPr>
      <w:r>
        <w:rPr>
          <w:b/>
          <w:bCs/>
        </w:rPr>
        <w:t xml:space="preserve">Candidate:</w:t>
      </w:r>
      <w:r>
        <w:t xml:space="preserve"> Yuli Peng</w:t>
      </w:r>
    </w:p>
    <w:p>
      <w:pPr>
        <w:spacing w:after="20"/>
      </w:pPr>
      <w:r>
        <w:rPr>
          <w:b/>
          <w:bCs/>
        </w:rPr>
        <w:t xml:space="preserve">Title:</w:t>
      </w:r>
      <w:r>
        <w:t xml:space="preserve"> Development of Rapid Point-of-Care Diagnostics for Viral Infectious Diseases using Lateral Flow Platforms</w:t>
      </w:r>
    </w:p>
    <w:p>
      <w:pPr>
        <w:spacing w:after="20"/>
      </w:pPr>
      <w:r>
        <w:rPr>
          <w:b/>
          <w:bCs/>
        </w:rPr>
        <w:t xml:space="preserve">Institution:</w:t>
      </w:r>
      <w:r>
        <w:t xml:space="preserve"> King Abdullah University of Science and Technology (KAUST), Thuwal, Saudi Arabia</w:t>
      </w:r>
    </w:p>
    <w:p>
      <w:pPr>
        <w:spacing w:after="20"/>
      </w:pPr>
      <w:r>
        <w:rPr>
          <w:b/>
          <w:bCs/>
        </w:rPr>
        <w:t xml:space="preserve">Principal Investigator:</w:t>
      </w:r>
      <w:r>
        <w:t xml:space="preserve"> Prof. Magnus Rueping (day-to-day supervision: Dr. Dominik Renn)</w:t>
      </w:r>
    </w:p>
    <w:p>
      <w:pPr>
        <w:spacing w:after="20"/>
      </w:pPr>
      <w:r>
        <w:rPr>
          <w:b/>
          <w:bCs/>
        </w:rPr>
        <w:t xml:space="preserve">Examiner:</w:t>
      </w:r>
      <w:r>
        <w:t xml:space="preserve"> [Name, Affiliation]</w:t>
      </w:r>
    </w:p>
    <w:p>
      <w:pPr>
        <w:spacing w:after="20"/>
      </w:pPr>
      <w:r>
        <w:rPr>
          <w:b/>
          <w:bCs/>
        </w:rPr>
        <w:t xml:space="preserve">Date:</w:t>
      </w:r>
      <w:r>
        <w:t xml:space="preserve"> [Date]</w:t>
      </w:r>
    </w:p>
    <w:p>
      <w:pPr>
        <w:pStyle w:val="Heading1"/>
        <w:spacing w:after="80" w:before="200"/>
      </w:pPr>
      <w:r>
        <w:t xml:space="preserve">1. Summary of the dissertation</w:t>
      </w:r>
    </w:p>
    <w:p>
      <w:pPr>
        <w:spacing w:after="100"/>
        <w:jc w:val="both"/>
      </w:pPr>
      <w:r>
        <w:t xml:space="preserve">The dissertation (228 pages, four chapters, 386 references) deals with lateral flow assays (LFAs) for the point-of-care detection of viral pathogens. Its central idea is to replace conventional full-length antibodies by recombinant nanobodies produced in </w:t>
      </w:r>
      <w:r>
        <w:rPr>
          <w:i/>
          <w:iCs/>
        </w:rPr>
        <w:t xml:space="preserve">E. coli</w:t>
      </w:r>
      <w:r>
        <w:t xml:space="preserve">, which promise lower production costs and higher stability. Chapter 1 gives a general introduction and a comprehensive, critical literature review of nanobody-based LFAs for viral diseases, including their innovations, applications and the barriers to translation; this chapter has been prepared as a review manuscript. Chapter 2 addresses respiratory viruses: an endonuclease-IV-assisted recombinase polymerase amplification (RPA) LFA for the RSV N gene (2.1), a nanobody-based LFA for the RSV prefusion F protein (2.2), and nanobody LFAs for SARS-CoV-2 and MERS-CoV spike proteins in single and multiplex formats (2.3, published in </w:t>
      </w:r>
      <w:r>
        <w:rPr>
          <w:i/>
          <w:iCs/>
        </w:rPr>
        <w:t xml:space="preserve">ACS Synthetic Biology</w:t>
      </w:r>
      <w:r>
        <w:t xml:space="preserve">, 2025). Chapter 3 extends the platform to flaviviruses: a modular SpyTag/SpyCatcher–biotin–streptavidin gold nanoparticle (AuNP) LFA for dengue virus NS1 of all four serotypes (3.1, manuscript in preparation) and a nanobody LFA for Zika virus NS1 (3.2, published in </w:t>
      </w:r>
      <w:r>
        <w:rPr>
          <w:i/>
          <w:iCs/>
        </w:rPr>
        <w:t xml:space="preserve">ACS Synthetic Biology</w:t>
      </w:r>
      <w:r>
        <w:t xml:space="preserve">, 2025, shared first authorship). Chapter 4 provides a concise summary.</w:t>
      </w:r>
    </w:p>
    <w:p>
      <w:pPr>
        <w:pStyle w:val="Heading1"/>
        <w:spacing w:after="80" w:before="200"/>
      </w:pPr>
      <w:r>
        <w:t xml:space="preserve">2. Scientific significance and originality</w:t>
      </w:r>
    </w:p>
    <w:p>
      <w:pPr>
        <w:spacing w:after="100"/>
        <w:jc w:val="both"/>
      </w:pPr>
      <w:r>
        <w:t xml:space="preserve">The work is coherent and topical. A consistent experimental pipeline (recombinant expression with different affinity tags, biophysical pair characterisation by ELISA, MST or BLI, AuNP conjugation, strip fabrication, matrix and stability testing) is applied to five viral targets, which gives the thesis a clear internal logic.</w:t>
      </w:r>
    </w:p>
    <w:p>
      <w:pPr>
        <w:spacing w:after="100"/>
        <w:jc w:val="both"/>
      </w:pPr>
      <w:r>
        <w:t xml:space="preserve">The most valuable original contribution lies in the systematic treatment of nanobody–AuNP conjugation. The candidate documents repeatedly that direct EDC/NHS coupling of nanobodies to carboxyl-AuNPs is unreliable (aggregation, false-positive test lines, weak control lines) and establishes oriented, site-specific attachment as a remedy, via AviTag/BirA biotinylation (RSV) and SpyTag/SpyCatcher-mediated biotinylation (dengue) followed by capture on streptavidin-AuNPs. The biotin-4-fluorescein experiment showing that covalent immobilisation of streptavidin on carboxyl-AuNPs compromises its biotin-binding capacity is a small but genuinely useful mechanistic finding. The Zika assay (limit of detection 1 ng/mL in urine, no cross-reactivity with NS1 of the four dengue serotypes) is the strongest result and is competitive with published antibody-based tests. Two first-author peer-reviewed publications, one review manuscript, one further manuscript in preparation and two co-authored protocol papers document a productivity that is appropriate for a PhD.</w:t>
      </w:r>
    </w:p>
    <w:p>
      <w:pPr>
        <w:spacing w:after="100"/>
        <w:jc w:val="both"/>
      </w:pPr>
      <w:r>
        <w:t xml:space="preserve">The originality is, however, limited in two respects. First, all nanobodies were taken from the literature; the thesis contains no nanobody discovery, affinity maturation or format engineering, although the candidate herself identifies affinity and avidity as the main bottleneck (monomeric vs. trimeric ALX-0171 for RSV; the weak DD7–DENV1 interaction). The work is therefore best characterised as careful, application-driven assay engineering rather than conceptually new science. Second, Chapter 2.1 is a preliminary feasibility study (plasmid DNA only, no reverse transcription, nonspecific amplification in all no-template controls, a detection limit of roughly 8 × 10³ copies that is two to three orders of magnitude above published RPA-LFAs) and adds little to the thesis as a whole.</w:t>
      </w:r>
    </w:p>
    <w:p>
      <w:pPr>
        <w:pStyle w:val="Heading1"/>
        <w:spacing w:after="80" w:before="200"/>
      </w:pPr>
      <w:r>
        <w:t xml:space="preserve">3. Methodology and scientific rigour</w:t>
      </w:r>
    </w:p>
    <w:p>
      <w:pPr>
        <w:spacing w:after="100"/>
        <w:jc w:val="both"/>
      </w:pPr>
      <w:r>
        <w:t xml:space="preserve">The experimental work is technically sound and the methods are described in sufficient detail to be reproducible. Protein production is well documented (SDS-PAGE, western blot, LC-MS/MS peptide identification), and binding data are obtained with appropriate methods. The candidate reports negative results and limitations candidly throughout, which I consider a strength of the thesis. Four points nevertheless deserve attention.</w:t>
      </w:r>
    </w:p>
    <w:p>
      <w:pPr>
        <w:spacing w:after="100"/>
        <w:jc w:val="both"/>
      </w:pPr>
      <w:r>
        <w:rPr>
          <w:b/>
          <w:bCs/>
        </w:rPr>
        <w:t xml:space="preserve">(a) Analytical performance.</w:t>
      </w:r>
      <w:r>
        <w:t xml:space="preserve"> With the exception of the Zika assay, the achieved detection limits are modest: 100 ng/mL for RSV pre-F, compared with about 5 ng/mL for the commercial test benchmarked in the same chapter; 1.75–3.3 nM (roughly 250 ng/mL) for the SARS-CoV-2 and MERS-CoV spike proteins; and, for dengue NS1 in serum, effective detection limits of 200 ng/mL to 1 µg/mL after the required 20-fold dilution. The SARS-CoV-2 assay did not detect the inactivated Delta variant, and the dengue strips lost sensitivity and produced a false-positive signal in diluted serum after four weeks of storage. These findings are reported honestly in the results sections. The abstract and conclusion of Chapter 2.3 ("highly sensitive", "clinically relevant diagnostic cut-off values", "long shelf life" after a four-week test) and the priority claim of the "first nanobody-based sandwich LFA readable by the naked eye" are, in my view, not fully supported by the data or by the candidate's own Table 1 in Chapter 1, which lists earlier colorimetric nanobody LFAs.</w:t>
      </w:r>
    </w:p>
    <w:p>
      <w:pPr>
        <w:spacing w:after="100"/>
        <w:jc w:val="both"/>
      </w:pPr>
      <w:r>
        <w:rPr>
          <w:b/>
          <w:bCs/>
        </w:rPr>
        <w:t xml:space="preserve">(b) Replication and statistics.</w:t>
      </w:r>
      <w:r>
        <w:t xml:space="preserve"> Detection limits are defined throughout by naked-eye inspection of what appear to be single strips per concentration. The number of independent strips, strip batches and readers is not stated (except "duplicate" in Chapter 3.1), and no densitometric quantification is provided. Since Chapter 1 explicitly calls for standardised and statistically defined LOD determination, the experimental chapters fall short of the standard the candidate herself proposes. The uncertainties given in Table 8 (e.g. ± 0.001 nM) are evidently fitting errors of single titrations and should be labelled as such.</w:t>
      </w:r>
    </w:p>
    <w:p>
      <w:pPr>
        <w:spacing w:after="100"/>
        <w:jc w:val="both"/>
      </w:pPr>
      <w:r>
        <w:rPr>
          <w:b/>
          <w:bCs/>
        </w:rPr>
        <w:t xml:space="preserve">(c) Validation.</w:t>
      </w:r>
      <w:r>
        <w:t xml:space="preserve"> No clinical specimens were tested. Matrices were simulated saliva and nasopharyngeal fluid, self-collected saliva, commercial human serum and bovine urine; inactivated virus was used only in Chapter 2.3. Specificity panels are narrow (the RSV assay was challenged only with SARS-CoV-2 antigens). The thesis acknowledges this, but the gap between the demonstrated performance and clinical applicability remains considerable.</w:t>
      </w:r>
    </w:p>
    <w:p>
      <w:pPr>
        <w:spacing w:after="100"/>
        <w:jc w:val="both"/>
      </w:pPr>
      <w:r>
        <w:rPr>
          <w:b/>
          <w:bCs/>
        </w:rPr>
        <w:t xml:space="preserve">(d) Division of labour.</w:t>
      </w:r>
      <w:r>
        <w:t xml:space="preserve"> In Chapter 3.2 the kinetic (BLI), mass-photometry and avidity analyses, which form the most interesting mechanistic part of that study, were carried out by collaborators; the candidate's contribution is the expression of the GST-tagged nanobodies, the LFA development and the manuscript. In Chapter 3.1, nanobody purification and BLI measurements were likewise performed by a collaborator. This is declared transparently in the authorship statement, and the LFA work is clearly the candidate's own. The committee should nevertheless satisfy itself during the defense that the candidate fully commands the collaborative parts.</w:t>
      </w:r>
    </w:p>
    <w:p>
      <w:pPr>
        <w:pStyle w:val="Heading1"/>
        <w:spacing w:after="80" w:before="200"/>
      </w:pPr>
      <w:r>
        <w:t xml:space="preserve">4. Presentation and formal aspects</w:t>
      </w:r>
    </w:p>
    <w:p>
      <w:pPr>
        <w:spacing w:after="100"/>
        <w:jc w:val="both"/>
      </w:pPr>
      <w:r>
        <w:t xml:space="preserve">The thesis is clearly structured and, on the whole, well written in fluent English; the review chapter is critical and well referenced. The manuscript would nevertheless benefit from careful editing. Chapters that originate from publications retain manuscript conventions ("we", "Figure S2.7") and differ in style from the unpublished chapters, and some passages are padding (e.g. the socio-economic paragraph on COVID-19 in Chapter 2.3). Specific errors I noted:</w:t>
      </w:r>
    </w:p>
    <w:p>
      <w:pPr>
        <w:pStyle w:val="ListParagraph"/>
        <w:numPr>
          <w:ilvl w:val="0"/>
          <w:numId w:val="2"/>
        </w:numPr>
        <w:spacing w:after="40"/>
      </w:pPr>
      <w:r>
        <w:t xml:space="preserve">p. 117: chikungunya virus is listed as a member of the </w:t>
      </w:r>
      <w:r>
        <w:rPr>
          <w:i/>
          <w:iCs/>
        </w:rPr>
        <w:t xml:space="preserve">Flaviviridae</w:t>
      </w:r>
      <w:r>
        <w:t xml:space="preserve">; it is an alphavirus (</w:t>
      </w:r>
      <w:r>
        <w:rPr>
          <w:i/>
          <w:iCs/>
        </w:rPr>
        <w:t xml:space="preserve">Togaviridae</w:t>
      </w:r>
      <w:r>
        <w:t xml:space="preserve">).</w:t>
      </w:r>
    </w:p>
    <w:p>
      <w:pPr>
        <w:pStyle w:val="ListParagraph"/>
        <w:numPr>
          <w:ilvl w:val="0"/>
          <w:numId w:val="2"/>
        </w:numPr>
        <w:spacing w:after="40"/>
      </w:pPr>
      <w:r>
        <w:t xml:space="preserve">p. 30: reference 57 is cited for the group's Zika LFA and reference 62 for chikungunya; the numbers appear to be misplaced (62 is the Zika paper, 103 the chikungunya paper).</w:t>
      </w:r>
    </w:p>
    <w:p>
      <w:pPr>
        <w:pStyle w:val="ListParagraph"/>
        <w:numPr>
          <w:ilvl w:val="0"/>
          <w:numId w:val="2"/>
        </w:numPr>
        <w:spacing w:after="40"/>
      </w:pPr>
      <w:r>
        <w:t xml:space="preserve">p. 81: "(Table 2)" should read Table 5.</w:t>
      </w:r>
    </w:p>
    <w:p>
      <w:pPr>
        <w:pStyle w:val="ListParagraph"/>
        <w:numPr>
          <w:ilvl w:val="0"/>
          <w:numId w:val="2"/>
        </w:numPr>
        <w:spacing w:after="40"/>
      </w:pPr>
      <w:r>
        <w:t xml:space="preserve">p. 109: inactivated MERS-CoV is said to have been tested on "SARS-CoV-2 LFA strips"; presumably MERS-CoV strips are meant.</w:t>
      </w:r>
    </w:p>
    <w:p>
      <w:pPr>
        <w:pStyle w:val="ListParagraph"/>
        <w:numPr>
          <w:ilvl w:val="0"/>
          <w:numId w:val="2"/>
        </w:numPr>
        <w:spacing w:after="40"/>
      </w:pPr>
      <w:r>
        <w:t xml:space="preserve">p. 126 states that all five dengue nanobodies were purified from the periplasm, whereas the methods (p. 120) state that DD5, DD6 and DD9 were expressed cytoplasmically.</w:t>
      </w:r>
    </w:p>
    <w:p>
      <w:pPr>
        <w:pStyle w:val="ListParagraph"/>
        <w:numPr>
          <w:ilvl w:val="0"/>
          <w:numId w:val="2"/>
        </w:numPr>
        <w:spacing w:after="40"/>
      </w:pPr>
      <w:r>
        <w:t xml:space="preserve">p. 131 reverses the roles of DD7 (detection) and DD9 (capture) relative to the rest of the chapter.</w:t>
      </w:r>
    </w:p>
    <w:p>
      <w:pPr>
        <w:pStyle w:val="ListParagraph"/>
        <w:numPr>
          <w:ilvl w:val="0"/>
          <w:numId w:val="2"/>
        </w:numPr>
        <w:spacing w:after="40"/>
      </w:pPr>
      <w:r>
        <w:t xml:space="preserve">Table 8 lacks units; the MERS-CoV row of Table 1 lacks a reference number; Figure 21 title "SAS-CoV-2"; "IgM/IgM" (p. 118); "purchased from either GenDx" (p. 54).</w:t>
      </w:r>
    </w:p>
    <w:p>
      <w:pPr>
        <w:pStyle w:val="ListParagraph"/>
        <w:numPr>
          <w:ilvl w:val="0"/>
          <w:numId w:val="2"/>
        </w:numPr>
        <w:spacing w:after="40"/>
      </w:pPr>
      <w:r>
        <w:t xml:space="preserve">The status of the review manuscript (p. 15: "revised for publication in ACS Sensors"; List of Publications: "in preparation") should be harmonised.</w:t>
      </w:r>
    </w:p>
    <w:p>
      <w:pPr>
        <w:pStyle w:val="Heading1"/>
        <w:spacing w:after="80" w:before="200"/>
      </w:pPr>
      <w:r>
        <w:t xml:space="preserve">5. Revisions requested before final submission</w:t>
      </w:r>
    </w:p>
    <w:p>
      <w:pPr>
        <w:pStyle w:val="ListParagraph"/>
        <w:numPr>
          <w:ilvl w:val="0"/>
          <w:numId w:val="3"/>
        </w:numPr>
        <w:spacing w:after="40"/>
      </w:pPr>
      <w:r>
        <w:t xml:space="preserve">Correct the factual and cross-referencing errors listed in Section 4 and remove residual manuscript numbering.</w:t>
      </w:r>
    </w:p>
    <w:p>
      <w:pPr>
        <w:pStyle w:val="ListParagraph"/>
        <w:numPr>
          <w:ilvl w:val="0"/>
          <w:numId w:val="3"/>
        </w:numPr>
        <w:spacing w:after="40"/>
      </w:pPr>
      <w:r>
        <w:t xml:space="preserve">Temper the claims in the abstract and conclusion of Chapter 2.3 and reconcile the "first" statements with Table 1.</w:t>
      </w:r>
    </w:p>
    <w:p>
      <w:pPr>
        <w:pStyle w:val="ListParagraph"/>
        <w:numPr>
          <w:ilvl w:val="0"/>
          <w:numId w:val="3"/>
        </w:numPr>
        <w:spacing w:after="40"/>
      </w:pPr>
      <w:r>
        <w:t xml:space="preserve">State for each LFA experiment the number of independent strips and batches and how the detection limit was defined; label fitting errors as such.</w:t>
      </w:r>
    </w:p>
    <w:p>
      <w:pPr>
        <w:pStyle w:val="ListParagraph"/>
        <w:numPr>
          <w:ilvl w:val="0"/>
          <w:numId w:val="3"/>
        </w:numPr>
        <w:spacing w:after="40"/>
      </w:pPr>
      <w:r>
        <w:t xml:space="preserve">Add a short discussion to Chapter 4 on the sensitivity gap to commercial antibody-based tests and on what would be required to close it.</w:t>
      </w:r>
    </w:p>
    <w:p>
      <w:pPr>
        <w:pStyle w:val="Heading1"/>
        <w:spacing w:after="80" w:before="200"/>
      </w:pPr>
      <w:r>
        <w:t xml:space="preserve">6. Suggested questions for the oral defense</w:t>
      </w:r>
    </w:p>
    <w:p>
      <w:pPr>
        <w:pStyle w:val="ListParagraph"/>
        <w:numPr>
          <w:ilvl w:val="0"/>
          <w:numId w:val="2"/>
        </w:numPr>
        <w:spacing w:after="40"/>
      </w:pPr>
      <w:r>
        <w:t xml:space="preserve">Affinity was identified as the limiting factor for the RSV and dengue assays. Why was trimeric ALX-0171 or an alternative higher-affinity format not tested?</w:t>
      </w:r>
    </w:p>
    <w:p>
      <w:pPr>
        <w:pStyle w:val="ListParagraph"/>
        <w:numPr>
          <w:ilvl w:val="0"/>
          <w:numId w:val="2"/>
        </w:numPr>
        <w:spacing w:after="40"/>
      </w:pPr>
      <w:r>
        <w:t xml:space="preserve">How should a detection limit be defined statistically for a naked-eye LFA, and how many replicates would be required?</w:t>
      </w:r>
    </w:p>
    <w:p>
      <w:pPr>
        <w:pStyle w:val="ListParagraph"/>
        <w:numPr>
          <w:ilvl w:val="0"/>
          <w:numId w:val="2"/>
        </w:numPr>
        <w:spacing w:after="40"/>
      </w:pPr>
      <w:r>
        <w:t xml:space="preserve">In the dengue assay the control-line intensity depends on the presence of antigen. What does this imply for the use of the control line as a validity indicator?</w:t>
      </w:r>
    </w:p>
    <w:p>
      <w:pPr>
        <w:pStyle w:val="ListParagraph"/>
        <w:numPr>
          <w:ilvl w:val="0"/>
          <w:numId w:val="2"/>
        </w:numPr>
        <w:spacing w:after="40"/>
      </w:pPr>
      <w:r>
        <w:t xml:space="preserve">Why did the SARS-CoV-2 assay fail on the Delta variant, and can the epitopes of NM1226 and NM1230 explain this?</w:t>
      </w:r>
    </w:p>
    <w:p>
      <w:pPr>
        <w:pStyle w:val="ListParagraph"/>
        <w:numPr>
          <w:ilvl w:val="0"/>
          <w:numId w:val="2"/>
        </w:numPr>
        <w:spacing w:after="40"/>
      </w:pPr>
      <w:r>
        <w:t xml:space="preserve">Which of the three conjugation strategies would the candidate select for a manufacturable product, and why?</w:t>
      </w:r>
    </w:p>
    <w:p>
      <w:pPr>
        <w:pStyle w:val="Heading1"/>
        <w:spacing w:after="80" w:before="200"/>
      </w:pPr>
      <w:r>
        <w:t xml:space="preserve">7. Overall assessment and recommendation</w:t>
      </w:r>
    </w:p>
    <w:p>
      <w:pPr>
        <w:spacing w:after="100"/>
        <w:jc w:val="both"/>
      </w:pPr>
      <w:r>
        <w:t xml:space="preserve">This is a solid, coherent and honestly reported piece of applied research. It demonstrates the candidate's competence in recombinant protein production, biophysical characterisation and immunoassay development, and it has led to two peer-reviewed first-author publications in a respected journal. Its conceptual novelty is moderate, and the analytical performance of most of the assays developed remains below what would be required for clinical use, which the candidate acknowledges. Taken together, the dissertation meets the requirements for the degree of Doctor of Philosophy.</w:t>
      </w:r>
    </w:p>
    <w:p>
      <w:pPr>
        <w:spacing w:after="100"/>
        <w:jc w:val="both"/>
      </w:pPr>
      <w:r>
        <w:t xml:space="preserve">I recommend that the dissertation be accepted subject to the minor revisions listed in Section 5, and that the candidate be admitted to the oral defense.</w:t>
      </w:r>
    </w:p>
    <w:p>
      <w:pPr>
        <w:spacing w:before="400"/>
      </w:pPr>
      <w:r>
        <w:t xml:space="preserve">[Signature]</w:t>
      </w:r>
    </w:p>
    <w:sectPr>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sz w:val="30"/>
      <w:szCs w:val="30"/>
    </w:rPr>
  </w:style>
  <w:style w:type="paragraph" w:styleId="Heading1">
    <w:name w:val="Heading 1"/>
    <w:basedOn w:val="Normal"/>
    <w:next w:val="Normal"/>
    <w:qFormat/>
    <w:pPr>
      <w:spacing w:after="80" w:before="200"/>
      <w:outlineLvl w:val="0"/>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2026-09-28T07:11:35.245Z</dcterms:created>
  <dcterms:modified xsi:type="dcterms:W3CDTF">2026-09-28T07:11:35.245Z</dcterms:modified>
</cp:coreProperties>
</file>

<file path=docProps/custom.xml><?xml version="1.0" encoding="utf-8"?>
<Properties xmlns="http://schemas.openxmlformats.org/officeDocument/2006/custom-properties" xmlns:vt="http://schemas.openxmlformats.org/officeDocument/2006/docPropsVTypes"/>
</file>