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t xml:space="preserve">Evaluation of the Dissertation</w:t>
      </w:r>
    </w:p>
    <w:p>
      <w:pPr>
        <w:spacing w:after="60"/>
      </w:pPr>
      <w:r>
        <w:rPr>
          <w:b/>
          <w:bCs/>
        </w:rPr>
        <w:t xml:space="preserve">“Development of Rapid Point-of-Care Diagnostics for Viral Infectious Diseases using Lateral Flow Platforms”</w:t>
      </w:r>
    </w:p>
    <w:p>
      <w:pPr>
        <w:spacing w:after="60"/>
      </w:pPr>
      <w:r>
        <w:t xml:space="preserve">Submitted by Ms. Yuli Peng, M.Sc.</w:t>
      </w:r>
    </w:p>
    <w:p>
      <w:pPr>
        <w:spacing w:after="60"/>
      </w:pPr>
      <w:r>
        <w:t xml:space="preserve">King Abdullah University of Science and Technology (KAUST), Thuwal, Saudi Arabia</w:t>
      </w:r>
    </w:p>
    <w:p>
      <w:pPr>
        <w:spacing w:after="60"/>
      </w:pPr>
      <w:r>
        <w:t xml:space="preserve">Hamburg, [date]</w:t>
      </w:r>
    </w:p>
    <w:p>
      <w:pPr>
        <w:spacing w:after="240"/>
      </w:pPr>
    </w:p>
    <w:p>
      <w:pPr>
        <w:spacing w:after="160"/>
        <w:jc w:val="both"/>
      </w:pPr>
      <w:r>
        <w:t xml:space="preserve">The doctoral thesis submitted by Yuli Peng investigates lateral flow assays (LFAs) for the rapid point-of-care detection of viral pathogens. LFAs, familiar from pregnancy and COVID-19 self-tests, are the most widely used rapid diagnostic format because they are cheap, instrument-free and can be read by eye. Conventional LFAs rely on full-length monoclonal antibodies, which have to be produced in mammalian cell culture and represent a major cost factor. The central idea of the thesis is to replace these antibodies by nanobodies, i.e., the isolated variable domains of camelid heavy-chain-only antibodies, which are only about 15 kDa in size, very stable, and can be produced recombinantly in </w:t>
      </w:r>
      <w:r>
        <w:rPr>
          <w:i/>
          <w:iCs/>
        </w:rPr>
        <w:t xml:space="preserve">E. coli</w:t>
      </w:r>
      <w:r>
        <w:t xml:space="preserve">. The research was conducted in the group of Prof. Magnus Rueping at the KAUST Catalysis Center under the day-to-day supervision of Dr. Dominik Renn, in part in collaboration with the groups of Prof. Stefan Arold and Dr. Raik Grünberg at KAUST.</w:t>
      </w:r>
    </w:p>
    <w:p>
      <w:pPr>
        <w:spacing w:after="160"/>
        <w:jc w:val="both"/>
      </w:pPr>
      <w:r>
        <w:t xml:space="preserve">The thesis is clearly structured. It opens with a general introduction to lateral flow technology and a comprehensive, critical review of nanobody-based LFAs for viral diseases, which compiles all reports since 2014, relates the reported detection limits to the conditions under which they were obtained, and discusses the remaining barriers to translation, i.e., nanobody discovery and pairing, scalable production, conjugation, real-sample validation and regulation. This review is well written, shows a good command of the field and has been prepared as a review manuscript. The experimental work is then presented in three parts:</w:t>
      </w:r>
    </w:p>
    <w:p>
      <w:pPr>
        <w:spacing w:after="160"/>
        <w:jc w:val="both"/>
      </w:pPr>
      <w:r>
        <w:t xml:space="preserve">(1) Respiratory viruses: Yuli Peng first establishes a recombinase polymerase amplification (RPA) assay for the nucleoprotein gene of respiratory syncytial virus (RSV) with lateral flow readout and demonstrates template-dependent detection of about 8 × 10³ plasmid copies. She then develops a nanobody-based LFA for the RSV prefusion F protein starting from four published nanobodies. The sandwich pair identified by ELISA initially failed in the LFA format, because direct conjugation of the nanobodies to gold nanoparticles (AuNPs) led to aggregation and false-positive signals. Site-specific biotinylation via an AviTag and attachment to streptavidin-AuNPs solved this problem and gave a detection limit of 100 ng/mL in buffer, simulated saliva and artificial nasopharyngeal fluid. The third study of this part, published in </w:t>
      </w:r>
      <w:r>
        <w:rPr>
          <w:i/>
          <w:iCs/>
        </w:rPr>
        <w:t xml:space="preserve">ACS Synthetic Biology</w:t>
      </w:r>
      <w:r>
        <w:t xml:space="preserve">, presents nanobody LFAs for the SARS-CoV-2 and MERS-CoV spike proteins in single and multiplexed format, including binding characterisation by microscale thermophoresis, optimisation of blocking and running buffers, detection of inactivated virus in spiked saliva, and a four-week stability study.</w:t>
      </w:r>
    </w:p>
    <w:p>
      <w:pPr>
        <w:spacing w:after="160"/>
        <w:jc w:val="both"/>
      </w:pPr>
      <w:r>
        <w:t xml:space="preserve">(2) Vector-borne viruses: The second part extends the platform to flaviviruses. For dengue virus NS1, Yuli Peng introduces a modular assembly strategy in which SpyCatcher-fused nanobodies are biotinylated with a SpyTag-biotin peptide and captured on streptavidin-AuNPs. Using a biotin-4-fluorescein assay she shows that covalent coupling of streptavidin to carboxyl-AuNPs compromises its biotin-binding sites, an observation of practical value beyond this thesis. The resulting LFA detects NS1 of all four dengue serotypes in buffer, urine and diluted serum without cross-reactivity to Zika NS1. For Zika virus NS1 (published in </w:t>
      </w:r>
      <w:r>
        <w:rPr>
          <w:i/>
          <w:iCs/>
        </w:rPr>
        <w:t xml:space="preserve">ACS Synthetic Biology</w:t>
      </w:r>
      <w:r>
        <w:t xml:space="preserve">, shared first authorship with Atheer Alqatari) she compares cytoplasmic and periplasmic expression and different affinity tags and builds an LFA that detects NS1 down to 25 ng/mL in buffer, 20 ng/mL in serum and 1 ng/mL in urine, which is competitive with antibody-based tests. The accompanying biolayer interferometry and mass photometry analysis, contributed by the collaborators, shows how the oligomerisation of NS1 enhances its capture through avidity.</w:t>
      </w:r>
    </w:p>
    <w:p>
      <w:pPr>
        <w:spacing w:after="160"/>
        <w:jc w:val="both"/>
      </w:pPr>
      <w:r>
        <w:t xml:space="preserve">(3) The thesis closes with a summary that draws the common lesson of all studies: nanobody affinity, conjugation chemistry and nanobody orientation are the decisive parameters, and a conjugation strategy that works for one nanobody cannot be transferred blindly to another.</w:t>
      </w:r>
    </w:p>
    <w:p>
      <w:pPr>
        <w:spacing w:after="160"/>
        <w:jc w:val="both"/>
      </w:pPr>
      <w:r>
        <w:t xml:space="preserve">The results of Ms. Peng led to the following peer-reviewed publications:</w:t>
      </w:r>
    </w:p>
    <w:p>
      <w:pPr>
        <w:pStyle w:val="ListParagraph"/>
        <w:numPr>
          <w:ilvl w:val="0"/>
          <w:numId w:val="2"/>
        </w:numPr>
        <w:spacing w:after="40"/>
      </w:pPr>
      <w:r>
        <w:t xml:space="preserve">ACS Synth. Biol. 2025, 14, 420–430 (full paper, first author) – SARS-CoV-2 and MERS-CoV LFA</w:t>
      </w:r>
    </w:p>
    <w:p>
      <w:pPr>
        <w:pStyle w:val="ListParagraph"/>
        <w:numPr>
          <w:ilvl w:val="0"/>
          <w:numId w:val="2"/>
        </w:numPr>
        <w:spacing w:after="40"/>
      </w:pPr>
      <w:r>
        <w:t xml:space="preserve">ACS Synth. Biol. 2025, 14, 890–900 (full paper, first author, shared) – Zika virus LFA</w:t>
      </w:r>
    </w:p>
    <w:p>
      <w:pPr>
        <w:spacing w:after="160"/>
        <w:jc w:val="both"/>
      </w:pPr>
      <w:r>
        <w:t xml:space="preserve">In addition, she is co-author of two methods articles in </w:t>
      </w:r>
      <w:r>
        <w:rPr>
          <w:i/>
          <w:iCs/>
        </w:rPr>
        <w:t xml:space="preserve">Current Protocols</w:t>
      </w:r>
      <w:r>
        <w:t xml:space="preserve"> (2025). A review on nanobody-based LFAs with Ms. Peng as first author has been prepared for submission, and two further manuscripts, on the dengue LFA (shared first author) and on an LFA protocol (first author), are in preparation.</w:t>
      </w:r>
    </w:p>
    <w:p>
      <w:pPr>
        <w:spacing w:after="160"/>
        <w:jc w:val="both"/>
      </w:pPr>
      <w:r>
        <w:t xml:space="preserve">Overall, the thesis represents a coherent and carefully executed body of applied research. Its strength lies less in conceptual novelty, since all nanobodies were taken from the literature, than in systematic assay engineering: Yuli Peng repeatedly diagnoses why a binder pair that works in ELISA fails on a strip and solves the problem through oriented, site-specific conjugation. She presents unsuccessful attempts as openly as successful ones, which makes the thesis a useful guide for anyone entering this field. It should be noted that, with the exception of the Zika assay, the detection limits achieved remain above those of commercial antibody-based tests, that all assays were validated with spiked matrices and inactivated virus rather than with clinical specimens, and that detection limits were determined by eye on single strips without statistical treatment. The candidate is aware of these limitations and discusses them appropriately in the respective chapters; the abstract of the coronavirus chapter is, however, somewhat more optimistic than the data. The manuscript also contains a number of typographical and cross-referencing errors and one factual error (chikungunya virus is assigned to the </w:t>
      </w:r>
      <w:r>
        <w:rPr>
          <w:i/>
          <w:iCs/>
        </w:rPr>
        <w:t xml:space="preserve">Flaviviridae</w:t>
      </w:r>
      <w:r>
        <w:t xml:space="preserve">), which should be corrected before final submission; a list is attached.</w:t>
      </w:r>
    </w:p>
    <w:p>
      <w:pPr>
        <w:spacing w:after="160"/>
        <w:jc w:val="both"/>
      </w:pPr>
      <w:r>
        <w:t xml:space="preserve">According to the authorship statement and to the information I received from the supervisory team, Ms. Peng carried out the development of the LFAs, from nanobody expression through conjugation to strip fabrication and validation, independently, while the conception of the individual projects was developed in close exchange with her supervisors, and the binding and mass photometry studies of the flavivirus projects were contributed by collaborators. Beyond her own projects she contributed protein expression and purification to two methods papers of the group and is first author of an LFA protocol manuscript with eight co-authors, which suggests that she established the lateral flow workflow in the laboratory and passed it on to others.</w:t>
      </w:r>
    </w:p>
    <w:p>
      <w:pPr>
        <w:spacing w:after="160"/>
        <w:jc w:val="both"/>
      </w:pPr>
      <w:r>
        <w:t xml:space="preserve">I was asked by KAUST to evaluate this thesis as an external examiner. Based on the data displayed in her publications and in the thesis, I have no reason to suspect an infringement of the rules of good scientific practice, scientific misconduct or any other violations at the present moment.</w:t>
      </w:r>
    </w:p>
    <w:p>
      <w:pPr>
        <w:spacing w:after="160"/>
        <w:jc w:val="both"/>
      </w:pPr>
      <w:r>
        <w:t xml:space="preserve">In summary, I recommend to the committee the acceptance of the PhD thesis of Ms. Yuli Peng and I grade it with</w:t>
      </w:r>
    </w:p>
    <w:p>
      <w:pPr>
        <w:spacing w:after="120" w:before="120"/>
      </w:pPr>
      <w:r>
        <w:rPr>
          <w:b/>
          <w:bCs/>
        </w:rPr>
        <w:t xml:space="preserve">“A-”</w:t>
      </w:r>
    </w:p>
    <w:p>
      <w:pPr>
        <w:spacing w:after="120" w:before="120"/>
      </w:pPr>
      <w:r>
        <w:t xml:space="preserve">Kind regards,</w:t>
      </w:r>
    </w:p>
    <w:p>
      <w:pPr>
        <w:spacing w:after="120" w:before="600"/>
      </w:pPr>
      <w:r>
        <w:t xml:space="preserve">Prof. Dr. Franziska Lissel</w:t>
      </w:r>
    </w:p>
    <w:p>
      <w:r>
        <w:br w:type="page"/>
      </w:r>
    </w:p>
    <w:p>
      <w:pPr>
        <w:spacing w:after="120"/>
      </w:pPr>
      <w:r>
        <w:rPr>
          <w:b/>
          <w:bCs/>
        </w:rPr>
        <w:t xml:space="preserve">Attachment: corrections to be made before final submission</w:t>
      </w:r>
    </w:p>
    <w:p>
      <w:pPr>
        <w:pStyle w:val="ListParagraph"/>
        <w:numPr>
          <w:ilvl w:val="0"/>
          <w:numId w:val="3"/>
        </w:numPr>
        <w:spacing w:after="40"/>
      </w:pPr>
      <w:r>
        <w:t xml:space="preserve">p. 15 vs. List of Publications: status of the review manuscript ("revised for publication in ACS Sensors" vs. "in preparation") should be harmonised.</w:t>
      </w:r>
    </w:p>
    <w:p>
      <w:pPr>
        <w:pStyle w:val="ListParagraph"/>
        <w:numPr>
          <w:ilvl w:val="0"/>
          <w:numId w:val="3"/>
        </w:numPr>
        <w:spacing w:after="40"/>
      </w:pPr>
      <w:r>
        <w:t xml:space="preserve">p. 30: reference 57 is cited for the group's Zika LFA and reference 62 for chikungunya; the numbers appear misplaced (62 is the Zika paper, 103 the chikungunya paper). The MERS-CoV row of Table 1 lacks a reference number.</w:t>
      </w:r>
    </w:p>
    <w:p>
      <w:pPr>
        <w:pStyle w:val="ListParagraph"/>
        <w:numPr>
          <w:ilvl w:val="0"/>
          <w:numId w:val="3"/>
        </w:numPr>
        <w:spacing w:after="40"/>
      </w:pPr>
      <w:r>
        <w:t xml:space="preserve">p. 54: "purchased from either GenDx" (incomplete sentence).</w:t>
      </w:r>
    </w:p>
    <w:p>
      <w:pPr>
        <w:pStyle w:val="ListParagraph"/>
        <w:numPr>
          <w:ilvl w:val="0"/>
          <w:numId w:val="3"/>
        </w:numPr>
        <w:spacing w:after="40"/>
      </w:pPr>
      <w:r>
        <w:t xml:space="preserve">p. 81: "(Table 2)" should read Table 5.</w:t>
      </w:r>
    </w:p>
    <w:p>
      <w:pPr>
        <w:pStyle w:val="ListParagraph"/>
        <w:numPr>
          <w:ilvl w:val="0"/>
          <w:numId w:val="3"/>
        </w:numPr>
        <w:spacing w:after="40"/>
      </w:pPr>
      <w:r>
        <w:t xml:space="preserve">p. 108: Figure 21 title "SAS-CoV-2".</w:t>
      </w:r>
    </w:p>
    <w:p>
      <w:pPr>
        <w:pStyle w:val="ListParagraph"/>
        <w:numPr>
          <w:ilvl w:val="0"/>
          <w:numId w:val="3"/>
        </w:numPr>
        <w:spacing w:after="40"/>
      </w:pPr>
      <w:r>
        <w:t xml:space="preserve">p. 109: inactivated MERS-CoV is said to have been tested on "SARS-CoV-2 LFA strips"; presumably MERS-CoV strips are meant.</w:t>
      </w:r>
    </w:p>
    <w:p>
      <w:pPr>
        <w:pStyle w:val="ListParagraph"/>
        <w:numPr>
          <w:ilvl w:val="0"/>
          <w:numId w:val="3"/>
        </w:numPr>
        <w:spacing w:after="40"/>
      </w:pPr>
      <w:r>
        <w:t xml:space="preserve">p. 117: chikungunya virus is not a flavivirus but an alphavirus (</w:t>
      </w:r>
      <w:r>
        <w:rPr>
          <w:i/>
          <w:iCs/>
        </w:rPr>
        <w:t xml:space="preserve">Togaviridae</w:t>
      </w:r>
      <w:r>
        <w:t xml:space="preserve">).</w:t>
      </w:r>
    </w:p>
    <w:p>
      <w:pPr>
        <w:pStyle w:val="ListParagraph"/>
        <w:numPr>
          <w:ilvl w:val="0"/>
          <w:numId w:val="3"/>
        </w:numPr>
        <w:spacing w:after="40"/>
      </w:pPr>
      <w:r>
        <w:t xml:space="preserve">p. 118: "IgM/IgM" should read IgM/IgG.</w:t>
      </w:r>
    </w:p>
    <w:p>
      <w:pPr>
        <w:pStyle w:val="ListParagraph"/>
        <w:numPr>
          <w:ilvl w:val="0"/>
          <w:numId w:val="3"/>
        </w:numPr>
        <w:spacing w:after="40"/>
      </w:pPr>
      <w:r>
        <w:t xml:space="preserve">p. 126 states that all five dengue nanobodies were purified from the periplasm, whereas the methods (p. 120) state that DD5, DD6 and DD9 were expressed cytoplasmically.</w:t>
      </w:r>
    </w:p>
    <w:p>
      <w:pPr>
        <w:pStyle w:val="ListParagraph"/>
        <w:numPr>
          <w:ilvl w:val="0"/>
          <w:numId w:val="3"/>
        </w:numPr>
        <w:spacing w:after="40"/>
      </w:pPr>
      <w:r>
        <w:t xml:space="preserve">p. 127, Table 8: units (nM) are missing; the uncertainties are fitting errors and should be labelled as such.</w:t>
      </w:r>
    </w:p>
    <w:p>
      <w:pPr>
        <w:pStyle w:val="ListParagraph"/>
        <w:numPr>
          <w:ilvl w:val="0"/>
          <w:numId w:val="3"/>
        </w:numPr>
        <w:spacing w:after="40"/>
      </w:pPr>
      <w:r>
        <w:t xml:space="preserve">p. 131 reverses the roles of DD7 (detection) and DD9 (capture) relative to the rest of the chapter.</w:t>
      </w:r>
    </w:p>
    <w:p>
      <w:pPr>
        <w:pStyle w:val="ListParagraph"/>
        <w:numPr>
          <w:ilvl w:val="0"/>
          <w:numId w:val="3"/>
        </w:numPr>
        <w:spacing w:after="40"/>
      </w:pPr>
      <w:r>
        <w:t xml:space="preserve">p. 216, Appendix Discussion 2: residual manuscript figure numbering ("Figure S2.7, Figure 2.6").</w:t>
      </w:r>
    </w:p>
    <w:p>
      <w:pPr>
        <w:pStyle w:val="ListParagraph"/>
        <w:numPr>
          <w:ilvl w:val="0"/>
          <w:numId w:val="3"/>
        </w:numPr>
        <w:spacing w:after="40"/>
      </w:pPr>
      <w:r>
        <w:t xml:space="preserve">Chapter 2.3: the claim of the "first nanobody-based sandwich LFA readable by the naked eye" should be reconciled with the earlier colorimetric nanobody LFAs listed in Table 1.</w:t>
      </w:r>
    </w:p>
    <w:sectPr>
      <w:pgSz w:w="11906" w:h="16838" w:orient="portrait"/>
      <w:pgMar w:top="1418" w:right="1418" w:bottom="1418"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abstractNum w:abstractNumId="3"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2026-09-28T14:41:34.943Z</dcterms:created>
  <dcterms:modified xsi:type="dcterms:W3CDTF">2026-09-28T14:41:34.954Z</dcterms:modified>
</cp:coreProperties>
</file>

<file path=docProps/custom.xml><?xml version="1.0" encoding="utf-8"?>
<Properties xmlns="http://schemas.openxmlformats.org/officeDocument/2006/custom-properties" xmlns:vt="http://schemas.openxmlformats.org/officeDocument/2006/docPropsVTypes"/>
</file>