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pPr>
      <w:r>
        <w:rPr>
          <w:b/>
          <w:color w:val="B88B35"/>
          <w:sz w:val="22"/>
        </w:rPr>
        <w:t>EVALUACIÓN TÉCNICA</w:t>
      </w:r>
    </w:p>
    <w:p>
      <w:pPr>
        <w:pStyle w:val="Title"/>
      </w:pPr>
      <w:r>
        <w:t>VisualEstruct</w:t>
      </w:r>
    </w:p>
    <w:p>
      <w:pPr>
        <w:pStyle w:val="Subtitle"/>
      </w:pPr>
      <w:r>
        <w:t>Diseño, arquitectura, utilidad e implementación de un visualizador didáctico de estructuras de datos en C</w:t>
      </w:r>
    </w:p>
    <w:p>
      <w:pPr>
        <w:spacing w:after="44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AF1F4"/>
          </w:tcPr>
          <w:p>
            <w:pPr>
              <w:spacing w:after="0"/>
            </w:pPr>
            <w:r>
              <w:rPr>
                <w:b/>
                <w:color w:val="2B637B"/>
              </w:rPr>
              <w:t xml:space="preserve">DICTAMEN  </w:t>
            </w:r>
            <w:r>
              <w:t>Base funcional y didáctica sólida, con arquitectura por capas reconocible y buena disciplina de pruebas. Su principal deuda es la concentración de lógica de interpretación en componentes monolíticos y una validación incompleta de la equivalencia C↔Python.</w:t>
            </w:r>
          </w:p>
        </w:tc>
      </w:tr>
    </w:tbl>
    <w:p>
      <w:pPr>
        <w:spacing w:after="0"/>
      </w:pPr>
    </w:p>
    <w:tbl>
      <w:tblPr>
        <w:tblStyle w:val="TableGrid"/>
        <w:tblW w:type="dxa" w:w="9360"/>
        <w:tblLayout w:type="fixed"/>
        <w:tblLook w:firstColumn="1" w:firstRow="1" w:lastColumn="0" w:lastRow="0" w:noHBand="0" w:noVBand="1" w:val="04A0"/>
        <w:tblInd w:w="120" w:type="dxa"/>
      </w:tblPr>
      <w:tblGrid>
        <w:gridCol w:w="3000"/>
        <w:gridCol w:w="4560"/>
        <w:gridCol w:w="1800"/>
      </w:tblGrid>
      <w:tr>
        <w:tc>
          <w:tcPr>
            <w:tcW w:type="dxa" w:w="3000"/>
            <w:shd w:fill="203748"/>
            <w:tcMar>
              <w:top w:w="100" w:type="dxa"/>
              <w:start w:w="120" w:type="dxa"/>
              <w:bottom w:w="100" w:type="dxa"/>
              <w:end w:w="120" w:type="dxa"/>
            </w:tcMar>
            <w:vAlign w:val="center"/>
          </w:tcPr>
          <w:p>
            <w:pPr>
              <w:spacing w:after="0" w:line="259" w:lineRule="auto"/>
            </w:pPr>
            <w:r/>
            <w:r>
              <w:rPr>
                <w:rFonts w:ascii="Aptos" w:hAnsi="Aptos"/>
                <w:b/>
                <w:color w:val="FFFFFF"/>
                <w:sz w:val="17"/>
              </w:rPr>
              <w:t>Alcance</w:t>
            </w:r>
          </w:p>
        </w:tc>
        <w:tc>
          <w:tcPr>
            <w:tcW w:type="dxa" w:w="4560"/>
            <w:shd w:fill="203748"/>
            <w:tcMar>
              <w:top w:w="100" w:type="dxa"/>
              <w:start w:w="120" w:type="dxa"/>
              <w:bottom w:w="100" w:type="dxa"/>
              <w:end w:w="120" w:type="dxa"/>
            </w:tcMar>
            <w:vAlign w:val="center"/>
          </w:tcPr>
          <w:p>
            <w:pPr>
              <w:spacing w:after="0" w:line="259" w:lineRule="auto"/>
            </w:pPr>
            <w:r/>
            <w:r>
              <w:rPr>
                <w:rFonts w:ascii="Aptos" w:hAnsi="Aptos"/>
                <w:b/>
                <w:color w:val="FFFFFF"/>
                <w:sz w:val="17"/>
              </w:rPr>
              <w:t>Evidencia</w:t>
            </w:r>
          </w:p>
        </w:tc>
        <w:tc>
          <w:tcPr>
            <w:tcW w:type="dxa" w:w="1800"/>
            <w:shd w:fill="203748"/>
            <w:tcMar>
              <w:top w:w="100" w:type="dxa"/>
              <w:start w:w="120" w:type="dxa"/>
              <w:bottom w:w="100" w:type="dxa"/>
              <w:end w:w="120" w:type="dxa"/>
            </w:tcMar>
            <w:vAlign w:val="center"/>
          </w:tcPr>
          <w:p>
            <w:pPr>
              <w:spacing w:after="0" w:line="259" w:lineRule="auto"/>
            </w:pPr>
            <w:r/>
            <w:r>
              <w:rPr>
                <w:rFonts w:ascii="Aptos" w:hAnsi="Aptos"/>
                <w:b/>
                <w:color w:val="FFFFFF"/>
                <w:sz w:val="17"/>
              </w:rPr>
              <w:t>Fecha</w:t>
            </w:r>
          </w:p>
        </w:tc>
      </w:tr>
      <w:tr>
        <w:tc>
          <w:tcPr>
            <w:tcW w:type="dxa" w:w="3000"/>
            <w:tcMar>
              <w:top w:w="100" w:type="dxa"/>
              <w:start w:w="120" w:type="dxa"/>
              <w:bottom w:w="100" w:type="dxa"/>
              <w:end w:w="120" w:type="dxa"/>
            </w:tcMar>
            <w:vAlign w:val="center"/>
          </w:tcPr>
          <w:p>
            <w:pPr>
              <w:spacing w:after="0" w:line="259" w:lineRule="auto"/>
            </w:pPr>
            <w:r/>
            <w:r>
              <w:rPr>
                <w:rFonts w:ascii="Aptos" w:hAnsi="Aptos"/>
                <w:b w:val="0"/>
                <w:color w:val="000000"/>
                <w:sz w:val="18"/>
              </w:rPr>
              <w:t>Revisión estática + ejecución local</w:t>
            </w:r>
          </w:p>
        </w:tc>
        <w:tc>
          <w:tcPr>
            <w:tcW w:type="dxa" w:w="4560"/>
            <w:tcMar>
              <w:top w:w="100" w:type="dxa"/>
              <w:start w:w="120" w:type="dxa"/>
              <w:bottom w:w="100" w:type="dxa"/>
              <w:end w:w="120" w:type="dxa"/>
            </w:tcMar>
            <w:vAlign w:val="center"/>
          </w:tcPr>
          <w:p>
            <w:pPr>
              <w:spacing w:after="0" w:line="259" w:lineRule="auto"/>
            </w:pPr>
            <w:r/>
            <w:r>
              <w:rPr>
                <w:rFonts w:ascii="Aptos" w:hAnsi="Aptos"/>
                <w:b w:val="0"/>
                <w:color w:val="000000"/>
                <w:sz w:val="18"/>
              </w:rPr>
              <w:t>Código, documentación, CI, pruebas y compilación C17</w:t>
            </w:r>
          </w:p>
        </w:tc>
        <w:tc>
          <w:tcPr>
            <w:tcW w:type="dxa" w:w="1800"/>
            <w:tcMar>
              <w:top w:w="100" w:type="dxa"/>
              <w:start w:w="120" w:type="dxa"/>
              <w:bottom w:w="100" w:type="dxa"/>
              <w:end w:w="120" w:type="dxa"/>
            </w:tcMar>
            <w:vAlign w:val="center"/>
          </w:tcPr>
          <w:p>
            <w:pPr>
              <w:spacing w:after="0" w:line="259" w:lineRule="auto"/>
            </w:pPr>
            <w:r/>
            <w:r>
              <w:rPr>
                <w:rFonts w:ascii="Aptos" w:hAnsi="Aptos"/>
                <w:b w:val="0"/>
                <w:color w:val="000000"/>
                <w:sz w:val="18"/>
              </w:rPr>
              <w:t>18-08-2026</w:t>
            </w:r>
          </w:p>
        </w:tc>
      </w:tr>
    </w:tbl>
    <w:p>
      <w:pPr>
        <w:spacing w:after="0"/>
      </w:pPr>
    </w:p>
    <w:p>
      <w:r>
        <w:t>Evaluador: análisis independiente con perspectiva de arquitectura de software y estructuras de datos en C estándar.</w:t>
      </w:r>
    </w:p>
    <w:p>
      <w:r>
        <w:br w:type="page"/>
      </w:r>
    </w:p>
    <w:p>
      <w:pPr>
        <w:pStyle w:val="Heading1"/>
        <w:keepNext/>
      </w:pPr>
      <w:r>
        <w:t>1. Resumen ejecutivo</w:t>
      </w:r>
    </w:p>
    <w:p>
      <w:r>
        <w:t>VisualEstruct es una aplicación educativa Flask que modela estructuras de datos en Python, expone operaciones mediante adaptadores y servicios, presenta el código C de referencia y genera trazas visuales paso a paso. El producto tiene valor real para docencia porque conecta cuatro representaciones: contrato del TAD, ejecución, estado visual y código fuente.</w:t>
      </w:r>
    </w:p>
    <w:tbl>
      <w:tblPr>
        <w:tblStyle w:val="TableGrid"/>
        <w:tblW w:type="dxa" w:w="9360"/>
        <w:tblLayout w:type="fixed"/>
        <w:tblLook w:firstColumn="1" w:firstRow="1" w:lastColumn="0" w:lastRow="0" w:noHBand="0" w:noVBand="1" w:val="04A0"/>
        <w:tblInd w:w="120" w:type="dxa"/>
      </w:tblPr>
      <w:tblGrid>
        <w:gridCol w:w="2100"/>
        <w:gridCol w:w="1200"/>
        <w:gridCol w:w="6060"/>
      </w:tblGrid>
      <w:tr>
        <w:tc>
          <w:tcPr>
            <w:tcW w:type="dxa" w:w="2100"/>
            <w:shd w:fill="203748"/>
            <w:tcMar>
              <w:top w:w="100" w:type="dxa"/>
              <w:start w:w="120" w:type="dxa"/>
              <w:bottom w:w="100" w:type="dxa"/>
              <w:end w:w="120" w:type="dxa"/>
            </w:tcMar>
            <w:vAlign w:val="center"/>
          </w:tcPr>
          <w:p>
            <w:pPr>
              <w:spacing w:after="0" w:line="259" w:lineRule="auto"/>
            </w:pPr>
            <w:r/>
            <w:r>
              <w:rPr>
                <w:rFonts w:ascii="Aptos" w:hAnsi="Aptos"/>
                <w:b/>
                <w:color w:val="FFFFFF"/>
                <w:sz w:val="17"/>
              </w:rPr>
              <w:t>Dimensión</w:t>
            </w:r>
          </w:p>
        </w:tc>
        <w:tc>
          <w:tcPr>
            <w:tcW w:type="dxa" w:w="1200"/>
            <w:shd w:fill="203748"/>
            <w:tcMar>
              <w:top w:w="100" w:type="dxa"/>
              <w:start w:w="120" w:type="dxa"/>
              <w:bottom w:w="100" w:type="dxa"/>
              <w:end w:w="120" w:type="dxa"/>
            </w:tcMar>
            <w:vAlign w:val="center"/>
          </w:tcPr>
          <w:p>
            <w:pPr>
              <w:spacing w:after="0" w:line="259" w:lineRule="auto"/>
            </w:pPr>
            <w:r/>
            <w:r>
              <w:rPr>
                <w:rFonts w:ascii="Aptos" w:hAnsi="Aptos"/>
                <w:b/>
                <w:color w:val="FFFFFF"/>
                <w:sz w:val="17"/>
              </w:rPr>
              <w:t>Puntuación</w:t>
            </w:r>
          </w:p>
        </w:tc>
        <w:tc>
          <w:tcPr>
            <w:tcW w:type="dxa" w:w="6060"/>
            <w:shd w:fill="203748"/>
            <w:tcMar>
              <w:top w:w="100" w:type="dxa"/>
              <w:start w:w="120" w:type="dxa"/>
              <w:bottom w:w="100" w:type="dxa"/>
              <w:end w:w="120" w:type="dxa"/>
            </w:tcMar>
            <w:vAlign w:val="center"/>
          </w:tcPr>
          <w:p>
            <w:pPr>
              <w:spacing w:after="0" w:line="259" w:lineRule="auto"/>
            </w:pPr>
            <w:r/>
            <w:r>
              <w:rPr>
                <w:rFonts w:ascii="Aptos" w:hAnsi="Aptos"/>
                <w:b/>
                <w:color w:val="FFFFFF"/>
                <w:sz w:val="17"/>
              </w:rPr>
              <w:t>Evaluación</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Diseño</w:t>
            </w:r>
          </w:p>
        </w:tc>
        <w:tc>
          <w:tcPr>
            <w:tcW w:type="dxa" w:w="1200"/>
            <w:tcMar>
              <w:top w:w="100" w:type="dxa"/>
              <w:start w:w="120" w:type="dxa"/>
              <w:bottom w:w="100" w:type="dxa"/>
              <w:end w:w="120" w:type="dxa"/>
            </w:tcMar>
            <w:vAlign w:val="center"/>
          </w:tcPr>
          <w:p>
            <w:pPr>
              <w:spacing w:after="0" w:line="259" w:lineRule="auto"/>
            </w:pPr>
            <w:r/>
            <w:r>
              <w:rPr>
                <w:rFonts w:ascii="Aptos" w:hAnsi="Aptos"/>
                <w:b w:val="0"/>
                <w:color w:val="000000"/>
                <w:sz w:val="18"/>
              </w:rPr>
              <w:t>8/10</w:t>
            </w:r>
          </w:p>
        </w:tc>
        <w:tc>
          <w:tcPr>
            <w:tcW w:type="dxa" w:w="6060"/>
            <w:tcMar>
              <w:top w:w="100" w:type="dxa"/>
              <w:start w:w="120" w:type="dxa"/>
              <w:bottom w:w="100" w:type="dxa"/>
              <w:end w:w="120" w:type="dxa"/>
            </w:tcMar>
            <w:vAlign w:val="center"/>
          </w:tcPr>
          <w:p>
            <w:pPr>
              <w:spacing w:after="0" w:line="259" w:lineRule="auto"/>
            </w:pPr>
            <w:r/>
            <w:r>
              <w:rPr>
                <w:rFonts w:ascii="Aptos" w:hAnsi="Aptos"/>
                <w:b w:val="0"/>
                <w:color w:val="000000"/>
                <w:sz w:val="18"/>
              </w:rPr>
              <w:t>Experiencia didáctica coherente; UI especializada por familia.</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Arquitectura</w:t>
            </w:r>
          </w:p>
        </w:tc>
        <w:tc>
          <w:tcPr>
            <w:tcW w:type="dxa" w:w="1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7/10</w:t>
            </w:r>
          </w:p>
        </w:tc>
        <w:tc>
          <w:tcPr>
            <w:tcW w:type="dxa" w:w="6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Capas claras, pero servicios y JS muy concentrados.</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Utilidad</w:t>
            </w:r>
          </w:p>
        </w:tc>
        <w:tc>
          <w:tcPr>
            <w:tcW w:type="dxa" w:w="1200"/>
            <w:tcMar>
              <w:top w:w="100" w:type="dxa"/>
              <w:start w:w="120" w:type="dxa"/>
              <w:bottom w:w="100" w:type="dxa"/>
              <w:end w:w="120" w:type="dxa"/>
            </w:tcMar>
            <w:vAlign w:val="center"/>
          </w:tcPr>
          <w:p>
            <w:pPr>
              <w:spacing w:after="0" w:line="259" w:lineRule="auto"/>
            </w:pPr>
            <w:r/>
            <w:r>
              <w:rPr>
                <w:rFonts w:ascii="Aptos" w:hAnsi="Aptos"/>
                <w:b w:val="0"/>
                <w:color w:val="000000"/>
                <w:sz w:val="18"/>
              </w:rPr>
              <w:t>8.5/10</w:t>
            </w:r>
          </w:p>
        </w:tc>
        <w:tc>
          <w:tcPr>
            <w:tcW w:type="dxa" w:w="6060"/>
            <w:tcMar>
              <w:top w:w="100" w:type="dxa"/>
              <w:start w:w="120" w:type="dxa"/>
              <w:bottom w:w="100" w:type="dxa"/>
              <w:end w:w="120" w:type="dxa"/>
            </w:tcMar>
            <w:vAlign w:val="center"/>
          </w:tcPr>
          <w:p>
            <w:pPr>
              <w:spacing w:after="0" w:line="259" w:lineRule="auto"/>
            </w:pPr>
            <w:r/>
            <w:r>
              <w:rPr>
                <w:rFonts w:ascii="Aptos" w:hAnsi="Aptos"/>
                <w:b w:val="0"/>
                <w:color w:val="000000"/>
                <w:sz w:val="18"/>
              </w:rPr>
              <w:t>Cobertura amplia y buen potencial académico.</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Implementación</w:t>
            </w:r>
          </w:p>
        </w:tc>
        <w:tc>
          <w:tcPr>
            <w:tcW w:type="dxa" w:w="1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7.5/10</w:t>
            </w:r>
          </w:p>
        </w:tc>
        <w:tc>
          <w:tcPr>
            <w:tcW w:type="dxa" w:w="6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C17 compila y pruebas fuertes; falta paridad automatizada C↔Python.</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Mantenibilidad</w:t>
            </w:r>
          </w:p>
        </w:tc>
        <w:tc>
          <w:tcPr>
            <w:tcW w:type="dxa" w:w="1200"/>
            <w:tcMar>
              <w:top w:w="100" w:type="dxa"/>
              <w:start w:w="120" w:type="dxa"/>
              <w:bottom w:w="100" w:type="dxa"/>
              <w:end w:w="120" w:type="dxa"/>
            </w:tcMar>
            <w:vAlign w:val="center"/>
          </w:tcPr>
          <w:p>
            <w:pPr>
              <w:spacing w:after="0" w:line="259" w:lineRule="auto"/>
            </w:pPr>
            <w:r/>
            <w:r>
              <w:rPr>
                <w:rFonts w:ascii="Aptos" w:hAnsi="Aptos"/>
                <w:b w:val="0"/>
                <w:color w:val="000000"/>
                <w:sz w:val="18"/>
              </w:rPr>
              <w:t>6.5/10</w:t>
            </w:r>
          </w:p>
        </w:tc>
        <w:tc>
          <w:tcPr>
            <w:tcW w:type="dxa" w:w="6060"/>
            <w:tcMar>
              <w:top w:w="100" w:type="dxa"/>
              <w:start w:w="120" w:type="dxa"/>
              <w:bottom w:w="100" w:type="dxa"/>
              <w:end w:w="120" w:type="dxa"/>
            </w:tcMar>
            <w:vAlign w:val="center"/>
          </w:tcPr>
          <w:p>
            <w:pPr>
              <w:spacing w:after="0" w:line="259" w:lineRule="auto"/>
            </w:pPr>
            <w:r/>
            <w:r>
              <w:rPr>
                <w:rFonts w:ascii="Aptos" w:hAnsi="Aptos"/>
                <w:b w:val="0"/>
                <w:color w:val="000000"/>
                <w:sz w:val="18"/>
              </w:rPr>
              <w:t>Hotspots de 4.309 y 2.500+ líneas elevan el costo de cambio.</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Resultado global</w:t>
            </w:r>
          </w:p>
        </w:tc>
        <w:tc>
          <w:tcPr>
            <w:tcW w:type="dxa" w:w="1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7.5/10</w:t>
            </w:r>
          </w:p>
        </w:tc>
        <w:tc>
          <w:tcPr>
            <w:tcW w:type="dxa" w:w="6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Proyecto sólido en fase de consolidación arquitectónica.</w:t>
            </w:r>
          </w:p>
        </w:tc>
      </w:tr>
    </w:tbl>
    <w:p>
      <w:pPr>
        <w:spacing w:after="0"/>
      </w:pPr>
    </w:p>
    <w:p>
      <w:pPr>
        <w:pStyle w:val="Heading2"/>
        <w:keepNext/>
      </w:pPr>
      <w:r>
        <w:t>Conclusiones clave</w:t>
      </w:r>
    </w:p>
    <w:p>
      <w:pPr>
        <w:pStyle w:val="ListBullet"/>
        <w:spacing w:after="60"/>
      </w:pPr>
      <w:r>
        <w:t>La separación dominio–adaptadores–servicios–rutas es apropiada y facilita pruebas por capa.</w:t>
      </w:r>
    </w:p>
    <w:p>
      <w:pPr>
        <w:pStyle w:val="ListBullet"/>
        <w:spacing w:after="60"/>
      </w:pPr>
      <w:r>
        <w:t>El replay de historial simplifica la persistencia, pero su costo crece linealmente y mezcla reconstrucción con ejecución didáctica.</w:t>
      </w:r>
    </w:p>
    <w:p>
      <w:pPr>
        <w:pStyle w:val="ListBullet"/>
        <w:spacing w:after="60"/>
      </w:pPr>
      <w:r>
        <w:t>ExecutionTraceService (4.309 líneas físicas) es el principal riesgo de mantenibilidad y regresión.</w:t>
      </w:r>
    </w:p>
    <w:p>
      <w:pPr>
        <w:pStyle w:val="ListBullet"/>
        <w:spacing w:after="60"/>
      </w:pPr>
      <w:r>
        <w:t>La fuente C es consumida como texto; hoy compila limpiamente, pero no existe una prueba diferencial que demuestre equivalencia semántica con Python.</w:t>
      </w:r>
    </w:p>
    <w:p>
      <w:pPr>
        <w:pStyle w:val="ListBullet"/>
        <w:spacing w:after="60"/>
      </w:pPr>
      <w:r>
        <w:t>La suite local confirma 284 pruebas no-E2E y 83% de cobertura; las 9 E2E no arrancaron por ausencia del navegador Playwright, no por fallo funcional observado.</w:t>
      </w:r>
    </w:p>
    <w:p>
      <w:pPr>
        <w:pStyle w:val="Heading1"/>
        <w:keepNext/>
      </w:pPr>
      <w:r>
        <w:t>2. Alcance y método</w:t>
      </w:r>
    </w:p>
    <w:p>
      <w:r>
        <w:t>Se revisaron README, especificaciones OpenSpec, documentación técnica, configuración, dominio, adaptadores, servicios, rutas, plantillas, JavaScript, CI, pruebas y los 13 pares .c/.h. No se realizó una auditoría formal de seguridad, accesibilidad ni rendimiento con carga; las conclusiones en esas áreas son de riesgo arquitectónico, no certificaciones.</w:t>
      </w:r>
    </w:p>
    <w:tbl>
      <w:tblPr>
        <w:tblStyle w:val="TableGrid"/>
        <w:tblW w:type="dxa" w:w="9360"/>
        <w:tblLayout w:type="fixed"/>
        <w:tblLook w:firstColumn="1" w:firstRow="1" w:lastColumn="0" w:lastRow="0" w:noHBand="0" w:noVBand="1" w:val="04A0"/>
        <w:tblInd w:w="120" w:type="dxa"/>
      </w:tblPr>
      <w:tblGrid>
        <w:gridCol w:w="2500"/>
        <w:gridCol w:w="2100"/>
        <w:gridCol w:w="4760"/>
      </w:tblGrid>
      <w:tr>
        <w:tc>
          <w:tcPr>
            <w:tcW w:type="dxa" w:w="2500"/>
            <w:shd w:fill="203748"/>
            <w:tcMar>
              <w:top w:w="100" w:type="dxa"/>
              <w:start w:w="120" w:type="dxa"/>
              <w:bottom w:w="100" w:type="dxa"/>
              <w:end w:w="120" w:type="dxa"/>
            </w:tcMar>
            <w:vAlign w:val="center"/>
          </w:tcPr>
          <w:p>
            <w:pPr>
              <w:spacing w:after="0" w:line="259" w:lineRule="auto"/>
            </w:pPr>
            <w:r/>
            <w:r>
              <w:rPr>
                <w:rFonts w:ascii="Aptos" w:hAnsi="Aptos"/>
                <w:b/>
                <w:color w:val="FFFFFF"/>
                <w:sz w:val="17"/>
              </w:rPr>
              <w:t>Comprobación</w:t>
            </w:r>
          </w:p>
        </w:tc>
        <w:tc>
          <w:tcPr>
            <w:tcW w:type="dxa" w:w="2100"/>
            <w:shd w:fill="203748"/>
            <w:tcMar>
              <w:top w:w="100" w:type="dxa"/>
              <w:start w:w="120" w:type="dxa"/>
              <w:bottom w:w="100" w:type="dxa"/>
              <w:end w:w="120" w:type="dxa"/>
            </w:tcMar>
            <w:vAlign w:val="center"/>
          </w:tcPr>
          <w:p>
            <w:pPr>
              <w:spacing w:after="0" w:line="259" w:lineRule="auto"/>
            </w:pPr>
            <w:r/>
            <w:r>
              <w:rPr>
                <w:rFonts w:ascii="Aptos" w:hAnsi="Aptos"/>
                <w:b/>
                <w:color w:val="FFFFFF"/>
                <w:sz w:val="17"/>
              </w:rPr>
              <w:t>Resultado</w:t>
            </w:r>
          </w:p>
        </w:tc>
        <w:tc>
          <w:tcPr>
            <w:tcW w:type="dxa" w:w="4760"/>
            <w:shd w:fill="203748"/>
            <w:tcMar>
              <w:top w:w="100" w:type="dxa"/>
              <w:start w:w="120" w:type="dxa"/>
              <w:bottom w:w="100" w:type="dxa"/>
              <w:end w:w="120" w:type="dxa"/>
            </w:tcMar>
            <w:vAlign w:val="center"/>
          </w:tcPr>
          <w:p>
            <w:pPr>
              <w:spacing w:after="0" w:line="259" w:lineRule="auto"/>
            </w:pPr>
            <w:r/>
            <w:r>
              <w:rPr>
                <w:rFonts w:ascii="Aptos" w:hAnsi="Aptos"/>
                <w:b/>
                <w:color w:val="FFFFFF"/>
                <w:sz w:val="17"/>
              </w:rPr>
              <w:t>Interpretación</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pytest sin E2E</w:t>
            </w:r>
          </w:p>
        </w:tc>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284 passed</w:t>
            </w:r>
          </w:p>
        </w:tc>
        <w:tc>
          <w:tcPr>
            <w:tcW w:type="dxa" w:w="4760"/>
            <w:tcMar>
              <w:top w:w="100" w:type="dxa"/>
              <w:start w:w="120" w:type="dxa"/>
              <w:bottom w:w="100" w:type="dxa"/>
              <w:end w:w="120" w:type="dxa"/>
            </w:tcMar>
            <w:vAlign w:val="center"/>
          </w:tcPr>
          <w:p>
            <w:pPr>
              <w:spacing w:after="0" w:line="259" w:lineRule="auto"/>
            </w:pPr>
            <w:r/>
            <w:r>
              <w:rPr>
                <w:rFonts w:ascii="Aptos" w:hAnsi="Aptos"/>
                <w:b w:val="0"/>
                <w:color w:val="000000"/>
                <w:sz w:val="18"/>
              </w:rPr>
              <w:t>Backend, dominio, adaptadores y contratos pasan localmente.</w:t>
            </w:r>
          </w:p>
        </w:tc>
      </w:tr>
      <w:tr>
        <w:tc>
          <w:tcPr>
            <w:tcW w:type="dxa" w:w="2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Cobertura app/</w:t>
            </w:r>
          </w:p>
        </w:tc>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83% (9.353 sentencias)</w:t>
            </w:r>
          </w:p>
        </w:tc>
        <w:tc>
          <w:tcPr>
            <w:tcW w:type="dxa" w:w="47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Buena cobertura global; desigual en algoritmos centrales.</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Suite completa</w:t>
            </w:r>
          </w:p>
        </w:tc>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284 passed / 9 failed</w:t>
            </w:r>
          </w:p>
        </w:tc>
        <w:tc>
          <w:tcPr>
            <w:tcW w:type="dxa" w:w="4760"/>
            <w:tcMar>
              <w:top w:w="100" w:type="dxa"/>
              <w:start w:w="120" w:type="dxa"/>
              <w:bottom w:w="100" w:type="dxa"/>
              <w:end w:w="120" w:type="dxa"/>
            </w:tcMar>
            <w:vAlign w:val="center"/>
          </w:tcPr>
          <w:p>
            <w:pPr>
              <w:spacing w:after="0" w:line="259" w:lineRule="auto"/>
            </w:pPr>
            <w:r/>
            <w:r>
              <w:rPr>
                <w:rFonts w:ascii="Aptos" w:hAnsi="Aptos"/>
                <w:b w:val="0"/>
                <w:color w:val="000000"/>
                <w:sz w:val="18"/>
              </w:rPr>
              <w:t>Los 9 fallos son setup: Chromium no instalado.</w:t>
            </w:r>
          </w:p>
        </w:tc>
      </w:tr>
      <w:tr>
        <w:tc>
          <w:tcPr>
            <w:tcW w:type="dxa" w:w="2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 estándar</w:t>
            </w:r>
          </w:p>
        </w:tc>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13/13 compilan</w:t>
            </w:r>
          </w:p>
        </w:tc>
        <w:tc>
          <w:tcPr>
            <w:tcW w:type="dxa" w:w="47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GCC 15.2, -std=c17 -Wall -Wextra -Wpedantic.</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Estado Git</w:t>
            </w:r>
          </w:p>
        </w:tc>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openspec/ no rastreado</w:t>
            </w:r>
          </w:p>
        </w:tc>
        <w:tc>
          <w:tcPr>
            <w:tcW w:type="dxa" w:w="4760"/>
            <w:tcMar>
              <w:top w:w="100" w:type="dxa"/>
              <w:start w:w="120" w:type="dxa"/>
              <w:bottom w:w="100" w:type="dxa"/>
              <w:end w:w="120" w:type="dxa"/>
            </w:tcMar>
            <w:vAlign w:val="center"/>
          </w:tcPr>
          <w:p>
            <w:pPr>
              <w:spacing w:after="0" w:line="259" w:lineRule="auto"/>
            </w:pPr>
            <w:r/>
            <w:r>
              <w:rPr>
                <w:rFonts w:ascii="Aptos" w:hAnsi="Aptos"/>
                <w:b w:val="0"/>
                <w:color w:val="000000"/>
                <w:sz w:val="18"/>
              </w:rPr>
              <w:t>Riesgo de perder especificaciones si no se decide su versionado.</w:t>
            </w:r>
          </w:p>
        </w:tc>
      </w:tr>
    </w:tbl>
    <w:p>
      <w:pPr>
        <w:spacing w:after="0"/>
      </w:pPr>
    </w:p>
    <w:p>
      <w:pPr>
        <w:pStyle w:val="Heading1"/>
        <w:keepNext/>
      </w:pPr>
      <w:r>
        <w:t>3. Diseño y utilidad del producto</w:t>
      </w:r>
    </w:p>
    <w:p>
      <w:pPr>
        <w:pStyle w:val="Heading2"/>
        <w:keepNext/>
      </w:pPr>
      <w:r>
        <w:t>Fortalezas</w:t>
      </w:r>
    </w:p>
    <w:p>
      <w:pPr>
        <w:pStyle w:val="ListBullet"/>
        <w:spacing w:after="60"/>
      </w:pPr>
      <w:r>
        <w:t>Propuesta educativa diferenciada: no solo dibuja estructuras, también relaciona operación, código C, salida printf, historial tipo main y transición visual.</w:t>
      </w:r>
    </w:p>
    <w:p>
      <w:pPr>
        <w:pStyle w:val="ListBullet"/>
        <w:spacing w:after="60"/>
      </w:pPr>
      <w:r>
        <w:t>Cobertura funcional extensa: secuenciales, árboles balanceados, montículo, grafos, hash y once algoritmos de ordenamiento.</w:t>
      </w:r>
    </w:p>
    <w:p>
      <w:pPr>
        <w:pStyle w:val="ListBullet"/>
        <w:spacing w:after="60"/>
      </w:pPr>
      <w:r>
        <w:t>Dos ritmos de aprendizaje: ejecución rápida e interpretación paso a paso.</w:t>
      </w:r>
    </w:p>
    <w:p>
      <w:pPr>
        <w:pStyle w:val="ListBullet"/>
        <w:spacing w:after="60"/>
      </w:pPr>
      <w:r>
        <w:t>Mensajes en español y ayudas específicas reducen la barrera para estudiantes.</w:t>
      </w:r>
    </w:p>
    <w:p>
      <w:pPr>
        <w:pStyle w:val="ListBullet"/>
        <w:spacing w:after="60"/>
      </w:pPr>
      <w:r>
        <w:t>Exportación visual favorece evidencias de clase, tareas y material docente.</w:t>
      </w:r>
    </w:p>
    <w:p>
      <w:pPr>
        <w:pStyle w:val="Heading2"/>
        <w:keepNext/>
      </w:pPr>
      <w:r>
        <w:t>Limitaciones de utilidad</w:t>
      </w:r>
    </w:p>
    <w:p>
      <w:pPr>
        <w:pStyle w:val="ListBullet"/>
        <w:spacing w:after="60"/>
      </w:pPr>
      <w:r>
        <w:t>La aplicación enseña una implementación concreta; conviene distinguir explícitamente TAD, representación elegida y variantes válidas.</w:t>
      </w:r>
    </w:p>
    <w:p>
      <w:pPr>
        <w:pStyle w:val="ListBullet"/>
        <w:spacing w:after="60"/>
      </w:pPr>
      <w:r>
        <w:t>No hay medición ni visualización sistemática de complejidad temporal/espacial, invariantes o consumo de memoria.</w:t>
      </w:r>
    </w:p>
    <w:p>
      <w:pPr>
        <w:pStyle w:val="ListBullet"/>
        <w:spacing w:after="60"/>
      </w:pPr>
      <w:r>
        <w:t>No existe modo de comparar dos algoritmos ni exportar una sesión reproducible como archivo portable.</w:t>
      </w:r>
    </w:p>
    <w:p>
      <w:pPr>
        <w:pStyle w:val="ListBullet"/>
        <w:spacing w:after="60"/>
      </w:pPr>
      <w:r>
        <w:t>La accesibilidad y el uso por teclado no están demostrados mediante una suite automatizada.</w:t>
      </w:r>
    </w:p>
    <w:p>
      <w:r>
        <w:br w:type="page"/>
      </w:r>
    </w:p>
    <w:p>
      <w:pPr>
        <w:pStyle w:val="Heading1"/>
        <w:keepNext/>
      </w:pPr>
      <w:r>
        <w:t>4. Evaluación de arquitectura</w:t>
      </w:r>
    </w:p>
    <w:p>
      <w:pPr>
        <w:pStyle w:val="Heading2"/>
        <w:keepNext/>
      </w:pPr>
      <w:r>
        <w:t>Estructura observada</w:t>
      </w:r>
    </w:p>
    <w:p>
      <w:r>
        <w:t>El flujo principal sigue una arquitectura en capas: la ruta recibe HTTP; el servicio valida y orquesta; el adaptador normaliza operaciones; el dominio ejecuta el TAD; el servicio de trazas construye la narrativa didáctica; la sesión conserva comandos mutantes; y el frontend representa el estado.</w:t>
      </w:r>
    </w:p>
    <w:tbl>
      <w:tblPr>
        <w:tblStyle w:val="TableGrid"/>
        <w:tblW w:type="dxa" w:w="9360"/>
        <w:tblLayout w:type="fixed"/>
        <w:tblLook w:firstColumn="1" w:firstRow="1" w:lastColumn="0" w:lastRow="0" w:noHBand="0" w:noVBand="1" w:val="04A0"/>
        <w:tblInd w:w="120" w:type="dxa"/>
      </w:tblPr>
      <w:tblGrid>
        <w:gridCol w:w="1600"/>
        <w:gridCol w:w="3500"/>
        <w:gridCol w:w="4260"/>
      </w:tblGrid>
      <w:tr>
        <w:tc>
          <w:tcPr>
            <w:tcW w:type="dxa" w:w="1600"/>
            <w:shd w:fill="203748"/>
            <w:tcMar>
              <w:top w:w="100" w:type="dxa"/>
              <w:start w:w="120" w:type="dxa"/>
              <w:bottom w:w="100" w:type="dxa"/>
              <w:end w:w="120" w:type="dxa"/>
            </w:tcMar>
            <w:vAlign w:val="center"/>
          </w:tcPr>
          <w:p>
            <w:pPr>
              <w:spacing w:after="0" w:line="259" w:lineRule="auto"/>
            </w:pPr>
            <w:r/>
            <w:r>
              <w:rPr>
                <w:rFonts w:ascii="Aptos" w:hAnsi="Aptos"/>
                <w:b/>
                <w:color w:val="FFFFFF"/>
                <w:sz w:val="17"/>
              </w:rPr>
              <w:t>Capa</w:t>
            </w:r>
          </w:p>
        </w:tc>
        <w:tc>
          <w:tcPr>
            <w:tcW w:type="dxa" w:w="3500"/>
            <w:shd w:fill="203748"/>
            <w:tcMar>
              <w:top w:w="100" w:type="dxa"/>
              <w:start w:w="120" w:type="dxa"/>
              <w:bottom w:w="100" w:type="dxa"/>
              <w:end w:w="120" w:type="dxa"/>
            </w:tcMar>
            <w:vAlign w:val="center"/>
          </w:tcPr>
          <w:p>
            <w:pPr>
              <w:spacing w:after="0" w:line="259" w:lineRule="auto"/>
            </w:pPr>
            <w:r/>
            <w:r>
              <w:rPr>
                <w:rFonts w:ascii="Aptos" w:hAnsi="Aptos"/>
                <w:b/>
                <w:color w:val="FFFFFF"/>
                <w:sz w:val="17"/>
              </w:rPr>
              <w:t>Responsabilidad</w:t>
            </w:r>
          </w:p>
        </w:tc>
        <w:tc>
          <w:tcPr>
            <w:tcW w:type="dxa" w:w="4260"/>
            <w:shd w:fill="203748"/>
            <w:tcMar>
              <w:top w:w="100" w:type="dxa"/>
              <w:start w:w="120" w:type="dxa"/>
              <w:bottom w:w="100" w:type="dxa"/>
              <w:end w:w="120" w:type="dxa"/>
            </w:tcMar>
            <w:vAlign w:val="center"/>
          </w:tcPr>
          <w:p>
            <w:pPr>
              <w:spacing w:after="0" w:line="259" w:lineRule="auto"/>
            </w:pPr>
            <w:r/>
            <w:r>
              <w:rPr>
                <w:rFonts w:ascii="Aptos" w:hAnsi="Aptos"/>
                <w:b/>
                <w:color w:val="FFFFFF"/>
                <w:sz w:val="17"/>
              </w:rPr>
              <w:t>Valoración</w:t>
            </w:r>
          </w:p>
        </w:tc>
      </w:tr>
      <w:tr>
        <w:tc>
          <w:tcPr>
            <w:tcW w:type="dxa" w:w="1600"/>
            <w:tcMar>
              <w:top w:w="100" w:type="dxa"/>
              <w:start w:w="120" w:type="dxa"/>
              <w:bottom w:w="100" w:type="dxa"/>
              <w:end w:w="120" w:type="dxa"/>
            </w:tcMar>
            <w:vAlign w:val="center"/>
          </w:tcPr>
          <w:p>
            <w:pPr>
              <w:spacing w:after="0" w:line="259" w:lineRule="auto"/>
            </w:pPr>
            <w:r/>
            <w:r>
              <w:rPr>
                <w:rFonts w:ascii="Aptos" w:hAnsi="Aptos"/>
                <w:b w:val="0"/>
                <w:color w:val="000000"/>
                <w:sz w:val="18"/>
              </w:rPr>
              <w:t>domain</w:t>
            </w:r>
          </w:p>
        </w:tc>
        <w:tc>
          <w:tcPr>
            <w:tcW w:type="dxa" w:w="3500"/>
            <w:tcMar>
              <w:top w:w="100" w:type="dxa"/>
              <w:start w:w="120" w:type="dxa"/>
              <w:bottom w:w="100" w:type="dxa"/>
              <w:end w:w="120" w:type="dxa"/>
            </w:tcMar>
            <w:vAlign w:val="center"/>
          </w:tcPr>
          <w:p>
            <w:pPr>
              <w:spacing w:after="0" w:line="259" w:lineRule="auto"/>
            </w:pPr>
            <w:r/>
            <w:r>
              <w:rPr>
                <w:rFonts w:ascii="Aptos" w:hAnsi="Aptos"/>
                <w:b w:val="0"/>
                <w:color w:val="000000"/>
                <w:sz w:val="18"/>
              </w:rPr>
              <w:t>Semántica de TAD y algoritmos en Python</w:t>
            </w:r>
          </w:p>
        </w:tc>
        <w:tc>
          <w:tcPr>
            <w:tcW w:type="dxa" w:w="4260"/>
            <w:tcMar>
              <w:top w:w="100" w:type="dxa"/>
              <w:start w:w="120" w:type="dxa"/>
              <w:bottom w:w="100" w:type="dxa"/>
              <w:end w:w="120" w:type="dxa"/>
            </w:tcMar>
            <w:vAlign w:val="center"/>
          </w:tcPr>
          <w:p>
            <w:pPr>
              <w:spacing w:after="0" w:line="259" w:lineRule="auto"/>
            </w:pPr>
            <w:r/>
            <w:r>
              <w:rPr>
                <w:rFonts w:ascii="Aptos" w:hAnsi="Aptos"/>
                <w:b w:val="0"/>
                <w:color w:val="000000"/>
                <w:sz w:val="18"/>
              </w:rPr>
              <w:t>Correcta; algunas implementaciones tienen cobertura baja.</w:t>
            </w:r>
          </w:p>
        </w:tc>
      </w:tr>
      <w:tr>
        <w:tc>
          <w:tcPr>
            <w:tcW w:type="dxa" w:w="1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adapters</w:t>
            </w:r>
          </w:p>
        </w:tc>
        <w:tc>
          <w:tcPr>
            <w:tcW w:type="dxa" w:w="3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Contrato uniforme y estado visual</w:t>
            </w:r>
          </w:p>
        </w:tc>
        <w:tc>
          <w:tcPr>
            <w:tcW w:type="dxa" w:w="42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Buena frontera anticorrupción.</w:t>
            </w:r>
          </w:p>
        </w:tc>
      </w:tr>
      <w:tr>
        <w:tc>
          <w:tcPr>
            <w:tcW w:type="dxa" w:w="1600"/>
            <w:tcMar>
              <w:top w:w="100" w:type="dxa"/>
              <w:start w:w="120" w:type="dxa"/>
              <w:bottom w:w="100" w:type="dxa"/>
              <w:end w:w="120" w:type="dxa"/>
            </w:tcMar>
            <w:vAlign w:val="center"/>
          </w:tcPr>
          <w:p>
            <w:pPr>
              <w:spacing w:after="0" w:line="259" w:lineRule="auto"/>
            </w:pPr>
            <w:r/>
            <w:r>
              <w:rPr>
                <w:rFonts w:ascii="Aptos" w:hAnsi="Aptos"/>
                <w:b w:val="0"/>
                <w:color w:val="000000"/>
                <w:sz w:val="18"/>
              </w:rPr>
              <w:t>services</w:t>
            </w:r>
          </w:p>
        </w:tc>
        <w:tc>
          <w:tcPr>
            <w:tcW w:type="dxa" w:w="3500"/>
            <w:tcMar>
              <w:top w:w="100" w:type="dxa"/>
              <w:start w:w="120" w:type="dxa"/>
              <w:bottom w:w="100" w:type="dxa"/>
              <w:end w:w="120" w:type="dxa"/>
            </w:tcMar>
            <w:vAlign w:val="center"/>
          </w:tcPr>
          <w:p>
            <w:pPr>
              <w:spacing w:after="0" w:line="259" w:lineRule="auto"/>
            </w:pPr>
            <w:r/>
            <w:r>
              <w:rPr>
                <w:rFonts w:ascii="Aptos" w:hAnsi="Aptos"/>
                <w:b w:val="0"/>
                <w:color w:val="000000"/>
                <w:sz w:val="18"/>
              </w:rPr>
              <w:t>Orquestación, C, trazas, sesión y ayuda</w:t>
            </w:r>
          </w:p>
        </w:tc>
        <w:tc>
          <w:tcPr>
            <w:tcW w:type="dxa" w:w="4260"/>
            <w:tcMar>
              <w:top w:w="100" w:type="dxa"/>
              <w:start w:w="120" w:type="dxa"/>
              <w:bottom w:w="100" w:type="dxa"/>
              <w:end w:w="120" w:type="dxa"/>
            </w:tcMar>
            <w:vAlign w:val="center"/>
          </w:tcPr>
          <w:p>
            <w:pPr>
              <w:spacing w:after="0" w:line="259" w:lineRule="auto"/>
            </w:pPr>
            <w:r/>
            <w:r>
              <w:rPr>
                <w:rFonts w:ascii="Aptos" w:hAnsi="Aptos"/>
                <w:b w:val="0"/>
                <w:color w:val="000000"/>
                <w:sz w:val="18"/>
              </w:rPr>
              <w:t>Demasiada concentración; hotspot principal.</w:t>
            </w:r>
          </w:p>
        </w:tc>
      </w:tr>
      <w:tr>
        <w:tc>
          <w:tcPr>
            <w:tcW w:type="dxa" w:w="1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routes</w:t>
            </w:r>
          </w:p>
        </w:tc>
        <w:tc>
          <w:tcPr>
            <w:tcW w:type="dxa" w:w="3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HTTP y blueprints por módulo</w:t>
            </w:r>
          </w:p>
        </w:tc>
        <w:tc>
          <w:tcPr>
            <w:tcW w:type="dxa" w:w="42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Delgada y comprensible, con repetición moderada.</w:t>
            </w:r>
          </w:p>
        </w:tc>
      </w:tr>
      <w:tr>
        <w:tc>
          <w:tcPr>
            <w:tcW w:type="dxa" w:w="1600"/>
            <w:tcMar>
              <w:top w:w="100" w:type="dxa"/>
              <w:start w:w="120" w:type="dxa"/>
              <w:bottom w:w="100" w:type="dxa"/>
              <w:end w:w="120" w:type="dxa"/>
            </w:tcMar>
            <w:vAlign w:val="center"/>
          </w:tcPr>
          <w:p>
            <w:pPr>
              <w:spacing w:after="0" w:line="259" w:lineRule="auto"/>
            </w:pPr>
            <w:r/>
            <w:r>
              <w:rPr>
                <w:rFonts w:ascii="Aptos" w:hAnsi="Aptos"/>
                <w:b w:val="0"/>
                <w:color w:val="000000"/>
                <w:sz w:val="18"/>
              </w:rPr>
              <w:t>templates/static</w:t>
            </w:r>
          </w:p>
        </w:tc>
        <w:tc>
          <w:tcPr>
            <w:tcW w:type="dxa" w:w="3500"/>
            <w:tcMar>
              <w:top w:w="100" w:type="dxa"/>
              <w:start w:w="120" w:type="dxa"/>
              <w:bottom w:w="100" w:type="dxa"/>
              <w:end w:w="120" w:type="dxa"/>
            </w:tcMar>
            <w:vAlign w:val="center"/>
          </w:tcPr>
          <w:p>
            <w:pPr>
              <w:spacing w:after="0" w:line="259" w:lineRule="auto"/>
            </w:pPr>
            <w:r/>
            <w:r>
              <w:rPr>
                <w:rFonts w:ascii="Aptos" w:hAnsi="Aptos"/>
                <w:b w:val="0"/>
                <w:color w:val="000000"/>
                <w:sz w:val="18"/>
              </w:rPr>
              <w:t>UI y simulación</w:t>
            </w:r>
          </w:p>
        </w:tc>
        <w:tc>
          <w:tcPr>
            <w:tcW w:type="dxa" w:w="4260"/>
            <w:tcMar>
              <w:top w:w="100" w:type="dxa"/>
              <w:start w:w="120" w:type="dxa"/>
              <w:bottom w:w="100" w:type="dxa"/>
              <w:end w:w="120" w:type="dxa"/>
            </w:tcMar>
            <w:vAlign w:val="center"/>
          </w:tcPr>
          <w:p>
            <w:pPr>
              <w:spacing w:after="0" w:line="259" w:lineRule="auto"/>
            </w:pPr>
            <w:r/>
            <w:r>
              <w:rPr>
                <w:rFonts w:ascii="Aptos" w:hAnsi="Aptos"/>
                <w:b w:val="0"/>
                <w:color w:val="000000"/>
                <w:sz w:val="18"/>
              </w:rPr>
              <w:t>Funcional, pero scripts monolíticos y duplicación.</w:t>
            </w:r>
          </w:p>
        </w:tc>
      </w:tr>
      <w:tr>
        <w:tc>
          <w:tcPr>
            <w:tcW w:type="dxa" w:w="1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docs/tads_C</w:t>
            </w:r>
          </w:p>
        </w:tc>
        <w:tc>
          <w:tcPr>
            <w:tcW w:type="dxa" w:w="3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Fuente didáctica C</w:t>
            </w:r>
          </w:p>
        </w:tc>
        <w:tc>
          <w:tcPr>
            <w:tcW w:type="dxa" w:w="42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Valiosa; debe convertirse en artefacto verificable.</w:t>
            </w:r>
          </w:p>
        </w:tc>
      </w:tr>
    </w:tbl>
    <w:p>
      <w:pPr>
        <w:spacing w:after="0"/>
      </w:pPr>
    </w:p>
    <w:p>
      <w:pPr>
        <w:pStyle w:val="Heading2"/>
        <w:keepNext/>
      </w:pPr>
      <w:r>
        <w:t>Decisiones acertadas</w:t>
      </w:r>
    </w:p>
    <w:p>
      <w:pPr>
        <w:pStyle w:val="ListBullet"/>
        <w:spacing w:after="60"/>
      </w:pPr>
      <w:r>
        <w:t>Contrato BaseAdapter estable: create, execute, to_visual_state, reset y catálogo de operaciones.</w:t>
      </w:r>
    </w:p>
    <w:p>
      <w:pPr>
        <w:pStyle w:val="ListBullet"/>
        <w:spacing w:after="60"/>
      </w:pPr>
      <w:r>
        <w:t>Application factory y blueprints: buena base para pruebas y despliegue WSGI.</w:t>
      </w:r>
    </w:p>
    <w:p>
      <w:pPr>
        <w:pStyle w:val="ListBullet"/>
        <w:spacing w:after="60"/>
      </w:pPr>
      <w:r>
        <w:t>Excepciones de dominio traducidas en servicios: evita filtrar detalles internos a la UI.</w:t>
      </w:r>
    </w:p>
    <w:p>
      <w:pPr>
        <w:pStyle w:val="ListBullet"/>
        <w:spacing w:after="60"/>
      </w:pPr>
      <w:r>
        <w:t>Sesión server-side configurable con cache local o Redis.</w:t>
      </w:r>
    </w:p>
    <w:p>
      <w:pPr>
        <w:pStyle w:val="ListBullet"/>
        <w:spacing w:after="60"/>
      </w:pPr>
      <w:r>
        <w:t>CI separa pruebas unitarias/integración de E2E e instala Chromium explícitamente.</w:t>
      </w:r>
    </w:p>
    <w:p>
      <w:pPr>
        <w:pStyle w:val="Heading2"/>
        <w:keepNext/>
      </w:pPr>
      <w:r>
        <w:t>Riesgos arquitectónicos</w:t>
      </w:r>
    </w:p>
    <w:tbl>
      <w:tblPr>
        <w:tblStyle w:val="TableGrid"/>
        <w:tblW w:type="dxa" w:w="9360"/>
        <w:tblLayout w:type="fixed"/>
        <w:tblLook w:firstColumn="1" w:firstRow="1" w:lastColumn="0" w:lastRow="0" w:noHBand="0" w:noVBand="1" w:val="04A0"/>
        <w:tblInd w:w="120" w:type="dxa"/>
      </w:tblPr>
      <w:tblGrid>
        <w:gridCol w:w="2500"/>
        <w:gridCol w:w="1300"/>
        <w:gridCol w:w="5560"/>
      </w:tblGrid>
      <w:tr>
        <w:tc>
          <w:tcPr>
            <w:tcW w:type="dxa" w:w="2500"/>
            <w:shd w:fill="203748"/>
            <w:tcMar>
              <w:top w:w="100" w:type="dxa"/>
              <w:start w:w="120" w:type="dxa"/>
              <w:bottom w:w="100" w:type="dxa"/>
              <w:end w:w="120" w:type="dxa"/>
            </w:tcMar>
            <w:vAlign w:val="center"/>
          </w:tcPr>
          <w:p>
            <w:pPr>
              <w:spacing w:after="0" w:line="259" w:lineRule="auto"/>
            </w:pPr>
            <w:r/>
            <w:r>
              <w:rPr>
                <w:rFonts w:ascii="Aptos" w:hAnsi="Aptos"/>
                <w:b/>
                <w:color w:val="FFFFFF"/>
                <w:sz w:val="17"/>
              </w:rPr>
              <w:t>Riesgo</w:t>
            </w:r>
          </w:p>
        </w:tc>
        <w:tc>
          <w:tcPr>
            <w:tcW w:type="dxa" w:w="1300"/>
            <w:shd w:fill="203748"/>
            <w:tcMar>
              <w:top w:w="100" w:type="dxa"/>
              <w:start w:w="120" w:type="dxa"/>
              <w:bottom w:w="100" w:type="dxa"/>
              <w:end w:w="120" w:type="dxa"/>
            </w:tcMar>
            <w:vAlign w:val="center"/>
          </w:tcPr>
          <w:p>
            <w:pPr>
              <w:spacing w:after="0" w:line="259" w:lineRule="auto"/>
            </w:pPr>
            <w:r/>
            <w:r>
              <w:rPr>
                <w:rFonts w:ascii="Aptos" w:hAnsi="Aptos"/>
                <w:b/>
                <w:color w:val="FFFFFF"/>
                <w:sz w:val="17"/>
              </w:rPr>
              <w:t>Severidad</w:t>
            </w:r>
          </w:p>
        </w:tc>
        <w:tc>
          <w:tcPr>
            <w:tcW w:type="dxa" w:w="5560"/>
            <w:shd w:fill="203748"/>
            <w:tcMar>
              <w:top w:w="100" w:type="dxa"/>
              <w:start w:w="120" w:type="dxa"/>
              <w:bottom w:w="100" w:type="dxa"/>
              <w:end w:w="120" w:type="dxa"/>
            </w:tcMar>
            <w:vAlign w:val="center"/>
          </w:tcPr>
          <w:p>
            <w:pPr>
              <w:spacing w:after="0" w:line="259" w:lineRule="auto"/>
            </w:pPr>
            <w:r/>
            <w:r>
              <w:rPr>
                <w:rFonts w:ascii="Aptos" w:hAnsi="Aptos"/>
                <w:b/>
                <w:color w:val="FFFFFF"/>
                <w:sz w:val="17"/>
              </w:rPr>
              <w:t>Evidencia / efecto</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Servicio de trazas monolítico</w:t>
            </w:r>
          </w:p>
        </w:tc>
        <w:tc>
          <w:tcPr>
            <w:tcW w:type="dxa" w:w="1300"/>
            <w:tcMar>
              <w:top w:w="100" w:type="dxa"/>
              <w:start w:w="120" w:type="dxa"/>
              <w:bottom w:w="100" w:type="dxa"/>
              <w:end w:w="120" w:type="dxa"/>
            </w:tcMar>
            <w:vAlign w:val="center"/>
          </w:tcPr>
          <w:p>
            <w:pPr>
              <w:spacing w:after="0" w:line="259" w:lineRule="auto"/>
            </w:pPr>
            <w:r/>
            <w:r>
              <w:rPr>
                <w:rFonts w:ascii="Aptos" w:hAnsi="Aptos"/>
                <w:b w:val="0"/>
                <w:color w:val="000000"/>
                <w:sz w:val="18"/>
              </w:rPr>
              <w:t>Alta</w:t>
            </w:r>
          </w:p>
        </w:tc>
        <w:tc>
          <w:tcPr>
            <w:tcW w:type="dxa" w:w="5560"/>
            <w:tcMar>
              <w:top w:w="100" w:type="dxa"/>
              <w:start w:w="120" w:type="dxa"/>
              <w:bottom w:w="100" w:type="dxa"/>
              <w:end w:w="120" w:type="dxa"/>
            </w:tcMar>
            <w:vAlign w:val="center"/>
          </w:tcPr>
          <w:p>
            <w:pPr>
              <w:spacing w:after="0" w:line="259" w:lineRule="auto"/>
            </w:pPr>
            <w:r/>
            <w:r>
              <w:rPr>
                <w:rFonts w:ascii="Aptos" w:hAnsi="Aptos"/>
                <w:b w:val="0"/>
                <w:color w:val="000000"/>
                <w:sz w:val="18"/>
              </w:rPr>
              <w:t>4.309 líneas; mezcla parser heurístico, control de flujo, snapshots y reglas por estructura.</w:t>
            </w:r>
          </w:p>
        </w:tc>
      </w:tr>
      <w:tr>
        <w:tc>
          <w:tcPr>
            <w:tcW w:type="dxa" w:w="2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Replay completo por petición</w:t>
            </w:r>
          </w:p>
        </w:tc>
        <w:tc>
          <w:tcPr>
            <w:tcW w:type="dxa" w:w="13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Media-Alta</w:t>
            </w:r>
          </w:p>
        </w:tc>
        <w:tc>
          <w:tcPr>
            <w:tcW w:type="dxa" w:w="55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Reconstruye el TAD desde hasta 300 comandos; latencia y memoria crecen con el historial.</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Duplicación por familia</w:t>
            </w:r>
          </w:p>
        </w:tc>
        <w:tc>
          <w:tcPr>
            <w:tcW w:type="dxa" w:w="1300"/>
            <w:tcMar>
              <w:top w:w="100" w:type="dxa"/>
              <w:start w:w="120" w:type="dxa"/>
              <w:bottom w:w="100" w:type="dxa"/>
              <w:end w:w="120" w:type="dxa"/>
            </w:tcMar>
            <w:vAlign w:val="center"/>
          </w:tcPr>
          <w:p>
            <w:pPr>
              <w:spacing w:after="0" w:line="259" w:lineRule="auto"/>
            </w:pPr>
            <w:r/>
            <w:r>
              <w:rPr>
                <w:rFonts w:ascii="Aptos" w:hAnsi="Aptos"/>
                <w:b w:val="0"/>
                <w:color w:val="000000"/>
                <w:sz w:val="18"/>
              </w:rPr>
              <w:t>Media</w:t>
            </w:r>
          </w:p>
        </w:tc>
        <w:tc>
          <w:tcPr>
            <w:tcW w:type="dxa" w:w="5560"/>
            <w:tcMar>
              <w:top w:w="100" w:type="dxa"/>
              <w:start w:w="120" w:type="dxa"/>
              <w:bottom w:w="100" w:type="dxa"/>
              <w:end w:w="120" w:type="dxa"/>
            </w:tcMar>
            <w:vAlign w:val="center"/>
          </w:tcPr>
          <w:p>
            <w:pPr>
              <w:spacing w:after="0" w:line="259" w:lineRule="auto"/>
            </w:pPr>
            <w:r/>
            <w:r>
              <w:rPr>
                <w:rFonts w:ascii="Aptos" w:hAnsi="Aptos"/>
                <w:b w:val="0"/>
                <w:color w:val="000000"/>
                <w:sz w:val="18"/>
              </w:rPr>
              <w:t>Servicios y JS repiten flujos similares, dificultando correcciones transversales.</w:t>
            </w:r>
          </w:p>
        </w:tc>
      </w:tr>
      <w:tr>
        <w:tc>
          <w:tcPr>
            <w:tcW w:type="dxa" w:w="2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Acoplamiento a texto C</w:t>
            </w:r>
          </w:p>
        </w:tc>
        <w:tc>
          <w:tcPr>
            <w:tcW w:type="dxa" w:w="13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Alta</w:t>
            </w:r>
          </w:p>
        </w:tc>
        <w:tc>
          <w:tcPr>
            <w:tcW w:type="dxa" w:w="55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Búsquedas de líneas normalizadas son frágiles ante cambios de formato o refactor C.</w:t>
            </w:r>
          </w:p>
        </w:tc>
      </w:tr>
      <w:tr>
        <w:tc>
          <w:tcPr>
            <w:tcW w:type="dxa" w:w="2500"/>
            <w:tcMar>
              <w:top w:w="100" w:type="dxa"/>
              <w:start w:w="120" w:type="dxa"/>
              <w:bottom w:w="100" w:type="dxa"/>
              <w:end w:w="120" w:type="dxa"/>
            </w:tcMar>
            <w:vAlign w:val="center"/>
          </w:tcPr>
          <w:p>
            <w:pPr>
              <w:spacing w:after="0" w:line="259" w:lineRule="auto"/>
            </w:pPr>
            <w:r/>
            <w:r>
              <w:rPr>
                <w:rFonts w:ascii="Aptos" w:hAnsi="Aptos"/>
                <w:b w:val="0"/>
                <w:color w:val="000000"/>
                <w:sz w:val="18"/>
              </w:rPr>
              <w:t>Estado de especificaciones</w:t>
            </w:r>
          </w:p>
        </w:tc>
        <w:tc>
          <w:tcPr>
            <w:tcW w:type="dxa" w:w="1300"/>
            <w:tcMar>
              <w:top w:w="100" w:type="dxa"/>
              <w:start w:w="120" w:type="dxa"/>
              <w:bottom w:w="100" w:type="dxa"/>
              <w:end w:w="120" w:type="dxa"/>
            </w:tcMar>
            <w:vAlign w:val="center"/>
          </w:tcPr>
          <w:p>
            <w:pPr>
              <w:spacing w:after="0" w:line="259" w:lineRule="auto"/>
            </w:pPr>
            <w:r/>
            <w:r>
              <w:rPr>
                <w:rFonts w:ascii="Aptos" w:hAnsi="Aptos"/>
                <w:b w:val="0"/>
                <w:color w:val="000000"/>
                <w:sz w:val="18"/>
              </w:rPr>
              <w:t>Media</w:t>
            </w:r>
          </w:p>
        </w:tc>
        <w:tc>
          <w:tcPr>
            <w:tcW w:type="dxa" w:w="5560"/>
            <w:tcMar>
              <w:top w:w="100" w:type="dxa"/>
              <w:start w:w="120" w:type="dxa"/>
              <w:bottom w:w="100" w:type="dxa"/>
              <w:end w:w="120" w:type="dxa"/>
            </w:tcMar>
            <w:vAlign w:val="center"/>
          </w:tcPr>
          <w:p>
            <w:pPr>
              <w:spacing w:after="0" w:line="259" w:lineRule="auto"/>
            </w:pPr>
            <w:r/>
            <w:r>
              <w:rPr>
                <w:rFonts w:ascii="Aptos" w:hAnsi="Aptos"/>
                <w:b w:val="0"/>
                <w:color w:val="000000"/>
                <w:sz w:val="18"/>
              </w:rPr>
              <w:t>openspec/ aparece sin seguimiento en Git; posible divergencia documental.</w:t>
            </w:r>
          </w:p>
        </w:tc>
      </w:tr>
    </w:tbl>
    <w:p>
      <w:pPr>
        <w:spacing w:after="0"/>
      </w:pPr>
    </w:p>
    <w:p>
      <w:pPr>
        <w:pStyle w:val="Heading1"/>
        <w:keepNext/>
      </w:pPr>
      <w:r>
        <w:t>5. Implementación de estructuras de datos y C estándar</w:t>
      </w:r>
    </w:p>
    <w:p>
      <w:r>
        <w:t>La colección C contiene 13 implementaciones con cabeceras separadas. Todas compilaron como unidades bajo C17 con advertencias estrictas. Esto es una señal positiva de portabilidad sintáctica, pero no prueba ausencia de fugas, accesos inválidos, overflow, comportamiento indefinido ni equivalencia con el dominio Python.</w:t>
      </w:r>
    </w:p>
    <w:p>
      <w:pPr>
        <w:pStyle w:val="Heading2"/>
        <w:keepNext/>
      </w:pPr>
      <w:r>
        <w:t>Aspectos positivos</w:t>
      </w:r>
    </w:p>
    <w:p>
      <w:pPr>
        <w:pStyle w:val="ListBullet"/>
        <w:spacing w:after="60"/>
      </w:pPr>
      <w:r>
        <w:t>Separación .h/.c y nombres por TAD favorecen encapsulación y uso didáctico.</w:t>
      </w:r>
    </w:p>
    <w:p>
      <w:pPr>
        <w:pStyle w:val="ListBullet"/>
        <w:spacing w:after="60"/>
      </w:pPr>
      <w:r>
        <w:t>La aplicación muestra fragmentos reales en lugar de pseudocódigo inventado cuando existe mapeo.</w:t>
      </w:r>
    </w:p>
    <w:p>
      <w:pPr>
        <w:pStyle w:val="ListBullet"/>
        <w:spacing w:after="60"/>
      </w:pPr>
      <w:r>
        <w:t>Pruebas de trazas verifican ramas, bucles, llamadas recursivas y estados finales en varios algoritmos.</w:t>
      </w:r>
    </w:p>
    <w:p>
      <w:pPr>
        <w:pStyle w:val="ListBullet"/>
        <w:spacing w:after="60"/>
      </w:pPr>
      <w:r>
        <w:t>Se rechazan casos conceptualmente inválidos, por ejemplo Dijkstra con pesos negativos y MST en grafos dirigidos.</w:t>
      </w:r>
    </w:p>
    <w:p>
      <w:pPr>
        <w:pStyle w:val="Heading2"/>
        <w:keepNext/>
      </w:pPr>
      <w:r>
        <w:t>Brechas técnicas</w:t>
      </w:r>
    </w:p>
    <w:p>
      <w:pPr>
        <w:pStyle w:val="ListBullet"/>
        <w:spacing w:after="60"/>
      </w:pPr>
      <w:r>
        <w:t>No hay un ejecutable/harness C por TAD con casos de prueba automatizados.</w:t>
      </w:r>
    </w:p>
    <w:p>
      <w:pPr>
        <w:pStyle w:val="ListBullet"/>
        <w:spacing w:after="60"/>
      </w:pPr>
      <w:r>
        <w:t>No se ejecutan sanitizers (AddressSanitizer/UndefinedBehaviorSanitizer) ni análisis estático de C en CI.</w:t>
      </w:r>
    </w:p>
    <w:p>
      <w:pPr>
        <w:pStyle w:val="ListBullet"/>
        <w:spacing w:after="60"/>
      </w:pPr>
      <w:r>
        <w:t>La paridad Python–C se presupone por nombres y trazas, no se compara sobre secuencias aleatorias de operaciones.</w:t>
      </w:r>
    </w:p>
    <w:p>
      <w:pPr>
        <w:pStyle w:val="ListBullet"/>
        <w:spacing w:after="60"/>
      </w:pPr>
      <w:r>
        <w:t>La extracción textual de funciones C puede romperse con macros, firmas multilínea, comentarios o cambios de estilo.</w:t>
      </w:r>
    </w:p>
    <w:p>
      <w:pPr>
        <w:pStyle w:val="ListBullet"/>
        <w:spacing w:after="60"/>
      </w:pPr>
      <w:r>
        <w:t>Las API C deberían documentar propiedad de memoria, pre/postcondiciones, invariantes y códigos de error de manera uniforme.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FFF6E5"/>
          </w:tcPr>
          <w:p>
            <w:pPr>
              <w:spacing w:after="0"/>
            </w:pPr>
            <w:r>
              <w:rPr>
                <w:b/>
                <w:color w:val="B88B35"/>
              </w:rPr>
              <w:t xml:space="preserve">RECOMENDACIÓN CENTRAL  </w:t>
            </w:r>
            <w:r>
              <w:t>Construir una prueba diferencial: generar una secuencia de comandos, ejecutarla tanto contra un harness C como contra el modelo Python y comparar estado observable, resultado y errores. Es la mejora con mayor impacto en confianza técnica.</w:t>
            </w:r>
          </w:p>
        </w:tc>
      </w:tr>
    </w:tbl>
    <w:p>
      <w:pPr>
        <w:spacing w:after="0"/>
      </w:pPr>
    </w:p>
    <w:p>
      <w:pPr>
        <w:pStyle w:val="Heading1"/>
        <w:keepNext/>
      </w:pPr>
      <w:r>
        <w:t>6. Calidad, pruebas y operación</w:t>
      </w:r>
    </w:p>
    <w:tbl>
      <w:tblPr>
        <w:tblStyle w:val="TableGrid"/>
        <w:tblW w:type="dxa" w:w="9360"/>
        <w:tblLayout w:type="fixed"/>
        <w:tblLook w:firstColumn="1" w:firstRow="1" w:lastColumn="0" w:lastRow="0" w:noHBand="0" w:noVBand="1" w:val="04A0"/>
        <w:tblInd w:w="120" w:type="dxa"/>
      </w:tblPr>
      <w:tblGrid>
        <w:gridCol w:w="2100"/>
        <w:gridCol w:w="2200"/>
        <w:gridCol w:w="5060"/>
      </w:tblGrid>
      <w:tr>
        <w:tc>
          <w:tcPr>
            <w:tcW w:type="dxa" w:w="2100"/>
            <w:shd w:fill="203748"/>
            <w:tcMar>
              <w:top w:w="100" w:type="dxa"/>
              <w:start w:w="120" w:type="dxa"/>
              <w:bottom w:w="100" w:type="dxa"/>
              <w:end w:w="120" w:type="dxa"/>
            </w:tcMar>
            <w:vAlign w:val="center"/>
          </w:tcPr>
          <w:p>
            <w:pPr>
              <w:spacing w:after="0" w:line="259" w:lineRule="auto"/>
            </w:pPr>
            <w:r/>
            <w:r>
              <w:rPr>
                <w:rFonts w:ascii="Aptos" w:hAnsi="Aptos"/>
                <w:b/>
                <w:color w:val="FFFFFF"/>
                <w:sz w:val="17"/>
              </w:rPr>
              <w:t>Área</w:t>
            </w:r>
          </w:p>
        </w:tc>
        <w:tc>
          <w:tcPr>
            <w:tcW w:type="dxa" w:w="2200"/>
            <w:shd w:fill="203748"/>
            <w:tcMar>
              <w:top w:w="100" w:type="dxa"/>
              <w:start w:w="120" w:type="dxa"/>
              <w:bottom w:w="100" w:type="dxa"/>
              <w:end w:w="120" w:type="dxa"/>
            </w:tcMar>
            <w:vAlign w:val="center"/>
          </w:tcPr>
          <w:p>
            <w:pPr>
              <w:spacing w:after="0" w:line="259" w:lineRule="auto"/>
            </w:pPr>
            <w:r/>
            <w:r>
              <w:rPr>
                <w:rFonts w:ascii="Aptos" w:hAnsi="Aptos"/>
                <w:b/>
                <w:color w:val="FFFFFF"/>
                <w:sz w:val="17"/>
              </w:rPr>
              <w:t>Estado</w:t>
            </w:r>
          </w:p>
        </w:tc>
        <w:tc>
          <w:tcPr>
            <w:tcW w:type="dxa" w:w="5060"/>
            <w:shd w:fill="203748"/>
            <w:tcMar>
              <w:top w:w="100" w:type="dxa"/>
              <w:start w:w="120" w:type="dxa"/>
              <w:bottom w:w="100" w:type="dxa"/>
              <w:end w:w="120" w:type="dxa"/>
            </w:tcMar>
            <w:vAlign w:val="center"/>
          </w:tcPr>
          <w:p>
            <w:pPr>
              <w:spacing w:after="0" w:line="259" w:lineRule="auto"/>
            </w:pPr>
            <w:r/>
            <w:r>
              <w:rPr>
                <w:rFonts w:ascii="Aptos" w:hAnsi="Aptos"/>
                <w:b/>
                <w:color w:val="FFFFFF"/>
                <w:sz w:val="17"/>
              </w:rPr>
              <w:t>Observación</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Unitarias/integración</w:t>
            </w:r>
          </w:p>
        </w:tc>
        <w:tc>
          <w:tcPr>
            <w:tcW w:type="dxa" w:w="2200"/>
            <w:tcMar>
              <w:top w:w="100" w:type="dxa"/>
              <w:start w:w="120" w:type="dxa"/>
              <w:bottom w:w="100" w:type="dxa"/>
              <w:end w:w="120" w:type="dxa"/>
            </w:tcMar>
            <w:vAlign w:val="center"/>
          </w:tcPr>
          <w:p>
            <w:pPr>
              <w:spacing w:after="0" w:line="259" w:lineRule="auto"/>
            </w:pPr>
            <w:r/>
            <w:r>
              <w:rPr>
                <w:rFonts w:ascii="Aptos" w:hAnsi="Aptos"/>
                <w:b w:val="0"/>
                <w:color w:val="000000"/>
                <w:sz w:val="18"/>
              </w:rPr>
              <w:t>Fuerte</w:t>
            </w:r>
          </w:p>
        </w:tc>
        <w:tc>
          <w:tcPr>
            <w:tcW w:type="dxa" w:w="5060"/>
            <w:tcMar>
              <w:top w:w="100" w:type="dxa"/>
              <w:start w:w="120" w:type="dxa"/>
              <w:bottom w:w="100" w:type="dxa"/>
              <w:end w:w="120" w:type="dxa"/>
            </w:tcMar>
            <w:vAlign w:val="center"/>
          </w:tcPr>
          <w:p>
            <w:pPr>
              <w:spacing w:after="0" w:line="259" w:lineRule="auto"/>
            </w:pPr>
            <w:r/>
            <w:r>
              <w:rPr>
                <w:rFonts w:ascii="Aptos" w:hAnsi="Aptos"/>
                <w:b w:val="0"/>
                <w:color w:val="000000"/>
                <w:sz w:val="18"/>
              </w:rPr>
              <w:t>284 pasan localmente; buena segmentación por módulo.</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Cobertura</w:t>
            </w:r>
          </w:p>
        </w:tc>
        <w:tc>
          <w:tcPr>
            <w:tcW w:type="dxa" w:w="2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Buena pero irregular</w:t>
            </w:r>
          </w:p>
        </w:tc>
        <w:tc>
          <w:tcPr>
            <w:tcW w:type="dxa" w:w="5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83% global; sorting 39%, grafo 49% y hash 59% en dominio.</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E2E</w:t>
            </w:r>
          </w:p>
        </w:tc>
        <w:tc>
          <w:tcPr>
            <w:tcW w:type="dxa" w:w="2200"/>
            <w:tcMar>
              <w:top w:w="100" w:type="dxa"/>
              <w:start w:w="120" w:type="dxa"/>
              <w:bottom w:w="100" w:type="dxa"/>
              <w:end w:w="120" w:type="dxa"/>
            </w:tcMar>
            <w:vAlign w:val="center"/>
          </w:tcPr>
          <w:p>
            <w:pPr>
              <w:spacing w:after="0" w:line="259" w:lineRule="auto"/>
            </w:pPr>
            <w:r/>
            <w:r>
              <w:rPr>
                <w:rFonts w:ascii="Aptos" w:hAnsi="Aptos"/>
                <w:b w:val="0"/>
                <w:color w:val="000000"/>
                <w:sz w:val="18"/>
              </w:rPr>
              <w:t>Configuración incompleta local</w:t>
            </w:r>
          </w:p>
        </w:tc>
        <w:tc>
          <w:tcPr>
            <w:tcW w:type="dxa" w:w="5060"/>
            <w:tcMar>
              <w:top w:w="100" w:type="dxa"/>
              <w:start w:w="120" w:type="dxa"/>
              <w:bottom w:w="100" w:type="dxa"/>
              <w:end w:w="120" w:type="dxa"/>
            </w:tcMar>
            <w:vAlign w:val="center"/>
          </w:tcPr>
          <w:p>
            <w:pPr>
              <w:spacing w:after="0" w:line="259" w:lineRule="auto"/>
            </w:pPr>
            <w:r/>
            <w:r>
              <w:rPr>
                <w:rFonts w:ascii="Aptos" w:hAnsi="Aptos"/>
                <w:b w:val="0"/>
                <w:color w:val="000000"/>
                <w:sz w:val="18"/>
              </w:rPr>
              <w:t>9 casos requieren instalar Chromium; CI sí lo contempla.</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Rendimiento</w:t>
            </w:r>
          </w:p>
        </w:tc>
        <w:tc>
          <w:tcPr>
            <w:tcW w:type="dxa" w:w="2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No demostrado</w:t>
            </w:r>
          </w:p>
        </w:tc>
        <w:tc>
          <w:tcPr>
            <w:tcW w:type="dxa" w:w="5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RNF de latencia/concurrencia existen, pero faltan benchmarks y carga.</w:t>
            </w:r>
          </w:p>
        </w:tc>
      </w:tr>
      <w:tr>
        <w:tc>
          <w:tcPr>
            <w:tcW w:type="dxa" w:w="2100"/>
            <w:tcMar>
              <w:top w:w="100" w:type="dxa"/>
              <w:start w:w="120" w:type="dxa"/>
              <w:bottom w:w="100" w:type="dxa"/>
              <w:end w:w="120" w:type="dxa"/>
            </w:tcMar>
            <w:vAlign w:val="center"/>
          </w:tcPr>
          <w:p>
            <w:pPr>
              <w:spacing w:after="0" w:line="259" w:lineRule="auto"/>
            </w:pPr>
            <w:r/>
            <w:r>
              <w:rPr>
                <w:rFonts w:ascii="Aptos" w:hAnsi="Aptos"/>
                <w:b w:val="0"/>
                <w:color w:val="000000"/>
                <w:sz w:val="18"/>
              </w:rPr>
              <w:t>Seguridad</w:t>
            </w:r>
          </w:p>
        </w:tc>
        <w:tc>
          <w:tcPr>
            <w:tcW w:type="dxa" w:w="2200"/>
            <w:tcMar>
              <w:top w:w="100" w:type="dxa"/>
              <w:start w:w="120" w:type="dxa"/>
              <w:bottom w:w="100" w:type="dxa"/>
              <w:end w:w="120" w:type="dxa"/>
            </w:tcMar>
            <w:vAlign w:val="center"/>
          </w:tcPr>
          <w:p>
            <w:pPr>
              <w:spacing w:after="0" w:line="259" w:lineRule="auto"/>
            </w:pPr>
            <w:r/>
            <w:r>
              <w:rPr>
                <w:rFonts w:ascii="Aptos" w:hAnsi="Aptos"/>
                <w:b w:val="0"/>
                <w:color w:val="000000"/>
                <w:sz w:val="18"/>
              </w:rPr>
              <w:t>Parcial</w:t>
            </w:r>
          </w:p>
        </w:tc>
        <w:tc>
          <w:tcPr>
            <w:tcW w:type="dxa" w:w="5060"/>
            <w:tcMar>
              <w:top w:w="100" w:type="dxa"/>
              <w:start w:w="120" w:type="dxa"/>
              <w:bottom w:w="100" w:type="dxa"/>
              <w:end w:w="120" w:type="dxa"/>
            </w:tcMar>
            <w:vAlign w:val="center"/>
          </w:tcPr>
          <w:p>
            <w:pPr>
              <w:spacing w:after="0" w:line="259" w:lineRule="auto"/>
            </w:pPr>
            <w:r/>
            <w:r>
              <w:rPr>
                <w:rFonts w:ascii="Aptos" w:hAnsi="Aptos"/>
                <w:b w:val="0"/>
                <w:color w:val="000000"/>
                <w:sz w:val="18"/>
              </w:rPr>
              <w:t>Cookies razonables; clave de desarrollo y ProxyFix habilitado por defecto requieren endurecimiento.</w:t>
            </w:r>
          </w:p>
        </w:tc>
      </w:tr>
      <w:tr>
        <w:tc>
          <w:tcPr>
            <w:tcW w:type="dxa" w:w="21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Observabilidad</w:t>
            </w:r>
          </w:p>
        </w:tc>
        <w:tc>
          <w:tcPr>
            <w:tcW w:type="dxa" w:w="22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Básica</w:t>
            </w:r>
          </w:p>
        </w:tc>
        <w:tc>
          <w:tcPr>
            <w:tcW w:type="dxa" w:w="50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Healthcheck disponible; faltan logs estructurados, métricas y trazas.</w:t>
            </w:r>
          </w:p>
        </w:tc>
      </w:tr>
    </w:tbl>
    <w:p>
      <w:pPr>
        <w:spacing w:after="0"/>
      </w:pPr>
    </w:p>
    <w:p>
      <w:r>
        <w:t>La cobertura debe interpretarse por criticidad, no solo por promedio. Los porcentajes bajos afectan precisamente motores algorítmicos: app/domain/sorting/tad_ordenamiento.py (39%), app/domain/graph/tad_grafo.py (49%), app/domain/hash/tad_tabla_hash.py (59%) y el montículo jerárquico (59%).</w:t>
      </w:r>
    </w:p>
    <w:p>
      <w:r>
        <w:br w:type="page"/>
      </w:r>
    </w:p>
    <w:p>
      <w:pPr>
        <w:pStyle w:val="Heading1"/>
        <w:keepNext/>
      </w:pPr>
      <w:r>
        <w:t>7. Mejoras recomendadas y prioridad</w:t>
      </w:r>
    </w:p>
    <w:tbl>
      <w:tblPr>
        <w:tblStyle w:val="TableGrid"/>
        <w:tblW w:type="dxa" w:w="8450"/>
        <w:tblLayout w:type="fixed"/>
        <w:tblLook w:firstColumn="1" w:firstRow="1" w:lastColumn="0" w:lastRow="0" w:noHBand="0" w:noVBand="1" w:val="04A0"/>
        <w:tblInd w:w="120" w:type="dxa"/>
      </w:tblPr>
      <w:tblGrid>
        <w:gridCol w:w="600"/>
        <w:gridCol w:w="4050"/>
        <w:gridCol w:w="900"/>
        <w:gridCol w:w="1500"/>
        <w:gridCol w:w="1400"/>
      </w:tblGrid>
      <w:tr>
        <w:tc>
          <w:tcPr>
            <w:tcW w:type="dxa" w:w="600"/>
            <w:shd w:fill="203748"/>
            <w:tcMar>
              <w:top w:w="100" w:type="dxa"/>
              <w:start w:w="120" w:type="dxa"/>
              <w:bottom w:w="100" w:type="dxa"/>
              <w:end w:w="120" w:type="dxa"/>
            </w:tcMar>
            <w:vAlign w:val="center"/>
          </w:tcPr>
          <w:p>
            <w:pPr>
              <w:spacing w:after="0" w:line="259" w:lineRule="auto"/>
            </w:pPr>
            <w:r/>
            <w:r>
              <w:rPr>
                <w:rFonts w:ascii="Aptos" w:hAnsi="Aptos"/>
                <w:b/>
                <w:color w:val="FFFFFF"/>
                <w:sz w:val="17"/>
              </w:rPr>
              <w:t>ID</w:t>
            </w:r>
          </w:p>
        </w:tc>
        <w:tc>
          <w:tcPr>
            <w:tcW w:type="dxa" w:w="4050"/>
            <w:shd w:fill="203748"/>
            <w:tcMar>
              <w:top w:w="100" w:type="dxa"/>
              <w:start w:w="120" w:type="dxa"/>
              <w:bottom w:w="100" w:type="dxa"/>
              <w:end w:w="120" w:type="dxa"/>
            </w:tcMar>
            <w:vAlign w:val="center"/>
          </w:tcPr>
          <w:p>
            <w:pPr>
              <w:spacing w:after="0" w:line="259" w:lineRule="auto"/>
            </w:pPr>
            <w:r/>
            <w:r>
              <w:rPr>
                <w:rFonts w:ascii="Aptos" w:hAnsi="Aptos"/>
                <w:b/>
                <w:color w:val="FFFFFF"/>
                <w:sz w:val="17"/>
              </w:rPr>
              <w:t>Mejora</w:t>
            </w:r>
          </w:p>
        </w:tc>
        <w:tc>
          <w:tcPr>
            <w:tcW w:type="dxa" w:w="900"/>
            <w:shd w:fill="203748"/>
            <w:tcMar>
              <w:top w:w="100" w:type="dxa"/>
              <w:start w:w="120" w:type="dxa"/>
              <w:bottom w:w="100" w:type="dxa"/>
              <w:end w:w="120" w:type="dxa"/>
            </w:tcMar>
            <w:vAlign w:val="center"/>
          </w:tcPr>
          <w:p>
            <w:pPr>
              <w:spacing w:after="0" w:line="259" w:lineRule="auto"/>
            </w:pPr>
            <w:r/>
            <w:r>
              <w:rPr>
                <w:rFonts w:ascii="Aptos" w:hAnsi="Aptos"/>
                <w:b/>
                <w:color w:val="FFFFFF"/>
                <w:sz w:val="17"/>
              </w:rPr>
              <w:t>Prioridad</w:t>
            </w:r>
          </w:p>
        </w:tc>
        <w:tc>
          <w:tcPr>
            <w:tcW w:type="dxa" w:w="1500"/>
            <w:shd w:fill="203748"/>
            <w:tcMar>
              <w:top w:w="100" w:type="dxa"/>
              <w:start w:w="120" w:type="dxa"/>
              <w:bottom w:w="100" w:type="dxa"/>
              <w:end w:w="120" w:type="dxa"/>
            </w:tcMar>
            <w:vAlign w:val="center"/>
          </w:tcPr>
          <w:p>
            <w:pPr>
              <w:spacing w:after="0" w:line="259" w:lineRule="auto"/>
            </w:pPr>
            <w:r/>
            <w:r>
              <w:rPr>
                <w:rFonts w:ascii="Aptos" w:hAnsi="Aptos"/>
                <w:b/>
                <w:color w:val="FFFFFF"/>
                <w:sz w:val="17"/>
              </w:rPr>
              <w:t>Impacto</w:t>
            </w:r>
          </w:p>
        </w:tc>
        <w:tc>
          <w:tcPr>
            <w:tcW w:type="dxa" w:w="1400"/>
            <w:shd w:fill="203748"/>
            <w:tcMar>
              <w:top w:w="100" w:type="dxa"/>
              <w:start w:w="120" w:type="dxa"/>
              <w:bottom w:w="100" w:type="dxa"/>
              <w:end w:w="120" w:type="dxa"/>
            </w:tcMar>
            <w:vAlign w:val="center"/>
          </w:tcPr>
          <w:p>
            <w:pPr>
              <w:spacing w:after="0" w:line="259" w:lineRule="auto"/>
            </w:pPr>
            <w:r/>
            <w:r>
              <w:rPr>
                <w:rFonts w:ascii="Aptos" w:hAnsi="Aptos"/>
                <w:b/>
                <w:color w:val="FFFFFF"/>
                <w:sz w:val="17"/>
              </w:rPr>
              <w:t>Esfuerzo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M1</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Dividir ExecutionTraceService por motor y estrategia de TAD</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P0</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Muy alto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M2</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Harness C + pruebas diferenciales Python↔C</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P0</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Muy alto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Medio-Alto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M3</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Checkpoint de estado para limitar replay</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M4</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Parser C con AST o manifiesto de metadatos</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M5</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Subir cobertura de motores algorítmicos a ≥85%</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M6</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Componentes JS comunes para consola, historial y playback</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M7</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Sanitizers y análisis estático C en CI</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Bajo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M8</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Endurecer defaults de producción y validar config</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P1</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Alto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Bajo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M9</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Pruebas de carga, métricas y logs estructurados</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P2</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M10</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Accesibilidad automatizada y navegación por teclado</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P2</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tcMar>
              <w:top w:w="100" w:type="dxa"/>
              <w:start w:w="120" w:type="dxa"/>
              <w:bottom w:w="100" w:type="dxa"/>
              <w:end w:w="120" w:type="dxa"/>
            </w:tcMar>
            <w:vAlign w:val="center"/>
          </w:tcPr>
          <w:p>
            <w:pPr>
              <w:spacing w:after="0" w:line="259" w:lineRule="auto"/>
            </w:pPr>
            <w:r/>
            <w:r>
              <w:rPr>
                <w:rFonts w:ascii="Aptos" w:hAnsi="Aptos"/>
                <w:b w:val="0"/>
                <w:color w:val="000000"/>
                <w:sz w:val="18"/>
              </w:rPr>
              <w:t>M11</w:t>
            </w:r>
          </w:p>
        </w:tc>
        <w:tc>
          <w:tcPr>
            <w:tcW w:type="dxa" w:w="4050"/>
            <w:tcMar>
              <w:top w:w="100" w:type="dxa"/>
              <w:start w:w="120" w:type="dxa"/>
              <w:bottom w:w="100" w:type="dxa"/>
              <w:end w:w="120" w:type="dxa"/>
            </w:tcMar>
            <w:vAlign w:val="center"/>
          </w:tcPr>
          <w:p>
            <w:pPr>
              <w:spacing w:after="0" w:line="259" w:lineRule="auto"/>
            </w:pPr>
            <w:r/>
            <w:r>
              <w:rPr>
                <w:rFonts w:ascii="Aptos" w:hAnsi="Aptos"/>
                <w:b w:val="0"/>
                <w:color w:val="000000"/>
                <w:sz w:val="18"/>
              </w:rPr>
              <w:t>Visualizar invariantes y complejidad</w:t>
            </w:r>
          </w:p>
        </w:tc>
        <w:tc>
          <w:tcPr>
            <w:tcW w:type="dxa" w:w="900"/>
            <w:tcMar>
              <w:top w:w="100" w:type="dxa"/>
              <w:start w:w="120" w:type="dxa"/>
              <w:bottom w:w="100" w:type="dxa"/>
              <w:end w:w="120" w:type="dxa"/>
            </w:tcMar>
            <w:vAlign w:val="center"/>
          </w:tcPr>
          <w:p>
            <w:pPr>
              <w:spacing w:after="0" w:line="259" w:lineRule="auto"/>
            </w:pPr>
            <w:r/>
            <w:r>
              <w:rPr>
                <w:rFonts w:ascii="Aptos" w:hAnsi="Aptos"/>
                <w:b w:val="0"/>
                <w:color w:val="000000"/>
                <w:sz w:val="18"/>
              </w:rPr>
              <w:t>P2</w:t>
            </w:r>
          </w:p>
        </w:tc>
        <w:tc>
          <w:tcPr>
            <w:tcW w:type="dxa" w:w="1500"/>
            <w:tcMar>
              <w:top w:w="100" w:type="dxa"/>
              <w:start w:w="120" w:type="dxa"/>
              <w:bottom w:w="100" w:type="dxa"/>
              <w:end w:w="120" w:type="dxa"/>
            </w:tcMar>
            <w:vAlign w:val="center"/>
          </w:tcPr>
          <w:p>
            <w:pPr>
              <w:spacing w:after="0" w:line="259" w:lineRule="auto"/>
            </w:pPr>
            <w:r/>
            <w:r>
              <w:rPr>
                <w:rFonts w:ascii="Aptos" w:hAnsi="Aptos"/>
                <w:b w:val="0"/>
                <w:color w:val="000000"/>
                <w:sz w:val="18"/>
              </w:rPr>
              <w:t>Alto didáctico</w:t>
            </w:r>
          </w:p>
        </w:tc>
        <w:tc>
          <w:tcPr>
            <w:tcW w:type="dxa" w:w="1400"/>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r>
      <w:tr>
        <w:tc>
          <w:tcPr>
            <w:tcW w:type="dxa" w:w="6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M12</w:t>
            </w:r>
          </w:p>
        </w:tc>
        <w:tc>
          <w:tcPr>
            <w:tcW w:type="dxa" w:w="405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Resolver versionado de openspec/ y ADR</w:t>
            </w:r>
          </w:p>
        </w:tc>
        <w:tc>
          <w:tcPr>
            <w:tcW w:type="dxa" w:w="9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P2</w:t>
            </w:r>
          </w:p>
        </w:tc>
        <w:tc>
          <w:tcPr>
            <w:tcW w:type="dxa" w:w="15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Medio</w:t>
            </w:r>
          </w:p>
        </w:tc>
        <w:tc>
          <w:tcPr>
            <w:tcW w:type="dxa" w:w="14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Bajo</w:t>
            </w:r>
          </w:p>
        </w:tc>
      </w:tr>
    </w:tbl>
    <w:p>
      <w:pPr>
        <w:spacing w:after="0"/>
      </w:pPr>
    </w:p>
    <w:p>
      <w:pPr>
        <w:pStyle w:val="Heading1"/>
        <w:keepNext/>
      </w:pPr>
      <w:r>
        <w:t>8. Arquitectura objetivo propuesta</w:t>
      </w:r>
    </w:p>
    <w:p>
      <w:pPr>
        <w:pStyle w:val="ListNumber"/>
        <w:spacing w:after="80"/>
      </w:pPr>
      <w:r>
        <w:t>Separar el motor de trazas en un núcleo de ejecución y plugins por familia: sequential, tree, graph, hash y sorting.</w:t>
      </w:r>
    </w:p>
    <w:p>
      <w:pPr>
        <w:pStyle w:val="ListNumber"/>
        <w:spacing w:after="80"/>
      </w:pPr>
      <w:r>
        <w:t>Representar cada paso con un contrato inmutable (línea C, evento semántico, estado previo/posterior, salida y metadatos).</w:t>
      </w:r>
    </w:p>
    <w:p>
      <w:pPr>
        <w:pStyle w:val="ListNumber"/>
        <w:spacing w:after="80"/>
      </w:pPr>
      <w:r>
        <w:t>Introducir un catálogo declarativo de operaciones que alimente rutas, formularios, ayuda, mapeo C y validación.</w:t>
      </w:r>
    </w:p>
    <w:p>
      <w:pPr>
        <w:pStyle w:val="ListNumber"/>
        <w:spacing w:after="80"/>
      </w:pPr>
      <w:r>
        <w:t>Persistir eventos con checkpoints periódicos; reconstruir desde el último checkpoint y mantener replay determinista.</w:t>
      </w:r>
    </w:p>
    <w:p>
      <w:pPr>
        <w:pStyle w:val="ListNumber"/>
        <w:spacing w:after="80"/>
      </w:pPr>
      <w:r>
        <w:t>Ejecutar el mismo escenario en Python y en un runner C aislado durante CI; comparar resultados normalizados.</w:t>
      </w:r>
    </w:p>
    <w:p>
      <w:pPr>
        <w:pStyle w:val="ListNumber"/>
        <w:spacing w:after="80"/>
      </w:pPr>
      <w:r>
        <w:t>Extraer un runtime frontend común para playback, consola, historial, exportación y accesibilidad.</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shd w:fill="203748"/>
            <w:tcMar>
              <w:top w:w="100" w:type="dxa"/>
              <w:start w:w="120" w:type="dxa"/>
              <w:bottom w:w="100" w:type="dxa"/>
              <w:end w:w="120" w:type="dxa"/>
            </w:tcMar>
            <w:vAlign w:val="center"/>
          </w:tcPr>
          <w:p>
            <w:pPr>
              <w:spacing w:after="0" w:line="259" w:lineRule="auto"/>
            </w:pPr>
            <w:r/>
            <w:r>
              <w:rPr>
                <w:rFonts w:ascii="Aptos" w:hAnsi="Aptos"/>
                <w:b/>
                <w:color w:val="FFFFFF"/>
                <w:sz w:val="17"/>
              </w:rPr>
              <w:t>Componente objetivo</w:t>
            </w:r>
          </w:p>
        </w:tc>
        <w:tc>
          <w:tcPr>
            <w:tcW w:type="dxa" w:w="6360"/>
            <w:shd w:fill="203748"/>
            <w:tcMar>
              <w:top w:w="100" w:type="dxa"/>
              <w:start w:w="120" w:type="dxa"/>
              <w:bottom w:w="100" w:type="dxa"/>
              <w:end w:w="120" w:type="dxa"/>
            </w:tcMar>
            <w:vAlign w:val="center"/>
          </w:tcPr>
          <w:p>
            <w:pPr>
              <w:spacing w:after="0" w:line="259" w:lineRule="auto"/>
            </w:pPr>
            <w:r/>
            <w:r>
              <w:rPr>
                <w:rFonts w:ascii="Aptos" w:hAnsi="Aptos"/>
                <w:b/>
                <w:color w:val="FFFFFF"/>
                <w:sz w:val="17"/>
              </w:rPr>
              <w:t>Responsabilidad única</w:t>
            </w:r>
          </w:p>
        </w:tc>
      </w:tr>
      <w:tr>
        <w:tc>
          <w:tcPr>
            <w:tcW w:type="dxa" w:w="3000"/>
            <w:tcMar>
              <w:top w:w="100" w:type="dxa"/>
              <w:start w:w="120" w:type="dxa"/>
              <w:bottom w:w="100" w:type="dxa"/>
              <w:end w:w="120" w:type="dxa"/>
            </w:tcMar>
            <w:vAlign w:val="center"/>
          </w:tcPr>
          <w:p>
            <w:pPr>
              <w:spacing w:after="0" w:line="259" w:lineRule="auto"/>
            </w:pPr>
            <w:r/>
            <w:r>
              <w:rPr>
                <w:rFonts w:ascii="Aptos" w:hAnsi="Aptos"/>
                <w:b w:val="0"/>
                <w:color w:val="000000"/>
                <w:sz w:val="18"/>
              </w:rPr>
              <w:t>OperationCatalog</w:t>
            </w:r>
          </w:p>
        </w:tc>
        <w:tc>
          <w:tcPr>
            <w:tcW w:type="dxa" w:w="6360"/>
            <w:tcMar>
              <w:top w:w="100" w:type="dxa"/>
              <w:start w:w="120" w:type="dxa"/>
              <w:bottom w:w="100" w:type="dxa"/>
              <w:end w:w="120" w:type="dxa"/>
            </w:tcMar>
            <w:vAlign w:val="center"/>
          </w:tcPr>
          <w:p>
            <w:pPr>
              <w:spacing w:after="0" w:line="259" w:lineRule="auto"/>
            </w:pPr>
            <w:r/>
            <w:r>
              <w:rPr>
                <w:rFonts w:ascii="Aptos" w:hAnsi="Aptos"/>
                <w:b w:val="0"/>
                <w:color w:val="000000"/>
                <w:sz w:val="18"/>
              </w:rPr>
              <w:t>Esquemas, mutabilidad, etiquetas, entradas y vínculo a función C.</w:t>
            </w:r>
          </w:p>
        </w:tc>
      </w:tr>
      <w:tr>
        <w:tc>
          <w:tcPr>
            <w:tcW w:type="dxa" w:w="30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TraceEngine</w:t>
            </w:r>
          </w:p>
        </w:tc>
        <w:tc>
          <w:tcPr>
            <w:tcW w:type="dxa" w:w="63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Procesar eventos y construir una traza sin conocer detalles de UI.</w:t>
            </w:r>
          </w:p>
        </w:tc>
      </w:tr>
      <w:tr>
        <w:tc>
          <w:tcPr>
            <w:tcW w:type="dxa" w:w="3000"/>
            <w:tcMar>
              <w:top w:w="100" w:type="dxa"/>
              <w:start w:w="120" w:type="dxa"/>
              <w:bottom w:w="100" w:type="dxa"/>
              <w:end w:w="120" w:type="dxa"/>
            </w:tcMar>
            <w:vAlign w:val="center"/>
          </w:tcPr>
          <w:p>
            <w:pPr>
              <w:spacing w:after="0" w:line="259" w:lineRule="auto"/>
            </w:pPr>
            <w:r/>
            <w:r>
              <w:rPr>
                <w:rFonts w:ascii="Aptos" w:hAnsi="Aptos"/>
                <w:b w:val="0"/>
                <w:color w:val="000000"/>
                <w:sz w:val="18"/>
              </w:rPr>
              <w:t>TraceStrategy</w:t>
            </w:r>
          </w:p>
        </w:tc>
        <w:tc>
          <w:tcPr>
            <w:tcW w:type="dxa" w:w="6360"/>
            <w:tcMar>
              <w:top w:w="100" w:type="dxa"/>
              <w:start w:w="120" w:type="dxa"/>
              <w:bottom w:w="100" w:type="dxa"/>
              <w:end w:w="120" w:type="dxa"/>
            </w:tcMar>
            <w:vAlign w:val="center"/>
          </w:tcPr>
          <w:p>
            <w:pPr>
              <w:spacing w:after="0" w:line="259" w:lineRule="auto"/>
            </w:pPr>
            <w:r/>
            <w:r>
              <w:rPr>
                <w:rFonts w:ascii="Aptos" w:hAnsi="Aptos"/>
                <w:b w:val="0"/>
                <w:color w:val="000000"/>
                <w:sz w:val="18"/>
              </w:rPr>
              <w:t>Reglas específicas de lista, árbol, grafo, hash u ordenamiento.</w:t>
            </w:r>
          </w:p>
        </w:tc>
      </w:tr>
      <w:tr>
        <w:tc>
          <w:tcPr>
            <w:tcW w:type="dxa" w:w="30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StateRepository</w:t>
            </w:r>
          </w:p>
        </w:tc>
        <w:tc>
          <w:tcPr>
            <w:tcW w:type="dxa" w:w="63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Historial, checkpoint, límites y backend cache/Redis.</w:t>
            </w:r>
          </w:p>
        </w:tc>
      </w:tr>
      <w:tr>
        <w:tc>
          <w:tcPr>
            <w:tcW w:type="dxa" w:w="3000"/>
            <w:tcMar>
              <w:top w:w="100" w:type="dxa"/>
              <w:start w:w="120" w:type="dxa"/>
              <w:bottom w:w="100" w:type="dxa"/>
              <w:end w:w="120" w:type="dxa"/>
            </w:tcMar>
            <w:vAlign w:val="center"/>
          </w:tcPr>
          <w:p>
            <w:pPr>
              <w:spacing w:after="0" w:line="259" w:lineRule="auto"/>
            </w:pPr>
            <w:r/>
            <w:r>
              <w:rPr>
                <w:rFonts w:ascii="Aptos" w:hAnsi="Aptos"/>
                <w:b w:val="0"/>
                <w:color w:val="000000"/>
                <w:sz w:val="18"/>
              </w:rPr>
              <w:t>CConformanceRunner</w:t>
            </w:r>
          </w:p>
        </w:tc>
        <w:tc>
          <w:tcPr>
            <w:tcW w:type="dxa" w:w="6360"/>
            <w:tcMar>
              <w:top w:w="100" w:type="dxa"/>
              <w:start w:w="120" w:type="dxa"/>
              <w:bottom w:w="100" w:type="dxa"/>
              <w:end w:w="120" w:type="dxa"/>
            </w:tcMar>
            <w:vAlign w:val="center"/>
          </w:tcPr>
          <w:p>
            <w:pPr>
              <w:spacing w:after="0" w:line="259" w:lineRule="auto"/>
            </w:pPr>
            <w:r/>
            <w:r>
              <w:rPr>
                <w:rFonts w:ascii="Aptos" w:hAnsi="Aptos"/>
                <w:b w:val="0"/>
                <w:color w:val="000000"/>
                <w:sz w:val="18"/>
              </w:rPr>
              <w:t>Compilar, ejecutar y normalizar el estado de referencia C.</w:t>
            </w:r>
          </w:p>
        </w:tc>
      </w:tr>
      <w:tr>
        <w:tc>
          <w:tcPr>
            <w:tcW w:type="dxa" w:w="300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PlaybackRuntime</w:t>
            </w:r>
          </w:p>
        </w:tc>
        <w:tc>
          <w:tcPr>
            <w:tcW w:type="dxa" w:w="6360"/>
            <w:shd w:fill="F5F7F8"/>
            <w:tcMar>
              <w:top w:w="100" w:type="dxa"/>
              <w:start w:w="120" w:type="dxa"/>
              <w:bottom w:w="100" w:type="dxa"/>
              <w:end w:w="120" w:type="dxa"/>
            </w:tcMar>
            <w:vAlign w:val="center"/>
          </w:tcPr>
          <w:p>
            <w:pPr>
              <w:spacing w:after="0" w:line="259" w:lineRule="auto"/>
            </w:pPr>
            <w:r/>
            <w:r>
              <w:rPr>
                <w:rFonts w:ascii="Aptos" w:hAnsi="Aptos"/>
                <w:b w:val="0"/>
                <w:color w:val="000000"/>
                <w:sz w:val="18"/>
              </w:rPr>
              <w:t>Render común y controles accesibles en navegador.</w:t>
            </w:r>
          </w:p>
        </w:tc>
      </w:tr>
    </w:tbl>
    <w:p>
      <w:pPr>
        <w:spacing w:after="0"/>
      </w:pPr>
    </w:p>
    <w:p>
      <w:pPr>
        <w:pStyle w:val="Heading1"/>
        <w:keepNext/>
      </w:pPr>
      <w:r>
        <w:t>9. Hoja de ruta sugerida</w:t>
      </w:r>
    </w:p>
    <w:p>
      <w:pPr>
        <w:pStyle w:val="Heading2"/>
        <w:keepNext/>
      </w:pPr>
      <w:r>
        <w:t>Fase 1 · Confiabilidad (2–3 semanas)</w:t>
      </w:r>
    </w:p>
    <w:p>
      <w:pPr>
        <w:pStyle w:val="ListBullet"/>
        <w:spacing w:after="60"/>
      </w:pPr>
      <w:r>
        <w:t>Añadir instalación/documentación local de Playwright y separar marcadores E2E.</w:t>
      </w:r>
    </w:p>
    <w:p>
      <w:pPr>
        <w:pStyle w:val="ListBullet"/>
        <w:spacing w:after="60"/>
      </w:pPr>
      <w:r>
        <w:t>Agregar CI C17 + ASan/UBSan + clang-tidy/cppcheck.</w:t>
      </w:r>
    </w:p>
    <w:p>
      <w:pPr>
        <w:pStyle w:val="ListBullet"/>
        <w:spacing w:after="60"/>
      </w:pPr>
      <w:r>
        <w:t>Cubrir rutas críticas de sorting, graph y hash hasta 85%.</w:t>
      </w:r>
    </w:p>
    <w:p>
      <w:pPr>
        <w:pStyle w:val="ListBullet"/>
        <w:spacing w:after="60"/>
      </w:pPr>
      <w:r>
        <w:t>Fallar al iniciar producción si se conserva la SECRET_KEY de desarrollo.</w:t>
      </w:r>
    </w:p>
    <w:p>
      <w:pPr>
        <w:pStyle w:val="Heading2"/>
        <w:keepNext/>
      </w:pPr>
      <w:r>
        <w:t>Fase 2 · Modularización (3–5 semanas)</w:t>
      </w:r>
    </w:p>
    <w:p>
      <w:pPr>
        <w:pStyle w:val="ListBullet"/>
        <w:spacing w:after="60"/>
      </w:pPr>
      <w:r>
        <w:t>Caracterizar ExecutionTraceService con pruebas golden antes de dividirlo.</w:t>
      </w:r>
    </w:p>
    <w:p>
      <w:pPr>
        <w:pStyle w:val="ListBullet"/>
        <w:spacing w:after="60"/>
      </w:pPr>
      <w:r>
        <w:t>Extraer estrategias por familia y un modelo común TraceStep.</w:t>
      </w:r>
    </w:p>
    <w:p>
      <w:pPr>
        <w:pStyle w:val="ListBullet"/>
        <w:spacing w:after="60"/>
      </w:pPr>
      <w:r>
        <w:t>Unificar servicios de estructura y utilidades JS repetidas.</w:t>
      </w:r>
    </w:p>
    <w:p>
      <w:pPr>
        <w:pStyle w:val="ListBullet"/>
        <w:spacing w:after="60"/>
      </w:pPr>
      <w:r>
        <w:t>Incorporar ADR para replay, trazas, fuente C y sesión.</w:t>
      </w:r>
    </w:p>
    <w:p>
      <w:pPr>
        <w:pStyle w:val="Heading2"/>
        <w:keepNext/>
      </w:pPr>
      <w:r>
        <w:t>Fase 3 · Fidelidad didáctica y escala (4–6 semanas)</w:t>
      </w:r>
    </w:p>
    <w:p>
      <w:pPr>
        <w:pStyle w:val="ListBullet"/>
        <w:spacing w:after="60"/>
      </w:pPr>
      <w:r>
        <w:t>Implementar harness diferencial C↔Python.</w:t>
      </w:r>
    </w:p>
    <w:p>
      <w:pPr>
        <w:pStyle w:val="ListBullet"/>
        <w:spacing w:after="60"/>
      </w:pPr>
      <w:r>
        <w:t>Agregar checkpoints y benchmarks de historiales de 1, 50, 150 y 300 operaciones.</w:t>
      </w:r>
    </w:p>
    <w:p>
      <w:pPr>
        <w:pStyle w:val="ListBullet"/>
        <w:spacing w:after="60"/>
      </w:pPr>
      <w:r>
        <w:t>Mostrar invariantes, complejidad y propiedad de memoria.</w:t>
      </w:r>
    </w:p>
    <w:p>
      <w:pPr>
        <w:pStyle w:val="ListBullet"/>
        <w:spacing w:after="60"/>
      </w:pPr>
      <w:r>
        <w:t>Añadir auditoría a11y, telemetría y pruebas de carga.</w:t>
      </w:r>
    </w:p>
    <w:p>
      <w:pPr>
        <w:pStyle w:val="Heading1"/>
        <w:keepNext/>
      </w:pPr>
      <w:r>
        <w:t>10. Criterios de aceptación</w:t>
      </w:r>
    </w:p>
    <w:p>
      <w:pPr>
        <w:pStyle w:val="ListBullet"/>
        <w:spacing w:after="60"/>
      </w:pPr>
      <w:r>
        <w:t>Ningún archivo de producción supera 1.000 líneas sin justificación ADR.</w:t>
      </w:r>
    </w:p>
    <w:p>
      <w:pPr>
        <w:pStyle w:val="ListBullet"/>
        <w:spacing w:after="60"/>
      </w:pPr>
      <w:r>
        <w:t>Cada TAD tiene pruebas C de éxito, error, límites y liberación de memoria.</w:t>
      </w:r>
    </w:p>
    <w:p>
      <w:pPr>
        <w:pStyle w:val="ListBullet"/>
        <w:spacing w:after="60"/>
      </w:pPr>
      <w:r>
        <w:t>≥85% de cobertura por cada motor de dominio crítico; no solo global.</w:t>
      </w:r>
    </w:p>
    <w:p>
      <w:pPr>
        <w:pStyle w:val="ListBullet"/>
        <w:spacing w:after="60"/>
      </w:pPr>
      <w:r>
        <w:t>Paridad diferencial exitosa en al menos 1.000 secuencias deterministas por familia.</w:t>
      </w:r>
    </w:p>
    <w:p>
      <w:pPr>
        <w:pStyle w:val="ListBullet"/>
        <w:spacing w:after="60"/>
      </w:pPr>
      <w:r>
        <w:t>Replay de 300 operaciones mantiene p95 &lt;200 ms o se documenta un RNF revisado.</w:t>
      </w:r>
    </w:p>
    <w:p>
      <w:pPr>
        <w:pStyle w:val="ListBullet"/>
        <w:spacing w:after="60"/>
      </w:pPr>
      <w:r>
        <w:t>CI ejecuta unitarias, integración, E2E, compilación C, sanitizers y análisis estático.</w:t>
      </w:r>
    </w:p>
    <w:p>
      <w:pPr>
        <w:pStyle w:val="ListBullet"/>
        <w:spacing w:after="60"/>
      </w:pPr>
      <w:r>
        <w:t>Configuración de producción rechaza secretos por defecto e informa ProxyFix/cookies inseguros.</w:t>
      </w:r>
    </w:p>
    <w:p>
      <w:pPr>
        <w:pStyle w:val="ListBullet"/>
        <w:spacing w:after="60"/>
      </w:pPr>
      <w:r>
        <w:t>Controles principales son utilizables por teclado y pasan una auditoría a11y automatizada.</w:t>
      </w:r>
    </w:p>
    <w:p>
      <w:pPr>
        <w:pStyle w:val="Heading1"/>
        <w:keepNext/>
      </w:pPr>
      <w:r>
        <w:t>11. Dictamen final</w:t>
      </w:r>
    </w:p>
    <w:p>
      <w:r>
        <w:t>VisualEstruct ya tiene una base valiosa y una intención pedagógica más rigurosa que la mayoría de visualizadores. El diseño por capas es defendible, el conjunto C compila limpiamente y la suite backend es extensa. No se recomienda una reescritura. La estrategia correcta es una refactorización incremental protegida por pruebas de caracterización, seguida de conformidad automática C↔Python y optimización del replay.</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AF4ED"/>
          </w:tcPr>
          <w:p>
            <w:pPr>
              <w:spacing w:after="0"/>
            </w:pPr>
            <w:r>
              <w:rPr>
                <w:b/>
                <w:color w:val="30704C"/>
              </w:rPr>
              <w:t xml:space="preserve">DECISIÓN SUGERIDA  </w:t>
            </w:r>
            <w:r>
              <w:t>Continuar el proyecto y priorizar M1–M3. Con esas mejoras, puede evolucionar de una aplicación educativa sólida a una plataforma confiable, extensible y técnicamente demostrable.</w:t>
            </w:r>
          </w:p>
        </w:tc>
      </w:tr>
    </w:tbl>
    <w:p>
      <w:pPr>
        <w:spacing w:after="0"/>
      </w:pPr>
    </w:p>
    <w:p>
      <w:pPr>
        <w:pStyle w:val="Heading1"/>
        <w:keepNext/>
      </w:pPr>
      <w:r>
        <w:t>Anexo A. Evidencia y supuestos</w:t>
      </w:r>
    </w:p>
    <w:p>
      <w:r>
        <w:t>Evidencia revisada: README.md; requirements.txt; app/config.py; app/domain; app/adapters; app/services; app/routes; static/js; templates; tests; .github/workflows; docs/tads_C; docs/TEST_REPORT.md; docs/ESPECIFICACIONES_PROYECTO.md; openspec/project.md.</w:t>
      </w:r>
    </w:p>
    <w:p>
      <w:r>
        <w:t>Comandos principales: pytest sin E2E; pytest con cobertura; pytest completo; compilación individual de los 13 .c con GCC 15.2 y opciones C17 estrictas. La cifra de líneas es física y sirve para detectar concentración, no para medir por sí sola la calidad.</w:t>
      </w:r>
    </w:p>
    <w:p>
      <w:r>
        <w:t>Limitación: no se instaló Chromium durante la evaluación; por ello no se afirma que los escenarios E2E pasen o fallen funcionalmente. El error observado ocurrió en BrowserType.launch antes de interactuar con la app.</w:t>
      </w:r>
    </w:p>
    <w:sectPr w:rsidR="00FC693F" w:rsidRPr="0006063C" w:rsidSect="00034616">
      <w:footerReference w:type="default" r:id="rId9"/>
      <w:headerReference w:type="default" r:id="rId10"/>
      <w:pgSz w:w="12240" w:h="15840"/>
      <w:pgMar w:top="1123"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870"/>
        <w:sz w:val="16"/>
      </w:rPr>
      <w:t xml:space="preserve">Evaluación técnica · VisualEstruct · 18 de agosto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B637B"/>
        <w:sz w:val="16"/>
      </w:rPr>
      <w:t>INFORME DE ARQUITECTURA Y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03748"/>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B63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E68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5E68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técnica de VisualEstruct</dc:title>
  <dc:subject>Diseño, arquitectura, utilidad e implementación</dc:subject>
  <dc:creator>OpenAI Codex</dc:creator>
  <cp:keywords>arquitectura, C17, estructuras de datos, Flask, evaluación</cp:keywords>
  <dc:description>generated by python-docx</dc:description>
  <cp:lastModifiedBy/>
  <cp:revision>1</cp:revision>
  <dcterms:created xsi:type="dcterms:W3CDTF">2013-12-23T23:15:00Z</dcterms:created>
  <dcterms:modified xsi:type="dcterms:W3CDTF">2013-12-23T23:15:00Z</dcterms:modified>
  <cp:category/>
</cp:coreProperties>
</file>