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NOTE JURIDIQUE</w:t>
      </w:r>
    </w:p>
    <w:p>
      <w:pPr>
        <w:spacing w:after="40" w:before="0"/>
        <w:jc w:val="center"/>
      </w:pPr>
      <w:r>
        <w:rPr>
          <w:rFonts w:ascii="Arial" w:cs="Arial" w:eastAsia="Arial" w:hAnsi="Arial"/>
          <w:color w:val="2E74B5"/>
          <w:sz w:val="24"/>
          <w:szCs w:val="24"/>
        </w:rPr>
        <w:t xml:space="preserve">Service d'Ordre Indemnisé — Grand Prix Moto Le Mans</w:t>
      </w:r>
    </w:p>
    <w:p>
      <w:pPr>
        <w:spacing w:after="400" w:before="0"/>
        <w:jc w:val="center"/>
      </w:pPr>
      <w:r>
        <w:rPr>
          <w:rFonts w:ascii="Arial" w:cs="Arial" w:eastAsia="Arial" w:hAnsi="Arial"/>
          <w:i/>
          <w:iCs/>
          <w:color w:val="666666"/>
          <w:sz w:val="20"/>
          <w:szCs w:val="20"/>
        </w:rPr>
        <w:t xml:space="preserve">À l'attention du Président — Entretien avec M. le Préfet de la Sarthe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r>
              <w:rPr>
                <w:rFonts w:ascii="Arial" w:cs="Arial" w:eastAsia="Arial" w:hAnsi="Arial"/>
                <w:b/>
                <w:bCs/>
                <w:sz w:val="22"/>
                <w:szCs w:val="22"/>
              </w:rPr>
              <w:t xml:space="preserve">OBJET : Contestation des bases de facturation du SOI — quatre sujets distincts fondés en droit et en fait</w:t>
            </w:r>
          </w:p>
        </w:tc>
      </w:tr>
    </w:tbl>
    <w:p>
      <w:pPr>
        <w:spacing w:after="200" w:before="0"/>
      </w:pPr>
    </w:p>
    <w:p>
      <w:pPr>
        <w:pBdr>
          <w:bottom w:val="single" w:color="1F3864" w:sz="8" w:space="4"/>
        </w:pBdr>
        <w:spacing w:after="160" w:before="320"/>
      </w:pPr>
      <w:r>
        <w:rPr>
          <w:rFonts w:ascii="Arial" w:cs="Arial" w:eastAsia="Arial" w:hAnsi="Arial"/>
          <w:b/>
          <w:bCs/>
          <w:color w:val="1F3864"/>
          <w:sz w:val="28"/>
          <w:szCs w:val="28"/>
        </w:rPr>
        <w:t xml:space="preserve">I. Le cadre juridique applicable</w:t>
      </w:r>
    </w:p>
    <w:p>
      <w:pPr>
        <w:spacing w:after="100" w:before="240"/>
      </w:pPr>
      <w:r>
        <w:rPr>
          <w:rFonts w:ascii="Arial" w:cs="Arial" w:eastAsia="Arial" w:hAnsi="Arial"/>
          <w:b/>
          <w:bCs/>
          <w:color w:val="2E74B5"/>
          <w:sz w:val="24"/>
          <w:szCs w:val="24"/>
        </w:rPr>
        <w:t xml:space="preserve">A. Article L. 211-11 du CSI — les deux conditions cumulatives</w:t>
      </w:r>
    </w:p>
    <w:p>
      <w:pPr>
        <w:spacing w:after="80" w:before="80"/>
      </w:pPr>
      <w:r>
        <w:rPr>
          <w:rFonts w:ascii="Arial" w:cs="Arial" w:eastAsia="Arial" w:hAnsi="Arial"/>
          <w:sz w:val="22"/>
          <w:szCs w:val="22"/>
        </w:rPr>
        <w:t xml:space="preserve">Pour être facturable, une mission doit : (1) excéder les obligations normales incombant à la puissance publique, ET (2) être exercée dans l'intérêt de l'organisateur. Ces deux conditions sont cumulatives. Si l'une fait défaut, la facturation est illégale.</w:t>
      </w:r>
    </w:p>
    <w:p>
      <w:pPr>
        <w:spacing w:after="100" w:before="240"/>
      </w:pPr>
      <w:r>
        <w:rPr>
          <w:rFonts w:ascii="Arial" w:cs="Arial" w:eastAsia="Arial" w:hAnsi="Arial"/>
          <w:b/>
          <w:bCs/>
          <w:color w:val="2E74B5"/>
          <w:sz w:val="24"/>
          <w:szCs w:val="24"/>
        </w:rPr>
        <w:t xml:space="preserve">B. CE, 16 mars 2021, Société d'exploitation de l'Arena, n° 448010 (tables Lebon)</w:t>
      </w:r>
    </w:p>
    <w:p>
      <w:pPr>
        <w:spacing w:after="80" w:before="80"/>
      </w:pPr>
      <w:r>
        <w:rPr>
          <w:rFonts w:ascii="Arial" w:cs="Arial" w:eastAsia="Arial" w:hAnsi="Arial"/>
          <w:sz w:val="22"/>
          <w:szCs w:val="22"/>
        </w:rPr>
        <w:t xml:space="preserve">Le Conseil d'État pose la limite constitutionnelle : le dispositif n'est conforme à l'article 13 de la DDHC que parce qu'il se limite aux seules dépenses correspondant à des missions exercées dans l'intérêt de l'organisateur et excédant les besoins normaux de sécurité auxquels la collectivité est tenue de pourvoir dans l'intérêt général.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r>
              <w:rPr>
                <w:rFonts w:ascii="Arial" w:cs="Arial" w:eastAsia="Arial" w:hAnsi="Arial"/>
                <w:b/>
                <w:bCs/>
                <w:sz w:val="22"/>
                <w:szCs w:val="22"/>
              </w:rPr>
              <w:t xml:space="preserve">⚖️  Toute mission relevant de la sécurité publique générale — même exercée lors de l'événement — ne peut être facturée à l'organisateur. La Constitution l'interdit.</w:t>
            </w:r>
          </w:p>
        </w:tc>
      </w:tr>
    </w:tbl>
    <w:p>
      <w:pPr>
        <w:spacing w:after="120" w:before="0"/>
      </w:pPr>
    </w:p>
    <w:p>
      <w:pPr>
        <w:spacing w:after="100" w:before="240"/>
      </w:pPr>
      <w:r>
        <w:rPr>
          <w:rFonts w:ascii="Arial" w:cs="Arial" w:eastAsia="Arial" w:hAnsi="Arial"/>
          <w:b/>
          <w:bCs/>
          <w:color w:val="2E74B5"/>
          <w:sz w:val="24"/>
          <w:szCs w:val="24"/>
        </w:rPr>
        <w:t xml:space="preserve">C. CE, 11 mai 2022, Moto-Club de Nevers, n° 449370 (Lebon)</w:t>
      </w:r>
    </w:p>
    <w:p>
      <w:pPr>
        <w:spacing w:after="80" w:before="80"/>
      </w:pPr>
      <w:r>
        <w:rPr>
          <w:rFonts w:ascii="Arial" w:cs="Arial" w:eastAsia="Arial" w:hAnsi="Arial"/>
          <w:sz w:val="22"/>
          <w:szCs w:val="22"/>
        </w:rPr>
        <w:t xml:space="preserve">Facturation possible uniquement pour les prestations « directement imputables à l'événement ». Les coûts liés à des choix d'organisation interne des forces publiques ne sont pas imputables à l'organisateur.</w:t>
      </w:r>
    </w:p>
    <w:p>
      <w:pPr>
        <w:spacing w:after="100" w:before="240"/>
      </w:pPr>
      <w:r>
        <w:rPr>
          <w:rFonts w:ascii="Arial" w:cs="Arial" w:eastAsia="Arial" w:hAnsi="Arial"/>
          <w:b/>
          <w:bCs/>
          <w:color w:val="2E74B5"/>
          <w:sz w:val="24"/>
          <w:szCs w:val="24"/>
        </w:rPr>
        <w:t xml:space="preserve">D. Circulaire du 8 avril 2022 (INTD2208717J) — points clés</w:t>
      </w:r>
    </w:p>
    <w:p>
      <w:pPr>
        <w:pStyle w:val="ListParagraph"/>
        <w:numPr>
          <w:ilvl w:val="0"/>
          <w:numId w:val="2"/>
        </w:numPr>
        <w:spacing w:after="60" w:before="60"/>
      </w:pPr>
      <w:r>
        <w:rPr>
          <w:rFonts w:ascii="Arial" w:cs="Arial" w:eastAsia="Arial" w:hAnsi="Arial"/>
          <w:sz w:val="22"/>
          <w:szCs w:val="22"/>
        </w:rPr>
        <w:t xml:space="preserve">« Toutes les missions ne donnent pas lieu à remboursement. »</w:t>
      </w:r>
    </w:p>
    <w:p>
      <w:pPr>
        <w:pStyle w:val="ListParagraph"/>
        <w:numPr>
          <w:ilvl w:val="0"/>
          <w:numId w:val="2"/>
        </w:numPr>
        <w:spacing w:after="60" w:before="60"/>
      </w:pPr>
      <w:r>
        <w:rPr>
          <w:rFonts w:ascii="Arial" w:cs="Arial" w:eastAsia="Arial" w:hAnsi="Arial"/>
          <w:sz w:val="22"/>
          <w:szCs w:val="22"/>
        </w:rPr>
        <w:t xml:space="preserve">La circulaire impose la définition d'un périmètre missionnel précis et écrit, « afin de garantir le plus possible la prévisibilité de la facturation ».</w:t>
      </w:r>
    </w:p>
    <w:p>
      <w:pPr>
        <w:pStyle w:val="ListParagraph"/>
        <w:numPr>
          <w:ilvl w:val="0"/>
          <w:numId w:val="2"/>
        </w:numPr>
        <w:spacing w:after="60" w:before="60"/>
      </w:pPr>
      <w:r>
        <w:rPr>
          <w:rFonts w:ascii="Arial" w:cs="Arial" w:eastAsia="Arial" w:hAnsi="Arial"/>
          <w:sz w:val="22"/>
          <w:szCs w:val="22"/>
        </w:rPr>
        <w:t xml:space="preserve">Elle exclut expressément du remboursement les missions relevant des obligations normales de la puissance publique, dont les unités stationnées en réserve d'intervention.</w:t>
      </w:r>
    </w:p>
    <w:p>
      <w:pPr>
        <w:pStyle w:val="ListParagraph"/>
        <w:numPr>
          <w:ilvl w:val="0"/>
          <w:numId w:val="2"/>
        </w:numPr>
        <w:spacing w:after="60" w:before="60"/>
      </w:pPr>
      <w:r>
        <w:rPr>
          <w:rFonts w:ascii="Arial" w:cs="Arial" w:eastAsia="Arial" w:hAnsi="Arial"/>
          <w:sz w:val="22"/>
          <w:szCs w:val="22"/>
        </w:rPr>
        <w:t xml:space="preserve">Elle précise que les véhicules employés en mission sont facturables, mais pas ceux servant au transport des personnels (la « dépose »).</w:t>
      </w:r>
    </w:p>
    <w:p>
      <w:pPr>
        <w:spacing w:after="120" w:before="0"/>
      </w:pPr>
    </w:p>
    <w:p>
      <w:pPr>
        <w:spacing w:after="100" w:before="240"/>
      </w:pPr>
      <w:r>
        <w:rPr>
          <w:rFonts w:ascii="Arial" w:cs="Arial" w:eastAsia="Arial" w:hAnsi="Arial"/>
          <w:b/>
          <w:bCs/>
          <w:color w:val="2E74B5"/>
          <w:sz w:val="24"/>
          <w:szCs w:val="24"/>
        </w:rPr>
        <w:t xml:space="preserve">E. TA Nantes, 27 mars 2009 — L'ASM gagne contre le préfet de la Sarthe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CFCE7" w:val="clear"/>
            <w:tcMar>
              <w:top w:type="dxa" w:w="120"/>
              <w:left w:type="dxa" w:w="200"/>
              <w:bottom w:type="dxa" w:w="120"/>
              <w:right w:type="dxa" w:w="200"/>
            </w:tcMar>
          </w:tcPr>
          <w:p>
            <w:r>
              <w:rPr>
                <w:rFonts w:ascii="Arial" w:cs="Arial" w:eastAsia="Arial" w:hAnsi="Arial"/>
                <w:b/>
                <w:bCs/>
                <w:sz w:val="22"/>
                <w:szCs w:val="22"/>
              </w:rPr>
              <w:t xml:space="preserve">🏆  Le Tribunal administratif de Nantes a annulé SEPT ordres de recette émis par le préfet de la Sarthe contre l'ASM/ACO pour les GP Moto 2002–2007. L'État a été condamné à verser 2 000 € à l'ASM. Même événement. Même circuit. Même préfecture.</w:t>
            </w:r>
          </w:p>
        </w:tc>
      </w:tr>
    </w:tbl>
    <w:p>
      <w:pPr>
        <w:spacing w:after="80" w:before="80"/>
      </w:pPr>
      <w:r>
        <w:rPr>
          <w:rFonts w:ascii="Arial" w:cs="Arial" w:eastAsia="Arial" w:hAnsi="Arial"/>
          <w:sz w:val="22"/>
          <w:szCs w:val="22"/>
        </w:rPr>
        <w:t xml:space="preserve">Motif : les missions de police exercées lors du GP Moto poursuivent essentiellement un but d'intérêt général et ne peuvent être regardées comme effectuées pour le compte de l'ASM. Elles n'excèdent pas les obligations normales de la puissance publique.</w:t>
      </w:r>
    </w:p>
    <w:p>
      <w:pPr>
        <w:spacing w:after="200" w:before="0"/>
      </w:pPr>
    </w:p>
    <w:p>
      <w:pPr>
        <w:pBdr>
          <w:bottom w:val="single" w:color="1F3864" w:sz="8" w:space="4"/>
        </w:pBdr>
        <w:spacing w:after="160" w:before="320"/>
      </w:pPr>
      <w:r>
        <w:rPr>
          <w:rFonts w:ascii="Arial" w:cs="Arial" w:eastAsia="Arial" w:hAnsi="Arial"/>
          <w:b/>
          <w:bCs/>
          <w:color w:val="1F3864"/>
          <w:sz w:val="28"/>
          <w:szCs w:val="28"/>
        </w:rPr>
        <w:t xml:space="preserve">II. Quatre postes de facturation contestés</w:t>
      </w:r>
    </w:p>
    <w:p>
      <w:pPr>
        <w:spacing w:after="100" w:before="240"/>
      </w:pPr>
      <w:r>
        <w:rPr>
          <w:rFonts w:ascii="Arial" w:cs="Arial" w:eastAsia="Arial" w:hAnsi="Arial"/>
          <w:b/>
          <w:bCs/>
          <w:color w:val="2E74B5"/>
          <w:sz w:val="24"/>
          <w:szCs w:val="24"/>
        </w:rPr>
        <w:t xml:space="preserve">Sujet 1 — Les forces en réserve d'intervention (niveaux 2 et 3)</w:t>
      </w:r>
    </w:p>
    <w:p>
      <w:pPr>
        <w:spacing w:after="80" w:before="80"/>
      </w:pPr>
      <w:r>
        <w:rPr>
          <w:rFonts w:ascii="Arial" w:cs="Arial" w:eastAsia="Arial" w:hAnsi="Arial"/>
          <w:sz w:val="22"/>
          <w:szCs w:val="22"/>
        </w:rPr>
        <w:t xml:space="preserve">Situation constatée : ces unités stationnent dans leur bungalow sans exercer de mission opérationnelle liée à la manifestation. Elles ne patrouillent pas, ne filtrent pas, ne sont pas déployées sur le périmètre missionnel défini par la convention.</w:t>
      </w:r>
    </w:p>
    <w:p>
      <w:pPr>
        <w:spacing w:after="80" w:before="0"/>
      </w:pPr>
    </w:p>
    <w:p>
      <w:pPr>
        <w:pStyle w:val="ListParagraph"/>
        <w:numPr>
          <w:ilvl w:val="0"/>
          <w:numId w:val="2"/>
        </w:numPr>
        <w:spacing w:after="60" w:before="60"/>
      </w:pPr>
      <w:r>
        <w:rPr>
          <w:rFonts w:ascii="Arial" w:cs="Arial" w:eastAsia="Arial" w:hAnsi="Arial"/>
          <w:b/>
          <w:bCs/>
          <w:sz w:val="22"/>
          <w:szCs w:val="22"/>
        </w:rPr>
        <w:t xml:space="preserve">Mission définie par la menace générique, pas par l'événement : </w:t>
      </w:r>
      <w:r>
        <w:rPr>
          <w:rFonts w:ascii="Arial" w:cs="Arial" w:eastAsia="Arial" w:hAnsi="Arial"/>
          <w:sz w:val="22"/>
          <w:szCs w:val="22"/>
        </w:rPr>
        <w:t xml:space="preserve">si le GP Moto n'avait pas lieu, elles seraient repositionnées ailleurs. Leur mission ne disparaîtrait pas. Elles ne sont donc pas « exercées dans l'intérêt de l'organisateur » au sens du L. 211-11.</w:t>
      </w:r>
    </w:p>
    <w:p>
      <w:pPr>
        <w:pStyle w:val="ListParagraph"/>
        <w:numPr>
          <w:ilvl w:val="0"/>
          <w:numId w:val="2"/>
        </w:numPr>
        <w:spacing w:after="60" w:before="60"/>
      </w:pPr>
      <w:r>
        <w:rPr>
          <w:rFonts w:ascii="Arial" w:cs="Arial" w:eastAsia="Arial" w:hAnsi="Arial"/>
          <w:b/>
          <w:bCs/>
          <w:sz w:val="22"/>
          <w:szCs w:val="22"/>
        </w:rPr>
        <w:t xml:space="preserve">Couverture déjà assurée sans facturation : </w:t>
      </w:r>
      <w:r>
        <w:rPr>
          <w:rFonts w:ascii="Arial" w:cs="Arial" w:eastAsia="Arial" w:hAnsi="Arial"/>
          <w:sz w:val="22"/>
          <w:szCs w:val="22"/>
        </w:rPr>
        <w:t xml:space="preserve">les Sentinelles Vigipirate assurent la couverture anti-terroriste sur site et ne sont pas facturées (mission régalienne). Le RAID est accueilli sur site sans facturation. La menace est couverte — les N2/N3 sont redondants.</w:t>
      </w:r>
    </w:p>
    <w:p>
      <w:pPr>
        <w:pStyle w:val="ListParagraph"/>
        <w:numPr>
          <w:ilvl w:val="0"/>
          <w:numId w:val="2"/>
        </w:numPr>
        <w:spacing w:after="60" w:before="60"/>
      </w:pPr>
      <w:r>
        <w:rPr>
          <w:rFonts w:ascii="Arial" w:cs="Arial" w:eastAsia="Arial" w:hAnsi="Arial"/>
          <w:b/>
          <w:bCs/>
          <w:sz w:val="22"/>
          <w:szCs w:val="22"/>
        </w:rPr>
        <w:t xml:space="preserve">Incohérence de traitement : </w:t>
      </w:r>
      <w:r>
        <w:rPr>
          <w:rFonts w:ascii="Arial" w:cs="Arial" w:eastAsia="Arial" w:hAnsi="Arial"/>
          <w:sz w:val="22"/>
          <w:szCs w:val="22"/>
        </w:rPr>
        <w:t xml:space="preserve">Sentinelles + RAID = non facturés. N2/N3 en réserve = facturés. Mission de même nature, traitement différent. La Constitution (art. 13 DDHC via CE Arena) exige une égalité de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r>
              <w:rPr>
                <w:rFonts w:ascii="Arial" w:cs="Arial" w:eastAsia="Arial" w:hAnsi="Arial"/>
                <w:b/>
                <w:bCs/>
                <w:sz w:val="22"/>
                <w:szCs w:val="22"/>
              </w:rPr>
              <w:t xml:space="preserve">→ Ces forces relèvent du financement par l'impôt, pas du remboursement au titre du L. 211-11. La circulaire 2022 exclut expressément les unités « stationnées en réserve d'intervention ».</w:t>
            </w:r>
          </w:p>
        </w:tc>
      </w:tr>
    </w:tbl>
    <w:p>
      <w:pPr>
        <w:spacing w:after="160" w:before="0"/>
      </w:pPr>
    </w:p>
    <w:p>
      <w:pPr>
        <w:spacing w:after="100" w:before="240"/>
      </w:pPr>
      <w:r>
        <w:rPr>
          <w:rFonts w:ascii="Arial" w:cs="Arial" w:eastAsia="Arial" w:hAnsi="Arial"/>
          <w:b/>
          <w:bCs/>
          <w:color w:val="2E74B5"/>
          <w:sz w:val="24"/>
          <w:szCs w:val="24"/>
        </w:rPr>
        <w:t xml:space="preserve">Sujet 2 — Les véhicules de transport de personnels</w:t>
      </w:r>
    </w:p>
    <w:p>
      <w:pPr>
        <w:spacing w:after="80" w:before="80"/>
      </w:pPr>
      <w:r>
        <w:rPr>
          <w:rFonts w:ascii="Arial" w:cs="Arial" w:eastAsia="Arial" w:hAnsi="Arial"/>
          <w:sz w:val="22"/>
          <w:szCs w:val="22"/>
        </w:rPr>
        <w:t xml:space="preserve">La circulaire du 8 avril 2022 distingue deux lignes strictement autonomes :</w:t>
      </w:r>
    </w:p>
    <w:p>
      <w:pPr>
        <w:pStyle w:val="ListParagraph"/>
        <w:numPr>
          <w:ilvl w:val="0"/>
          <w:numId w:val="2"/>
        </w:numPr>
        <w:spacing w:after="60" w:before="60"/>
      </w:pPr>
      <w:r>
        <w:rPr>
          <w:rFonts w:ascii="Arial" w:cs="Arial" w:eastAsia="Arial" w:hAnsi="Arial"/>
          <w:sz w:val="22"/>
          <w:szCs w:val="22"/>
        </w:rPr>
        <w:t xml:space="preserve">Ligne agents : couvre l'affectation des agents incluant leur déplacement (trajet domicile → poste → retour).</w:t>
      </w:r>
    </w:p>
    <w:p>
      <w:pPr>
        <w:pStyle w:val="ListParagraph"/>
        <w:numPr>
          <w:ilvl w:val="0"/>
          <w:numId w:val="2"/>
        </w:numPr>
        <w:spacing w:after="60" w:before="60"/>
      </w:pPr>
      <w:r>
        <w:rPr>
          <w:rFonts w:ascii="Arial" w:cs="Arial" w:eastAsia="Arial" w:hAnsi="Arial"/>
          <w:sz w:val="22"/>
          <w:szCs w:val="22"/>
        </w:rPr>
        <w:t xml:space="preserve">Ligne véhicules : couvre uniquement les véhicules employés en mission opérationnelle sur le périmètre.</w:t>
      </w:r>
    </w:p>
    <w:p>
      <w:pPr>
        <w:spacing w:after="80" w:before="0"/>
      </w:pPr>
    </w:p>
    <w:p>
      <w:pPr>
        <w:spacing w:after="80" w:before="80"/>
      </w:pPr>
      <w:r>
        <w:rPr>
          <w:rFonts w:ascii="Arial" w:cs="Arial" w:eastAsia="Arial" w:hAnsi="Arial"/>
          <w:b w:val="false"/>
          <w:bCs w:val="false"/>
          <w:sz w:val="22"/>
          <w:szCs w:val="22"/>
        </w:rPr>
        <w:t xml:space="preserve">Un véhicule n'est facturable sur la ligne véhicules que s'il est effectivement employé en mission : patrouille, escorte, barrage, filtrage, surveillance active. Dans tous les autres cas, il est couvert par la ligne agents ou n'est pas facturable.</w:t>
      </w:r>
    </w:p>
    <w:p>
      <w:pPr>
        <w:spacing w:after="80" w:before="0"/>
      </w:pPr>
    </w:p>
    <w:p>
      <w:pPr>
        <w:spacing w:after="80" w:before="80"/>
      </w:pPr>
      <w:r>
        <w:rPr>
          <w:rFonts w:ascii="Arial" w:cs="Arial" w:eastAsia="Arial" w:hAnsi="Arial"/>
          <w:b/>
          <w:bCs/>
          <w:sz w:val="22"/>
          <w:szCs w:val="22"/>
        </w:rPr>
        <w:t xml:space="preserve">Trois situations non facturables — et pourtant facturées :</w:t>
      </w:r>
    </w:p>
    <w:p>
      <w:pPr>
        <w:pStyle w:val="ListParagraph"/>
        <w:numPr>
          <w:ilvl w:val="0"/>
          <w:numId w:val="3"/>
        </w:numPr>
        <w:spacing w:after="40" w:before="40"/>
      </w:pPr>
      <w:r>
        <w:rPr>
          <w:rFonts w:ascii="Arial" w:cs="Arial" w:eastAsia="Arial" w:hAnsi="Arial"/>
          <w:b/>
          <w:bCs/>
          <w:sz w:val="22"/>
          <w:szCs w:val="22"/>
        </w:rPr>
        <w:t xml:space="preserve">Le véhicule dépose et repart : </w:t>
      </w:r>
      <w:r>
        <w:rPr>
          <w:rFonts w:ascii="Arial" w:cs="Arial" w:eastAsia="Arial" w:hAnsi="Arial"/>
          <w:sz w:val="22"/>
          <w:szCs w:val="22"/>
        </w:rPr>
        <w:t xml:space="preserve">transport aller-retour des personnels vers leur poste. Le trajet est couvert par la ligne agents. Facturer en plus le véhicule = double facturation du même trajet.</w:t>
      </w:r>
    </w:p>
    <w:p>
      <w:pPr>
        <w:pStyle w:val="ListParagraph"/>
        <w:numPr>
          <w:ilvl w:val="0"/>
          <w:numId w:val="3"/>
        </w:numPr>
        <w:spacing w:after="40" w:before="40"/>
      </w:pPr>
      <w:r>
        <w:rPr>
          <w:rFonts w:ascii="Arial" w:cs="Arial" w:eastAsia="Arial" w:hAnsi="Arial"/>
          <w:b/>
          <w:bCs/>
          <w:sz w:val="22"/>
          <w:szCs w:val="22"/>
        </w:rPr>
        <w:t xml:space="preserve">Le véhicule reste stationné à côté du poste : </w:t>
      </w:r>
      <w:r>
        <w:rPr>
          <w:rFonts w:ascii="Arial" w:cs="Arial" w:eastAsia="Arial" w:hAnsi="Arial"/>
          <w:sz w:val="22"/>
          <w:szCs w:val="22"/>
        </w:rPr>
        <w:t xml:space="preserve">l'agent travaille à pied, le véhicule est garé. Il ne réalise aucune mission opérationnelle. Sa présence physique sur le site ne suffit pas à justifier sa facturation.</w:t>
      </w:r>
    </w:p>
    <w:p>
      <w:pPr>
        <w:pStyle w:val="ListParagraph"/>
        <w:numPr>
          <w:ilvl w:val="0"/>
          <w:numId w:val="3"/>
        </w:numPr>
        <w:spacing w:after="40" w:before="40"/>
      </w:pPr>
      <w:r>
        <w:rPr>
          <w:rFonts w:ascii="Arial" w:cs="Arial" w:eastAsia="Arial" w:hAnsi="Arial"/>
          <w:b/>
          <w:bCs/>
          <w:sz w:val="22"/>
          <w:szCs w:val="22"/>
        </w:rPr>
        <w:t xml:space="preserve">Le véhicule sert de vestiaire / stockage de matériel : </w:t>
      </w:r>
      <w:r>
        <w:rPr>
          <w:rFonts w:ascii="Arial" w:cs="Arial" w:eastAsia="Arial" w:hAnsi="Arial"/>
          <w:sz w:val="22"/>
          <w:szCs w:val="22"/>
        </w:rPr>
        <w:t xml:space="preserve">il transporte les sacs à dos, les équipements. Fonction purement logistique interne à la force publique. Non imputable à l'organisateur au sens du CE Moto-Club de Nevers.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r>
              <w:rPr>
                <w:rFonts w:ascii="Arial" w:cs="Arial" w:eastAsia="Arial" w:hAnsi="Arial"/>
                <w:b/>
                <w:bCs/>
                <w:sz w:val="22"/>
                <w:szCs w:val="22"/>
              </w:rPr>
              <w:t xml:space="preserve">→ Un véhicule facturable doit être identifiable dans le périmètre missionnel écrit avec une mission opérationnelle précise. Tout véhicule sans mission affectée dans le dispositif est couvert par la ligne agents ou non facturable.</w:t>
            </w:r>
          </w:p>
        </w:tc>
      </w:tr>
    </w:tbl>
    <w:p>
      <w:pPr>
        <w:spacing w:after="160" w:before="0"/>
      </w:pPr>
    </w:p>
    <w:p>
      <w:pPr>
        <w:spacing w:after="100" w:before="240"/>
      </w:pPr>
      <w:r>
        <w:rPr>
          <w:rFonts w:ascii="Arial" w:cs="Arial" w:eastAsia="Arial" w:hAnsi="Arial"/>
          <w:b/>
          <w:bCs/>
          <w:color w:val="2E74B5"/>
          <w:sz w:val="24"/>
          <w:szCs w:val="24"/>
        </w:rPr>
        <w:t xml:space="preserve">Sujet 3 — La facturation des véhicules par rotation d'équipages</w:t>
      </w:r>
    </w:p>
    <w:p>
      <w:pPr>
        <w:spacing w:after="80" w:before="80"/>
      </w:pPr>
      <w:r>
        <w:rPr>
          <w:rFonts w:ascii="Arial" w:cs="Arial" w:eastAsia="Arial" w:hAnsi="Arial"/>
          <w:sz w:val="22"/>
          <w:szCs w:val="22"/>
        </w:rPr>
        <w:t xml:space="preserve">Situation constatée : 4 motos sont simultanément nécessaires sur le périmètre. Avec les rotations, 12 motos physiques différentes transitent sur le site. La préfecture facture 12 × forfait 24h au lieu de 4.</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19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2023</w:t>
            </w:r>
          </w:p>
        </w:tc>
        <w:tc>
          <w:tcPr>
            <w:tcW w:type="dxa" w:w="19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2024</w:t>
            </w:r>
          </w:p>
        </w:tc>
        <w:tc>
          <w:tcPr>
            <w:tcW w:type="dxa" w:w="19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Véhicules police (€)</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6 235 €</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6 235 €</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7 764 €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Effectifs police</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 agents</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 agents</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Hausse véhicules 2024→2025</w:t>
            </w:r>
          </w:p>
        </w:tc>
        <w:tc>
          <w:tcPr>
            <w:tcW w:type="dxa" w:w="1942"/>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942"/>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942"/>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+ 24,5 %</w:t>
            </w:r>
          </w:p>
        </w:tc>
      </w:tr>
    </w:tbl>
    <w:p>
      <w:pPr>
        <w:spacing w:after="120" w:before="0"/>
      </w:pPr>
    </w:p>
    <w:p>
      <w:pPr>
        <w:spacing w:after="80" w:before="80"/>
      </w:pPr>
      <w:r>
        <w:rPr>
          <w:rFonts w:ascii="Arial" w:cs="Arial" w:eastAsia="Arial" w:hAnsi="Arial"/>
          <w:sz w:val="22"/>
          <w:szCs w:val="22"/>
        </w:rPr>
        <w:t xml:space="preserve">Les effectifs baissent, la ligne véhicules monte de +24,5% en un an. L'événement n'a pas changé.</w:t>
      </w:r>
    </w:p>
    <w:p>
      <w:pPr>
        <w:pStyle w:val="ListParagraph"/>
        <w:numPr>
          <w:ilvl w:val="0"/>
          <w:numId w:val="2"/>
        </w:numPr>
        <w:spacing w:after="60" w:before="60"/>
      </w:pPr>
      <w:r>
        <w:rPr>
          <w:rFonts w:ascii="Arial" w:cs="Arial" w:eastAsia="Arial" w:hAnsi="Arial"/>
          <w:b/>
          <w:bCs/>
          <w:sz w:val="22"/>
          <w:szCs w:val="22"/>
        </w:rPr>
        <w:t xml:space="preserve">Double facturation : </w:t>
      </w:r>
      <w:r>
        <w:rPr>
          <w:rFonts w:ascii="Arial" w:cs="Arial" w:eastAsia="Arial" w:hAnsi="Arial"/>
          <w:sz w:val="22"/>
          <w:szCs w:val="22"/>
        </w:rPr>
        <w:t xml:space="preserve">les trois équipages des rotations sont déjà payés sur la ligne agents (taux horaire × heures). Facturer 12 véhicules au lieu de 4 revient à refacturer l'organisation interne des vacations à l'organisateur.</w:t>
      </w:r>
    </w:p>
    <w:p>
      <w:pPr>
        <w:pStyle w:val="ListParagraph"/>
        <w:numPr>
          <w:ilvl w:val="0"/>
          <w:numId w:val="2"/>
        </w:numPr>
        <w:spacing w:after="60" w:before="60"/>
      </w:pPr>
      <w:r>
        <w:rPr>
          <w:rFonts w:ascii="Arial" w:cs="Arial" w:eastAsia="Arial" w:hAnsi="Arial"/>
          <w:b/>
          <w:bCs/>
          <w:sz w:val="22"/>
          <w:szCs w:val="22"/>
        </w:rPr>
        <w:t xml:space="preserve">Choix d'organisation interne non imputable : </w:t>
      </w:r>
      <w:r>
        <w:rPr>
          <w:rFonts w:ascii="Arial" w:cs="Arial" w:eastAsia="Arial" w:hAnsi="Arial"/>
          <w:sz w:val="22"/>
          <w:szCs w:val="22"/>
        </w:rPr>
        <w:t xml:space="preserve">affecter une moto personnelle à chaque motard est un choix RH de la force publique. Ce choix ne profite pas à l'ACO et n'est pas directement imputable à l'événement (CE Moto-Club de Nevers).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r>
              <w:rPr>
                <w:rFonts w:ascii="Arial" w:cs="Arial" w:eastAsia="Arial" w:hAnsi="Arial"/>
                <w:b/>
                <w:bCs/>
                <w:sz w:val="22"/>
                <w:szCs w:val="22"/>
              </w:rPr>
              <w:t xml:space="preserve">→ La facturation doit porter sur la capacité simultanément déployée au profit du périmètre missionnel (4 motos), pas sur le total des véhicules ayant transité par le site.</w:t>
            </w:r>
          </w:p>
        </w:tc>
      </w:tr>
    </w:tbl>
    <w:p>
      <w:pPr>
        <w:spacing w:after="160" w:before="0"/>
      </w:pPr>
    </w:p>
    <w:p>
      <w:pPr>
        <w:spacing w:after="100" w:before="240"/>
      </w:pPr>
      <w:r>
        <w:rPr>
          <w:rFonts w:ascii="Arial" w:cs="Arial" w:eastAsia="Arial" w:hAnsi="Arial"/>
          <w:b/>
          <w:bCs/>
          <w:color w:val="2E74B5"/>
          <w:sz w:val="24"/>
          <w:szCs w:val="24"/>
        </w:rPr>
        <w:t xml:space="preserve">Sujet 4 — L'absence de cohérence opérationnelle des effectifs demandés</w:t>
      </w:r>
    </w:p>
    <w:p>
      <w:pPr>
        <w:spacing w:after="80" w:before="80"/>
      </w:pPr>
      <w:r>
        <w:rPr>
          <w:rFonts w:ascii="Arial" w:cs="Arial" w:eastAsia="Arial" w:hAnsi="Arial"/>
          <w:sz w:val="22"/>
          <w:szCs w:val="22"/>
        </w:rPr>
        <w:t xml:space="preserve">C'est le sujet le plus structurant : le calibrage des effectifs et des moyens varie d'année en année sans lien démontrable avec les besoins réels de l'événement, et toujours à la hausse en termes de coût.</w:t>
      </w:r>
    </w:p>
    <w:p>
      <w:pPr>
        <w:spacing w:after="80" w:before="0"/>
      </w:pPr>
    </w:p>
    <w:p>
      <w:pPr>
        <w:spacing w:after="80" w:before="80"/>
      </w:pPr>
      <w:r>
        <w:rPr>
          <w:rFonts w:ascii="Arial" w:cs="Arial" w:eastAsia="Arial" w:hAnsi="Arial"/>
          <w:b/>
          <w:bCs/>
          <w:sz w:val="22"/>
          <w:szCs w:val="22"/>
        </w:rPr>
        <w:t xml:space="preserve">Exemple concret — UMZ motos :</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Indicateur</w:t>
            </w:r>
          </w:p>
        </w:tc>
        <w:tc>
          <w:tcPr>
            <w:tcW w:type="dxa" w:w="2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GP Moto 2025</w:t>
            </w:r>
          </w:p>
        </w:tc>
        <w:tc>
          <w:tcPr>
            <w:tcW w:type="dxa" w:w="2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GP Moto 2026 (proposé)</w:t>
            </w:r>
          </w:p>
        </w:tc>
      </w:tr>
      <w:tr>
        <w:tc>
          <w:tcPr>
            <w:tcW w:type="dxa" w:w="3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Motos UMZ commandées</w:t>
            </w:r>
          </w:p>
        </w:tc>
        <w:tc>
          <w:tcPr>
            <w:tcW w:type="dxa" w:w="2613"/>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18 motos</w:t>
            </w:r>
          </w:p>
        </w:tc>
        <w:tc>
          <w:tcPr>
            <w:tcW w:type="dxa" w:w="2613"/>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28 motos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 simultané constaté</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motos</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Résultat de l'événement</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 déroulement</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Même événement</w:t>
            </w:r>
          </w:p>
        </w:tc>
      </w:tr>
      <w:tr>
        <w:tc>
          <w:tcPr>
            <w:tcW w:type="dxa" w:w="3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Justification opérationnelle fournie</w:t>
            </w:r>
          </w:p>
        </w:tc>
        <w:tc>
          <w:tcPr>
            <w:tcW w:type="dxa" w:w="2613"/>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Aucune</w:t>
            </w:r>
          </w:p>
        </w:tc>
        <w:tc>
          <w:tcPr>
            <w:tcW w:type="dxa" w:w="2613"/>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sz w:val="20"/>
                <w:szCs w:val="20"/>
              </w:rPr>
              <w:t xml:space="preserve">Aucune</w:t>
            </w:r>
          </w:p>
        </w:tc>
      </w:tr>
    </w:tbl>
    <w:p>
      <w:pPr>
        <w:spacing w:after="120" w:before="0"/>
      </w:pPr>
    </w:p>
    <w:p>
      <w:pPr>
        <w:spacing w:after="80" w:before="80"/>
      </w:pPr>
      <w:r>
        <w:rPr>
          <w:rFonts w:ascii="Arial" w:cs="Arial" w:eastAsia="Arial" w:hAnsi="Arial"/>
          <w:sz w:val="22"/>
          <w:szCs w:val="22"/>
        </w:rPr>
        <w:t xml:space="preserve">L'événement 2025 s'est parfaitement déroulé avec 18 motos (dont 10 en simultané au pic). En 2026, sans modification du dispositif de l'ACO, sans évolution de la configuration du circuit, sans changement du public attendu, 28 motos sont demandées — soit +55%.</w:t>
      </w:r>
    </w:p>
    <w:p>
      <w:pPr>
        <w:spacing w:after="80" w:before="0"/>
      </w:pPr>
    </w:p>
    <w:p>
      <w:pPr>
        <w:spacing w:after="80" w:before="80"/>
      </w:pPr>
      <w:r>
        <w:rPr>
          <w:rFonts w:ascii="Arial" w:cs="Arial" w:eastAsia="Arial" w:hAnsi="Arial"/>
          <w:b/>
          <w:bCs/>
          <w:sz w:val="22"/>
          <w:szCs w:val="22"/>
        </w:rPr>
        <w:t xml:space="preserve">Ce que dit le droit :</w:t>
      </w:r>
    </w:p>
    <w:p>
      <w:pPr>
        <w:pStyle w:val="ListParagraph"/>
        <w:numPr>
          <w:ilvl w:val="0"/>
          <w:numId w:val="2"/>
        </w:numPr>
        <w:spacing w:after="60" w:before="60"/>
      </w:pPr>
      <w:r>
        <w:rPr>
          <w:rFonts w:ascii="Arial" w:cs="Arial" w:eastAsia="Arial" w:hAnsi="Arial"/>
          <w:b/>
          <w:bCs/>
          <w:sz w:val="22"/>
          <w:szCs w:val="22"/>
        </w:rPr>
        <w:t xml:space="preserve">La circulaire du 8 avril 2022 </w:t>
      </w:r>
      <w:r>
        <w:rPr>
          <w:rFonts w:ascii="Arial" w:cs="Arial" w:eastAsia="Arial" w:hAnsi="Arial"/>
          <w:sz w:val="22"/>
          <w:szCs w:val="22"/>
        </w:rPr>
        <w:t xml:space="preserve">impose que le périmètre missionnel soit défini de manière précise et motivée, « afin de garantir le plus possible la prévisibilité de la facturation ». Elle prévoit une réunion interne aux services de l'État pour justifier chaque poste.</w:t>
      </w:r>
    </w:p>
    <w:p>
      <w:pPr>
        <w:pStyle w:val="ListParagraph"/>
        <w:numPr>
          <w:ilvl w:val="0"/>
          <w:numId w:val="2"/>
        </w:numPr>
        <w:spacing w:after="60" w:before="60"/>
      </w:pPr>
      <w:r>
        <w:rPr>
          <w:rFonts w:ascii="Arial" w:cs="Arial" w:eastAsia="Arial" w:hAnsi="Arial"/>
          <w:b/>
          <w:bCs/>
          <w:sz w:val="22"/>
          <w:szCs w:val="22"/>
        </w:rPr>
        <w:t xml:space="preserve">Le CE Arena (2021) </w:t>
      </w:r>
      <w:r>
        <w:rPr>
          <w:rFonts w:ascii="Arial" w:cs="Arial" w:eastAsia="Arial" w:hAnsi="Arial"/>
          <w:sz w:val="22"/>
          <w:szCs w:val="22"/>
        </w:rPr>
        <w:t xml:space="preserve">interdit de facturer à l'organisateur des besoins qui excèdent ce qui est nécessaire pour l'événement. Des moyens surdimensionnés par rapport aux besoins réels constatés ne sont pas « exercés dans l'intérêt de l'organisateur ».</w:t>
      </w:r>
    </w:p>
    <w:p>
      <w:pPr>
        <w:pStyle w:val="ListParagraph"/>
        <w:numPr>
          <w:ilvl w:val="0"/>
          <w:numId w:val="2"/>
        </w:numPr>
        <w:spacing w:after="60" w:before="60"/>
      </w:pPr>
      <w:r>
        <w:rPr>
          <w:rFonts w:ascii="Arial" w:cs="Arial" w:eastAsia="Arial" w:hAnsi="Arial"/>
          <w:b/>
          <w:bCs/>
          <w:sz w:val="22"/>
          <w:szCs w:val="22"/>
        </w:rPr>
        <w:t xml:space="preserve">Le CE Moto-Club de Nevers (2022) </w:t>
      </w:r>
      <w:r>
        <w:rPr>
          <w:rFonts w:ascii="Arial" w:cs="Arial" w:eastAsia="Arial" w:hAnsi="Arial"/>
          <w:sz w:val="22"/>
          <w:szCs w:val="22"/>
        </w:rPr>
        <w:t xml:space="preserve">exige que les prestations soient « directement imputables à l'événement ». Des effectifs calibrés de façon autonome par les services, sans lien avec les besoins opérationnels réels, ne satisfont pas ce critère.</w:t>
      </w:r>
    </w:p>
    <w:p>
      <w:pPr>
        <w:pStyle w:val="ListParagraph"/>
        <w:numPr>
          <w:ilvl w:val="0"/>
          <w:numId w:val="2"/>
        </w:numPr>
        <w:spacing w:after="60" w:before="60"/>
      </w:pPr>
      <w:r>
        <w:rPr>
          <w:rFonts w:ascii="Arial" w:cs="Arial" w:eastAsia="Arial" w:hAnsi="Arial"/>
          <w:b/>
          <w:bCs/>
          <w:sz w:val="22"/>
          <w:szCs w:val="22"/>
        </w:rPr>
        <w:t xml:space="preserve">Le TA Nantes 2009 </w:t>
      </w:r>
      <w:r>
        <w:rPr>
          <w:rFonts w:ascii="Arial" w:cs="Arial" w:eastAsia="Arial" w:hAnsi="Arial"/>
          <w:sz w:val="22"/>
          <w:szCs w:val="22"/>
        </w:rPr>
        <w:t xml:space="preserve">a annulé les titres de perception en relevant que le préfet n'établissait pas que les forces de police étaient intervenues pour pallier une insuffisance du service d'ordre de l'organisateur — c'est-à-dire que le besoin réel n'était pas démontré.</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r>
              <w:rPr>
                <w:rFonts w:ascii="Arial" w:cs="Arial" w:eastAsia="Arial" w:hAnsi="Arial"/>
                <w:b/>
                <w:bCs/>
                <w:sz w:val="22"/>
                <w:szCs w:val="22"/>
              </w:rPr>
              <w:t xml:space="preserve">→ L'ACO n'est pas en position de contester les décisions opérationnelles du préfet. En revanche, elle ne peut être tenue de financer des moyens dont le calibrage n'est pas justifié par les besoins réels de l'événement. Une hausse de +55% des motos UMZ sans justification opérationnelle n'est pas imputable à l'organisateur au sens du L. 211-11 et du CE Arena.</w:t>
            </w:r>
          </w:p>
        </w:tc>
      </w:tr>
    </w:tbl>
    <w:p>
      <w:pPr>
        <w:spacing w:after="200" w:before="0"/>
      </w:pPr>
    </w:p>
    <w:p>
      <w:pPr>
        <w:pBdr>
          <w:bottom w:val="single" w:color="1F3864" w:sz="8" w:space="4"/>
        </w:pBdr>
        <w:spacing w:after="160" w:before="320"/>
      </w:pPr>
      <w:r>
        <w:rPr>
          <w:rFonts w:ascii="Arial" w:cs="Arial" w:eastAsia="Arial" w:hAnsi="Arial"/>
          <w:b/>
          <w:bCs/>
          <w:color w:val="1F3864"/>
          <w:sz w:val="28"/>
          <w:szCs w:val="28"/>
        </w:rPr>
        <w:t xml:space="preserve">III. L'événement n'a pas changé — ni en 2025, ni en 2026</w:t>
      </w:r>
    </w:p>
    <w:p>
      <w:pPr>
        <w:spacing w:after="80" w:before="80"/>
      </w:pPr>
      <w:r>
        <w:rPr>
          <w:rFonts w:ascii="Arial" w:cs="Arial" w:eastAsia="Arial" w:hAnsi="Arial"/>
          <w:sz w:val="22"/>
          <w:szCs w:val="22"/>
        </w:rPr>
        <w:t xml:space="preserve">Les trois conventions 2023, 2024 et 2025 décrivent les missions à l'article 2 dans des termes rigoureusement identiques. Le périmètre de l'ACO, sa capacité d'accueil, son propre service d'ordre (milliers d'agents de sécurité privée, personnel d'accueil) n'ont pas évolué.</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19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2023</w:t>
            </w:r>
          </w:p>
        </w:tc>
        <w:tc>
          <w:tcPr>
            <w:tcW w:type="dxa" w:w="19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2024</w:t>
            </w:r>
          </w:p>
        </w:tc>
        <w:tc>
          <w:tcPr>
            <w:tcW w:type="dxa" w:w="19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police nationale</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23 243 €</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24 361 €</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26 533 €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Taux horaire agent</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20 €/h</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20 €/h</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Effectifs police mis à dispo</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89</w:t>
            </w:r>
          </w:p>
        </w:tc>
      </w:tr>
      <w:tr>
        <w:tc>
          <w:tcPr>
            <w:tcW w:type="dxa" w:w="3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Hausse facture 2023→2025</w:t>
            </w:r>
          </w:p>
        </w:tc>
        <w:tc>
          <w:tcPr>
            <w:tcW w:type="dxa" w:w="1942"/>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942"/>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942"/>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+ 14,2 %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Périmètre missionnel convention</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Identique</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Identique</w:t>
            </w:r>
          </w:p>
        </w:tc>
        <w:tc>
          <w:tcPr>
            <w:tcW w:type="dxa" w:w="19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Identique</w:t>
            </w:r>
          </w:p>
        </w:tc>
      </w:tr>
    </w:tbl>
    <w:p>
      <w:pPr>
        <w:spacing w:after="120" w:before="0"/>
      </w:pPr>
    </w:p>
    <w:p>
      <w:pPr>
        <w:spacing w:after="80" w:before="80"/>
      </w:pPr>
      <w:r>
        <w:rPr>
          <w:rFonts w:ascii="Arial" w:cs="Arial" w:eastAsia="Arial" w:hAnsi="Arial"/>
          <w:sz w:val="22"/>
          <w:szCs w:val="22"/>
        </w:rPr>
        <w:t xml:space="preserve">Le taux horaire est stable. Les effectifs baissent légèrement. La hausse vient exclusivement de coûts internes à la force publique (tarifs hôteliers, organisation des rotations, véhicules supplémentaires non justifiés) — aucun de ces coûts n'est imputable à l'organisateur au sens du CE Arena.</w:t>
      </w:r>
    </w:p>
    <w:p>
      <w:pPr>
        <w:spacing w:after="200" w:before="0"/>
      </w:pPr>
    </w:p>
    <w:p>
      <w:pPr>
        <w:pBdr>
          <w:bottom w:val="single" w:color="1F3864" w:sz="8" w:space="4"/>
        </w:pBdr>
        <w:spacing w:after="160" w:before="320"/>
      </w:pPr>
      <w:r>
        <w:rPr>
          <w:rFonts w:ascii="Arial" w:cs="Arial" w:eastAsia="Arial" w:hAnsi="Arial"/>
          <w:b/>
          <w:bCs/>
          <w:color w:val="1F3864"/>
          <w:sz w:val="28"/>
          <w:szCs w:val="28"/>
        </w:rPr>
        <w:t xml:space="preserve">IV. Ce que l'ACO demande</w:t>
      </w:r>
    </w:p>
    <w:p>
      <w:pPr>
        <w:pStyle w:val="ListParagraph"/>
        <w:numPr>
          <w:ilvl w:val="0"/>
          <w:numId w:val="2"/>
        </w:numPr>
        <w:spacing w:after="60" w:before="60"/>
      </w:pPr>
      <w:r>
        <w:rPr>
          <w:rFonts w:ascii="Arial" w:cs="Arial" w:eastAsia="Arial" w:hAnsi="Arial"/>
          <w:sz w:val="22"/>
          <w:szCs w:val="22"/>
        </w:rPr>
        <w:t xml:space="preserve">La formalisation écrite et motivée du périmètre missionnel préalablement à l'événement, conformément à la circulaire du 8 avril 2022, avec justification opérationnelle de chaque poste.</w:t>
      </w:r>
    </w:p>
    <w:p>
      <w:pPr>
        <w:pStyle w:val="ListParagraph"/>
        <w:numPr>
          <w:ilvl w:val="0"/>
          <w:numId w:val="2"/>
        </w:numPr>
        <w:spacing w:after="60" w:before="60"/>
      </w:pPr>
      <w:r>
        <w:rPr>
          <w:rFonts w:ascii="Arial" w:cs="Arial" w:eastAsia="Arial" w:hAnsi="Arial"/>
          <w:sz w:val="22"/>
          <w:szCs w:val="22"/>
        </w:rPr>
        <w:t xml:space="preserve">L'exclusion des unités N2/N3 en réserve d'intervention du périmètre facturable, par parallélisme avec le traitement des Sentinelles Vigipirate et du RAID présents sur site.</w:t>
      </w:r>
    </w:p>
    <w:p>
      <w:pPr>
        <w:pStyle w:val="ListParagraph"/>
        <w:numPr>
          <w:ilvl w:val="0"/>
          <w:numId w:val="2"/>
        </w:numPr>
        <w:spacing w:after="60" w:before="60"/>
      </w:pPr>
      <w:r>
        <w:rPr>
          <w:rFonts w:ascii="Arial" w:cs="Arial" w:eastAsia="Arial" w:hAnsi="Arial"/>
          <w:sz w:val="22"/>
          <w:szCs w:val="22"/>
        </w:rPr>
        <w:t xml:space="preserve">La limitation de la ligne véhicules aux seuls véhicules identifiés dans le périmètre missionnel avec une mission opérationnelle affectée — à l'exclusion des véhicules de transport, de stationnement ou de stockage de matériel.</w:t>
      </w:r>
    </w:p>
    <w:p>
      <w:pPr>
        <w:pStyle w:val="ListParagraph"/>
        <w:numPr>
          <w:ilvl w:val="0"/>
          <w:numId w:val="2"/>
        </w:numPr>
        <w:spacing w:after="60" w:before="60"/>
      </w:pPr>
      <w:r>
        <w:rPr>
          <w:rFonts w:ascii="Arial" w:cs="Arial" w:eastAsia="Arial" w:hAnsi="Arial"/>
          <w:sz w:val="22"/>
          <w:szCs w:val="22"/>
        </w:rPr>
        <w:t xml:space="preserve">Le comptage des véhicules sur la base de la capacité simultanément déployée sur le périmètre, et non sur le nombre de véhicules physiques ayant transité par le site du fait des rotations internes.</w:t>
      </w:r>
    </w:p>
    <w:p>
      <w:pPr>
        <w:pStyle w:val="ListParagraph"/>
        <w:numPr>
          <w:ilvl w:val="0"/>
          <w:numId w:val="2"/>
        </w:numPr>
        <w:spacing w:after="60" w:before="60"/>
      </w:pPr>
      <w:r>
        <w:rPr>
          <w:rFonts w:ascii="Arial" w:cs="Arial" w:eastAsia="Arial" w:hAnsi="Arial"/>
          <w:sz w:val="22"/>
          <w:szCs w:val="22"/>
        </w:rPr>
        <w:t xml:space="preserve">Une justification opérationnelle documentée de toute hausse significative des effectifs ou des moyens demandés par rapport à l'édition précédente, notamment pour les 28 motos UMZ proposées en 2026 vs 18 en 2025.</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r>
              <w:rPr>
                <w:rFonts w:ascii="Arial" w:cs="Arial" w:eastAsia="Arial" w:hAnsi="Arial"/>
                <w:b/>
                <w:bCs/>
                <w:sz w:val="22"/>
                <w:szCs w:val="22"/>
              </w:rPr>
              <w:t xml:space="preserve">⚠️  Rappel : le Tribunal administratif de Nantes a annulé l'intégralité des titres de perception émis par le préfet de la Sarthe contre l'ASM pour les GP Moto 2002–2007 (jugement du 27 mars 2009). L'ACO souhaite construire une position commune, sécurisée juridiquement pour les deux parties, et éviter un contentieux sur des bases identiques à celui tranché en 2009.</w:t>
            </w:r>
          </w:p>
        </w:tc>
      </w:tr>
    </w:tbl>
    <w:p>
      <w:pPr>
        <w:spacing w:after="400" w:before="0"/>
      </w:pPr>
    </w:p>
    <w:p>
      <w:pPr>
        <w:jc w:val="right"/>
      </w:pPr>
      <w:r>
        <w:rPr>
          <w:rFonts w:ascii="Arial" w:cs="Arial" w:eastAsia="Arial" w:hAnsi="Arial"/>
          <w:i/>
          <w:iCs/>
          <w:color w:val="666666"/>
          <w:sz w:val="18"/>
          <w:szCs w:val="18"/>
        </w:rPr>
        <w:t xml:space="preserve">Le Mans, mai 2025 — ACO / ASM 24 Heures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2026-04-30T19:46:27.709Z</dcterms:created>
  <dcterms:modified xsi:type="dcterms:W3CDTF">2026-04-30T19:46:27.726Z</dcterms:modified>
</cp:coreProperties>
</file>

<file path=docProps/custom.xml><?xml version="1.0" encoding="utf-8"?>
<Properties xmlns="http://schemas.openxmlformats.org/officeDocument/2006/custom-properties" xmlns:vt="http://schemas.openxmlformats.org/officeDocument/2006/docPropsVTypes"/>
</file>