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FEC4" w14:textId="77777777" w:rsidR="00234603" w:rsidRPr="00234603" w:rsidRDefault="00234603" w:rsidP="00234603">
      <w:pPr>
        <w:rPr>
          <w:b/>
          <w:bCs/>
          <w:sz w:val="40"/>
          <w:szCs w:val="40"/>
        </w:rPr>
      </w:pPr>
      <w:r w:rsidRPr="00234603">
        <w:rPr>
          <w:b/>
          <w:bCs/>
          <w:sz w:val="40"/>
          <w:szCs w:val="40"/>
        </w:rPr>
        <w:t>Abstract</w:t>
      </w:r>
    </w:p>
    <w:p w14:paraId="489C65B7" w14:textId="77777777" w:rsidR="00234603" w:rsidRPr="00234603" w:rsidRDefault="00234603" w:rsidP="00234603">
      <w:pPr>
        <w:spacing w:after="0" w:line="600" w:lineRule="exact"/>
        <w:rPr>
          <w:sz w:val="32"/>
          <w:szCs w:val="32"/>
        </w:rPr>
      </w:pPr>
      <w:r w:rsidRPr="00234603">
        <w:rPr>
          <w:sz w:val="32"/>
          <w:szCs w:val="32"/>
        </w:rPr>
        <w:t>The invention provides an ethical, AI-integrated border protection system with satellite coordination and mandatory human authorization. Multi-source sensors (including drones, fixed cameras, and satellite imagery) feed a secure ingestion pipeline that performs schema validation, anomaly filtering, and geospatial normalization. A decision engine computes a real-time risk score, executes an anomaly-check layer, and enforces human command authority prior to any defensive action. When thresholds are met, alerts are broadcast and dispatch is coordinated; if ambiguity or anomaly is detected, the system requires human double-confirmation. All decisions and data provenance are cryptographically logged for auditability. The architecture supports low-latency LEO satellite links for wide-area coverage and resilient communications. The system improves detection accuracy and accountability for high-risk border scenarios while ensuring human sovereignty and legal compliance.</w:t>
      </w:r>
    </w:p>
    <w:p w14:paraId="422A2CE5" w14:textId="77777777" w:rsidR="00935985" w:rsidRPr="00234603" w:rsidRDefault="00935985">
      <w:pPr>
        <w:rPr>
          <w:sz w:val="28"/>
          <w:szCs w:val="28"/>
        </w:rPr>
      </w:pPr>
    </w:p>
    <w:sectPr w:rsidR="00935985" w:rsidRPr="002346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E601C" w14:textId="77777777" w:rsidR="00BE0FA0" w:rsidRDefault="00BE0FA0" w:rsidP="00BE0FA0">
      <w:pPr>
        <w:spacing w:after="0" w:line="240" w:lineRule="auto"/>
      </w:pPr>
      <w:r>
        <w:separator/>
      </w:r>
    </w:p>
  </w:endnote>
  <w:endnote w:type="continuationSeparator" w:id="0">
    <w:p w14:paraId="0535DFD9" w14:textId="77777777" w:rsidR="00BE0FA0" w:rsidRDefault="00BE0FA0" w:rsidP="00BE0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F962D" w14:textId="77777777" w:rsidR="00BE0FA0" w:rsidRDefault="00BE0FA0" w:rsidP="00BE0FA0">
      <w:pPr>
        <w:spacing w:after="0" w:line="240" w:lineRule="auto"/>
      </w:pPr>
      <w:r>
        <w:separator/>
      </w:r>
    </w:p>
  </w:footnote>
  <w:footnote w:type="continuationSeparator" w:id="0">
    <w:p w14:paraId="2E4EC54A" w14:textId="77777777" w:rsidR="00BE0FA0" w:rsidRDefault="00BE0FA0" w:rsidP="00BE0F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03"/>
    <w:rsid w:val="00234603"/>
    <w:rsid w:val="00274A80"/>
    <w:rsid w:val="00854B79"/>
    <w:rsid w:val="008E67B8"/>
    <w:rsid w:val="00935985"/>
    <w:rsid w:val="00BE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4F2CF3"/>
  <w15:chartTrackingRefBased/>
  <w15:docId w15:val="{AA77D07A-3D69-4E52-AB47-5ABCE007D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60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46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60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60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60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60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60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60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46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34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3460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34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3460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3460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3460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3460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346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6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4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6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46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46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6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6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46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60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0F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E0FA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E0F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E0FA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ching fang lee</dc:creator>
  <cp:keywords/>
  <dc:description/>
  <cp:lastModifiedBy>ching fang lee</cp:lastModifiedBy>
  <cp:revision>2</cp:revision>
  <dcterms:created xsi:type="dcterms:W3CDTF">2025-10-27T00:53:00Z</dcterms:created>
  <dcterms:modified xsi:type="dcterms:W3CDTF">2025-10-27T01:06:00Z</dcterms:modified>
</cp:coreProperties>
</file>