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gliatabella"/>
        <w:tblW w:w="142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04"/>
        <w:gridCol w:w="7115"/>
        <w:gridCol w:w="4759"/>
      </w:tblGrid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it-IT" w:eastAsia="en-US" w:bidi="ar-SA"/>
              </w:rPr>
              <w:t>Item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it-IT" w:eastAsia="en-US" w:bidi="ar-SA"/>
              </w:rPr>
              <w:t>Input (variabili database) – colonna 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it-IT" w:eastAsia="en-US" w:bidi="ar-SA"/>
              </w:rPr>
              <w:t>Output sistema (testo visualizzato) - B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Tipo visita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Cardiogeriatrica / </w:t>
            </w:r>
            <w:r>
              <w:rPr>
                <w:rFonts w:eastAsia="Aptos" w:cs=""/>
                <w:i/>
                <w:iCs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Cardiologica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Telemedicina: Si/ 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Visita HF/ amiloidoisi / CGA procedura / Cardiopalliative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Data visita: </w:t>
            </w:r>
            <w:commentRangeStart w:id="0"/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date</w:t>
            </w:r>
            <w:commentRangeEnd w:id="0"/>
            <w:r>
              <w:commentReference w:id="0"/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CF: text codice fiscale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Tipo visita: I visita / </w:t>
            </w:r>
            <w:commentRangeStart w:id="1"/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Controllo</w:t>
            </w:r>
            <w:commentRangeEnd w:id="1"/>
            <w:r>
              <w:commentReference w:id="1"/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Prima visita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OPPURE (solo se controllo)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Numero visita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Data ultima visita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Anagrafica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Data di nascita: date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Genere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: M / F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Uomo/donna di … (età alla visita).</w:t>
            </w:r>
          </w:p>
        </w:tc>
      </w:tr>
      <w:tr>
        <w:trPr>
          <w:trHeight w:val="4025" w:hRule="atLeast"/>
        </w:trPr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Anamnesi geriatrica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u w:val="single"/>
                <w:lang w:val="it-IT" w:eastAsia="en-US" w:bidi="ar-SA"/>
              </w:rPr>
              <w:t>1 Assistenza (MC)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: solo / con coniuge / con familiari / con assistenza di badante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u w:val="single"/>
                <w:lang w:val="it-IT" w:eastAsia="en-US" w:bidi="ar-SA"/>
              </w:rPr>
              <w:t>2 Deambulazione (MC)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: autonomo al domicilio/ autonoma senza ausili / con ausilio di bastone / con ausilio di walker / con assistenza / non possibile, assistito per passaggi posturali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highlight w:val="yellow"/>
                <w:u w:val="single"/>
                <w:lang w:val="it-IT" w:eastAsia="en-US" w:bidi="ar-SA"/>
              </w:rPr>
              <w:t>3 Motricità (SC):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 Esce di casa da solo / autonomo al domicilio / esegue spostamento letto-poltrona.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u w:val="single"/>
                <w:lang w:val="it-IT" w:eastAsia="en-US" w:bidi="ar-SA"/>
              </w:rPr>
              <w:t>4 Cadute in sei mesi (text):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u w:val="single"/>
                <w:lang w:val="it-IT" w:eastAsia="en-US" w:bidi="ar-SA"/>
              </w:rPr>
              <w:t>5 Deficit cognitivi (SC)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: nessuno / iniziali / noti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u w:val="single"/>
                <w:lang w:val="it-IT" w:eastAsia="en-US" w:bidi="ar-SA"/>
              </w:rPr>
              <w:t>6 BPSD (SC)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: sì / 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u w:val="single"/>
                <w:lang w:val="it-IT" w:eastAsia="en-US" w:bidi="ar-SA"/>
              </w:rPr>
              <w:t xml:space="preserve">7 Notti (SC): 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riposate senza ipnoinducenti/con ipnoinducenti/poco riposate.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highlight w:val="yellow"/>
                <w:lang w:val="it-IT" w:eastAsia="en-US" w:bidi="ar-SA"/>
              </w:rPr>
              <w:t xml:space="preserve">8 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highlight w:val="yellow"/>
                <w:u w:val="single"/>
                <w:lang w:val="it-IT" w:eastAsia="en-US" w:bidi="ar-SA"/>
              </w:rPr>
              <w:t>Calo ponderale negli ultimi tre mesi (SC):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 Non calo ponderale / Fra 1 e 3 kg / Non noto calo ponderale/ &gt;3Kg di calo ponderale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highlight w:val="yellow"/>
                <w:u w:val="single"/>
                <w:lang w:val="it-IT" w:eastAsia="en-US" w:bidi="ar-SA"/>
              </w:rPr>
              <w:t xml:space="preserve">9 appetito (SC): 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conservato /ridotto/lievemente ridotto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u w:val="single"/>
                <w:lang w:val="it-IT" w:eastAsia="en-US" w:bidi="ar-SA"/>
              </w:rPr>
              <w:t xml:space="preserve">10 Disfagia (SC): 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Non disfagia / Iniziale disfagia ai liquidi / Iniziale disfagia ai solidi / Disfagia per i liquidi / Disfagia per i solidi.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  <w:u w:val="single"/>
              </w:rPr>
            </w:pPr>
            <w:commentRangeStart w:id="2"/>
            <w:r>
              <w:rPr>
                <w:rFonts w:eastAsia="Aptos" w:cs=""/>
                <w:kern w:val="0"/>
                <w:sz w:val="24"/>
                <w:szCs w:val="24"/>
                <w:highlight w:val="green"/>
                <w:u w:val="single"/>
                <w:lang w:val="it-IT" w:eastAsia="en-US" w:bidi="ar-SA"/>
              </w:rPr>
              <w:t xml:space="preserve">Problemi nutrizionali </w:t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 xml:space="preserve">sì/no </w:t>
            </w:r>
            <w:commentRangeEnd w:id="2"/>
            <w:r>
              <w:commentReference w:id="2"/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highlight w:val="green"/>
                <w:u w:val="single"/>
                <w:lang w:val="it-IT" w:eastAsia="en-US" w:bidi="ar-SA"/>
              </w:rPr>
              <w:t>11 Stipsi: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 si 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highlight w:val="green"/>
                <w:u w:val="single"/>
                <w:lang w:val="it-IT" w:eastAsia="en-US" w:bidi="ar-SA"/>
              </w:rPr>
              <w:t>12 Invalidità:</w:t>
            </w:r>
            <w:r>
              <w:rPr>
                <w:rFonts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Vive al domicilio ...1…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Deambulazione …2… 3…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Non storia di cadute / * cadute negli ultimi sei mesi (4)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Non decadimento cognitivo / iniziali deficit cognitivi / noti deficit cognitivi  (5)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Non BPSD / Noti BPSD (6)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Notti …7…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Negli ultimi tre mesi…8…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Appetito…9…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…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10…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Alvo stitico/regolare (11)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In possesso di IC/non in possesso di IC. (12)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APR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Ipertensione arteriosa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Cardiopatia ischemica / STEMI / infarto / IMA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Insufficienza cardiaca / scompenso cardiaco / SCC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Fibrillazione atriale / FA / FAP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u w:val="single"/>
                <w:lang w:val="it-IT" w:eastAsia="en-US" w:bidi="ar-SA"/>
              </w:rPr>
              <w:t xml:space="preserve">Bradicardia / BAV 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Tutte le precedenti devono essere a flag (ciascun flag evidenziato in verde varrà 0.04 al PC FI)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Valvulopatia severa (MC): SM / IM / IAo / SAo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Amiloidosi ATTR-WT/variante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Data diagnosi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In terapia con DMT: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Data di avvio della terapia: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highlight w:val="gree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Deficit cognitivo / Demenza / Decadimento cognitivo/Disturbo cognitivo sì/no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Tipo di demenza (SC): neurodegenerativa/ vascolare / mista/ altro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Malattia cerebrovascolare / TIA / stroke / ictus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 xml:space="preserve">Neoplasia / Tumore / K / carcinoma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BPCO, enfisema, bronchite cronica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Malattia renale cronica / insufficienza renale cronica / IRC / MRC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Malattia vascolare periferica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Diabete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Ulcere croniche cutanee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Parkinson / Parkinsonismo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Schizofrenia o altre neurologiche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Paraplegia / atassia / distonia / miopatia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Frattura dell’anca / femore / PTA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Anemia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Ossigeno negli ultimi 6 mesi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Ospedalizzazione ultimi 6 mesi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green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Eparina negli ultimi 6 mesi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  <w:color w:themeColor="text1" w:val="000000"/>
              </w:rPr>
            </w:pPr>
            <w:r>
              <w:rPr>
                <w:rFonts w:eastAsia="Aptos" w:cs=""/>
                <w:i/>
                <w:iCs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Input testuale nella colonna B da cui si ricavano parole chiave -&gt; flag automatico nella sezione 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  <w:color w:themeColor="text1" w:val="000000"/>
              </w:rPr>
            </w:pPr>
            <w:r>
              <w:rPr>
                <w:i/>
                <w:iCs/>
                <w:color w:themeColor="text1" w:val="000000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  <w:color w:themeColor="text1" w:val="000000"/>
              </w:rPr>
            </w:pPr>
            <w:r>
              <w:rPr>
                <w:rFonts w:eastAsia="Aptos" w:cs=""/>
                <w:i/>
                <w:iCs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 xml:space="preserve">Deve essere modificabile, cioè devo comunque poter spuntare casella e tenere in memoria tale passaggio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  <w:color w:themeColor="text1" w:val="000000"/>
              </w:rPr>
            </w:pPr>
            <w:r>
              <w:rPr>
                <w:i/>
                <w:iCs/>
                <w:color w:themeColor="text1" w:val="000000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i/>
                <w:iCs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Altrimenti teniamo la colonna B di testo libero e la parte a lato che sarà da spuntare manualmente.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TD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β-bloccante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: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MRA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: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ACE inibitore: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Sartano (ARB)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: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SGLT-2 inibitore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: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ARNI: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Vericiguat: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Furosemide: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lightGray"/>
                <w:u w:val="single"/>
                <w:lang w:val="it-IT" w:eastAsia="en-US" w:bidi="ar-SA"/>
              </w:rPr>
              <w:t>Dosaggio furosemide:</w:t>
            </w:r>
            <w:r>
              <w:rPr>
                <w:rFonts w:eastAsia="Aptos" w:cs=""/>
                <w:kern w:val="0"/>
                <w:sz w:val="24"/>
                <w:szCs w:val="24"/>
                <w:highlight w:val="lightGray"/>
                <w:lang w:val="it-IT" w:eastAsia="en-US" w:bidi="ar-SA"/>
              </w:rPr>
              <w:t xml:space="preserve"> num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Altro diuretico dell’ansa: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 xml:space="preserve">DOAC: 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sì/no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VKA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: sì/no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Acetazolamide: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Idroclorotiazide: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Acoramidis: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Tafamidis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: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Vutrisiran: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Calcio antagonisti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Ranolazina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Nitrati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GLP-1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Doxazosina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Clonidina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Fibrati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Statine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Ezetimibe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PPI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Ach-i/memantina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Benzodiazepine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Z drugs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Trazodone a dosaggio ridotto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Antidepressivi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 xml:space="preserve">Antipsicotici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Paracetamolo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Oppiacei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Altri analgesici (gabapentinoidi, antidepressivi)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Integrazione proteica con dieta/integratore alimentare: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Esercizio fisico: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rFonts w:eastAsia="Aptos" w:cs=""/>
                <w:i/>
                <w:iCs/>
                <w:color w:themeColor="text1" w:val="000000"/>
                <w:kern w:val="0"/>
                <w:sz w:val="24"/>
                <w:szCs w:val="24"/>
                <w:lang w:val="it-IT" w:eastAsia="en-US" w:bidi="ar-SA"/>
              </w:rPr>
              <w:t>Come sopra, pacchetti automatici?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Raccordo clinico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1Riferisce (SC): benessere / stabilità dei sintomi / peggioramento della dispnea / peggioramento dell’astenia.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2Dispnea (SC): Non dispnea / dispnea per sforzi intensi / dispnea per sforzi moderati / dispnea per sforzi lievi.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3Angor (SC): Non angor / episodi di angina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accent2" w:val="E97132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4Cardiopalmo: Sì / No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5 Sonno (MC): Dorme con un cuscino / dorme con due cuscini / dorme in posizione seduta / DPN / Non dispnea parossistica notturna</w:t>
            </w:r>
            <w:r>
              <w:rPr>
                <w:rFonts w:eastAsia="Aptos" w:cs=""/>
                <w:color w:themeColor="accent2" w:val="0369A3"/>
                <w:kern w:val="0"/>
                <w:sz w:val="24"/>
                <w:szCs w:val="24"/>
                <w:lang w:val="it-IT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yellow"/>
                <w:lang w:val="it-IT" w:eastAsia="en-US" w:bidi="ar-SA"/>
              </w:rPr>
              <w:t>Stress acuto negli ultimi 3 mesi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(ricoveri compresi): sì/no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 xml:space="preserve">6 Cadute tra una visita e l’altra: 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Se Si…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 xml:space="preserve">  </w:t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Quante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: num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 </w:t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Tipo: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testimoniata/non testimoniata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7 Accessi in PS tra una visita e la successiva: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Se Si…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 </w:t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Numero: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num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 </w:t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Causa: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Non cardiovascolare/scompenso/altra causa cardiovascolare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8 Ricoveri tra una visita e la successiva: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Se Si…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 </w:t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Numero: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num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u w:val="single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 </w:t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 xml:space="preserve">Giorni complessivi ricoverato: 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num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 </w:t>
            </w:r>
            <w:r>
              <w:rPr>
                <w:rFonts w:eastAsia="Aptos" w:cs=""/>
                <w:kern w:val="0"/>
                <w:sz w:val="24"/>
                <w:szCs w:val="24"/>
                <w:u w:val="single"/>
                <w:lang w:val="it-IT" w:eastAsia="en-US" w:bidi="ar-SA"/>
              </w:rPr>
              <w:t>Causa: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Non cardiovascolare/scompenso/altra causa cardiovascolare 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Riferisce ..1..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Nell’ultimo periodo ..2..3..4..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..5..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Dall’ultima valutazione non cadute /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 xml:space="preserve">num 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cadute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 xml:space="preserve"> tipo. (6)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 xml:space="preserve">N 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accesso in PS per causa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 xml:space="preserve"> (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…7…)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 ospedalizzazioni (n giorni complessivi) per causa (…8…)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Porta in visione EE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Data EE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commentRangeStart w:id="3"/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Hb _______g/L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Creatinina ____ mg/dl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Urea ______ mg/dl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 ______ mmol/L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K ________ mmol/L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NTproBNP _______ ng/L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BNP ______ng/L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Albumina _____-g/L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Albuminuria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w:commentRangeEnd w:id="3"/>
            <w:r>
              <w:commentReference w:id="3"/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___ g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Ultimi esami ematici (…/…/…): …, …, ….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Tutti consecutivi con unità di misura pre impostate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EO e sintomi, ECO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PA **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FC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TG sì/no, REG sì/no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Toni cardiaci (MC): validi / parafonici, ritmici / aritmici, pause libere / SS 2/6 / SS 4/6 / SS 5/6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Al torace (MC): MV presente / MV ridotto / abolito alle basi, non rumori aggiunti / crepitii alle basi / crepitii ai campi mediobasali / ronchi / rumori da secrezione / broncospasmo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Edem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 declivi sì/no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Neuropatia periferica si/no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Ipotensione ortostatica: sì/no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ECO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Linea pleurica: sliding sì/no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Pattern A sì/no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Linee B (MC) no / coalescenti / non coalescenti / con gradiente di distribuzione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PEFS destro __/  sinistro __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VCI &gt; 2 cm / &lt; 2 cm, collassabilità &lt; 50% / &gt; 50%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VEXUS ___ 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Pulsatilità porta:  normale (&lt;30%)/lievemente anormale (30-49%)/severamente anormale (&gt;50%)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PA * mmHg, FC * bpm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Turgore giugulare presente/assente, REG presente/assente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Toni cardiaci *, * , *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Al torace *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Edemi declivi / non edemi declivi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Prove di ipotensione ortostatica: positive / negative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Si esegue ecolung (paziente a 45°): sliding pleurico su tutto l’ambito / ***. Pattern A / Linee B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PEFS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VCI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VEXUS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Pulsatilità portale 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CGA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commentRangeStart w:id="4"/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ADL 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  <w:commentRangeEnd w:id="4"/>
            <w:r>
              <w:commentReference w:id="4"/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conservate </w:t>
            </w: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(se ne perde almeno 1 è disabilità severa in PCFI)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Alimentazione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Continenza 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Vestizione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Doccia 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Passaggi posturali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Andare in bagno e igiene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IADL conservate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Telefono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Acquisti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Senso denaro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Auto/mezzi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Medicinali 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Cucinare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Faccende domestiche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Lavanderia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MMSE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num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/30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MoCA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num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/30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ES___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BORG a riposo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num 0-10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commentRangeStart w:id="5"/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SPPB tot: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Equilibrio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Tempo per 4 metri (-&gt; gait speed) 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Sit to stand</w:t>
            </w:r>
            <w:commentRangeEnd w:id="5"/>
            <w:r>
              <w:commentReference w:id="5"/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i/>
                <w:iCs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BORG post SPPB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num 0-10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Handgrip: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num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kg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yellow"/>
                <w:lang w:val="it-IT" w:eastAsia="en-US" w:bidi="ar-SA"/>
              </w:rPr>
              <w:t>Circonferenza polpaccio: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 xml:space="preserve">num 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yellow"/>
                <w:lang w:val="it-IT" w:eastAsia="en-US" w:bidi="ar-SA"/>
              </w:rPr>
              <w:t>MNA-SF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: (calc)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Peso: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num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kg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green"/>
                <w:lang w:val="it-IT" w:eastAsia="en-US" w:bidi="ar-SA"/>
              </w:rPr>
              <w:t>PC-FI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(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calc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CFS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it-IT" w:eastAsia="en-US" w:bidi="ar-SA"/>
              </w:rPr>
              <w:t>num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NECPAL 4.0___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ADL */6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IADL */8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MMSE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MoCA…ES….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Borg a riposo *, dopo SPPB *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SPPB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Gait speed * m/s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Handgrip * kg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Peso *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MNA-SF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PC-FI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CFS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428" w:hRule="atLeast"/>
        </w:trPr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Conclusioni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Testo libero, si salva dalla volta precedente</w:t>
            </w:r>
          </w:p>
        </w:tc>
      </w:tr>
      <w:tr>
        <w:trPr>
          <w:trHeight w:val="428" w:hRule="atLeast"/>
        </w:trPr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Terapia a fine visita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Recupera la sezione TD flag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Recupera il testo. Se modifico deve aggiornare la colonna A.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Consigli</w:t>
            </w:r>
          </w:p>
        </w:tc>
        <w:tc>
          <w:tcPr>
            <w:tcW w:w="71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MODIFICHE DI TERAPIA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SLGT2i: si introduce gliflozina. Si raccomanda adeguata igiene intima stante aumentato rischio di infezioni del tratto urinario.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OAC monitoraggio comparsa di feci molto scure (melaniche) o sanguinamento attivo.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ACCERTAMENTI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EE: esami ematochimici da eseguire tra **. Inviare esito a cardiogeriatria@irccs-sangerardo.it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ECO: eseguire ecocardiografia transtoracica, da portare in visione al prossimo controllo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HOLTER: Eseguire HolterECG da portare in visione al prossimo controllo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MONITORAGGIO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PRESSIONE Tenere diario pressorio da portare in visione al prossimo controllo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PESO Pesare a giorni alterni alla stessa ora facendo attenzione ad incrementi ponderali (2 kg); eventuale rimodulazione diuretico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commentRangeStart w:id="6"/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SARCOPENIA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</w:t>
            </w:r>
            <w:commentRangeEnd w:id="6"/>
            <w:r>
              <w:commentReference w:id="6"/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GEN: Integrazione alimentare proteica con Fortimel Compact 250 ml 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DM: Integrazione alimentare proteica con Fortimel Diason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IRC: Integrazione alimentare proteica con Renilon 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DIETA Si prescrive valutazione da parte di dietista per dieta ad personam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ESERCIZIO FISICO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VIVIFRAIL: Si consegna passaporto Vivifrail (A B C D in funzione di SPPB tot) per attività fisica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FKT: Visita FKT per attivazione di ADI FKT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IPOTENSIONE ORTOSTATICA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Effettuare i passaggi posturali con cautela. Utili calze elastocompressive, soprattutto nei mesi estivi.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PALLIATIVO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APPROCCIO: In considerazione del quadro di fragilità e patologia attuale, si condivide il passaggio a un approccio basato al comfort e al controllo dei sintomi.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AVVIO Cardiopalliative: Prossima visita multidisciplinare in telemedicina cardiopalliative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CP: Utile, in accordo con il Curante, attivazione Servizio di Cure Palliative Domiciliari.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CADUTA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Per elevato rischio di caduta si consiglia di: usare calzature chiuse a pianta larga; munirsi di maniglie o ausili nel box doccia o vasca al fine di potersi sorreggere; evitare di transitare su superfici bagnate; togliere tappeti e altri ostacoli e non lasciare oggetti a terra; accendere sempre la luce qualora si rechi alla toilette nelle ore notturne; utilizzare luce di sicurezza; dotarsi di alza water, sedie o poltrone stabili, letti non troppo alti.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DISTURBI DEL SONNO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Per migliorare igiene del sonno favorire attività fisica nelle ore diurne. Inoltre, utile avvio melatonina 2 mg la sera prima di dormire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DISTURBO NEUROCOGNITIVO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DONEPEZIL: avvia donepezil 5 mg 1 cp ore 20. Dopo un mese, se ben tollerato, incrementa a 10 mg ore 20. Si rilascia Piano Terapeutico. Si raccomanda periodica esecuzione di ECG (dopo il primo mese di terapia e ogni 6 mesi).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MEMANTINA: avvia memantina secondo schema: per una settimana 10 mg ½ cp ore 8 POI per una settimana 10 mg 1 cp ore 8 POI per una settimana 10 mg 1+1/2 cp ore 8 POI 10 mg 2 cp ore 8.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IMAGING: Si consiglia esecuzione TC encefalo basale  / RMN encefalo basale / PET FDG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EE: Esami ematochimici comprensivi di emocromo, TSH reflex, B12 e folati, creatinina, azotemia, glicemia, colesterolo e trigliceridi, VDRL/TPHA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NPS: Utile esecuzione di test NPS di II livello. Verrà contattato telefonicamente per appuntamento.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RSA aperta: Utile attivazione misura RSA aperta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CDI: Utile frequentazione Centro Diurno Integrato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STIPSI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Movicol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Lattulosio (se disfagia) 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Doppio lassativo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Stipsi ostinata da oppiacei (…)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IPOACUSIA</w:t>
            </w: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Utile valutazione audiometrica per eventuale prescrizione di protesi acustiche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highlight w:val="darkCyan"/>
                <w:lang w:val="it-IT" w:eastAsia="en-US" w:bidi="ar-SA"/>
              </w:rPr>
              <w:t>DOLORE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PARACETAMOLO: introduce paracetamolo 1000 mg 1 cp ore 8 – 20 a schema fisso. Se dolore poco controllato, aumentabile fino a 3 volte al dì (8 -16 - 22)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TTS: utile introduzione di buprenorfina 35 mcg/h cerotto, da sostituire ogni 96 ore (4 giorni). Alternare le zone di applicazione. 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ORAMORPH: introduce Morfina solfato (es. Oramorph) 10 mg/5ml 1 fl al bisogno se dolore (massimo 3 volte al dì)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MORFINA: introduce Morfina Solfato (es. MS Contin RP) 10 mg 1 cp ore 8 (ripetibile massimo due volte al dì, ore 8-20).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CONTROLLO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APP: Prossimo controllo in data ** ore ** presso Palazzina Accoglienza, Secondo Piano, Amb 216-217. Portare in visione esami ematochimici. Si prega di registrare l’impegnativa al CUP almeno 48 ore prima dell’appuntamento.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 xml:space="preserve">TLM: Prossimo controllo in telemedicina in data ** ore **. Si compila modulistica.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0"/>
              <w:contextualSpacing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MAIL In caso di necessità contattare via mail cardiogeriatria@irccs-sangerardo.it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SPPB – vedi allegato</w:t>
      </w:r>
    </w:p>
    <w:p>
      <w:pPr>
        <w:pStyle w:val="Normal"/>
        <w:rPr/>
      </w:pPr>
      <w:r>
        <w:rPr>
          <w:highlight w:val="yellow"/>
        </w:rPr>
        <w:t>MNA</w:t>
      </w:r>
      <w:r>
        <w:rPr/>
        <w:t xml:space="preserve">  - vedi allegato</w:t>
      </w:r>
    </w:p>
    <w:p>
      <w:pPr>
        <w:pStyle w:val="Normal"/>
        <w:rPr/>
      </w:pPr>
      <w:r>
        <w:rPr>
          <w:highlight w:val="green"/>
        </w:rPr>
        <w:t>PC-FI</w:t>
      </w:r>
      <w:r>
        <w:rPr/>
        <w:t xml:space="preserve"> – ogni voce vale 0.04, da sommare per punteggio totale come qui: </w:t>
      </w:r>
      <w:hyperlink r:id="rId2">
        <w:r>
          <w:rPr>
            <w:rStyle w:val="Hyperlink"/>
          </w:rPr>
          <w:t>calculator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DOMANDE IMPORTANTI</w:t>
      </w:r>
    </w:p>
    <w:p>
      <w:pPr>
        <w:pStyle w:val="ListParagraph"/>
        <w:numPr>
          <w:ilvl w:val="0"/>
          <w:numId w:val="3"/>
        </w:numPr>
        <w:rPr/>
      </w:pPr>
      <w:r>
        <w:rPr/>
        <w:t>Dove salviamo i dati? In cloud? Avremo circa 1000 visite / anno. Dobbiamo salvare le info delle visite e un DB (Excel). Essendo dati sensibili il cloud non è ottimale. Si possono avere tre account e poi fare merge di dati alla fine? Si deve criptare?</w:t>
      </w:r>
    </w:p>
    <w:p>
      <w:pPr>
        <w:pStyle w:val="ListParagraph"/>
        <w:numPr>
          <w:ilvl w:val="0"/>
          <w:numId w:val="3"/>
        </w:numPr>
        <w:rPr/>
      </w:pPr>
      <w:r>
        <w:rPr/>
        <w:t>I dati che ci interessa raccogliere sono praticamente tutti, ad eccezione degli item non evidenziati nelle conclusioni, la conclusione della visita e gli item specifici di ADL e IADL</w:t>
      </w:r>
    </w:p>
    <w:p>
      <w:pPr>
        <w:pStyle w:val="ListParagraph"/>
        <w:numPr>
          <w:ilvl w:val="0"/>
          <w:numId w:val="3"/>
        </w:numPr>
        <w:rPr/>
      </w:pPr>
      <w:r>
        <w:rPr/>
        <w:t>Per la TD ci sono pacchetti già compilati in R – sono importabili?</w:t>
      </w:r>
    </w:p>
    <w:p>
      <w:pPr>
        <w:pStyle w:val="ListParagraph"/>
        <w:numPr>
          <w:ilvl w:val="0"/>
          <w:numId w:val="3"/>
        </w:numPr>
        <w:rPr/>
      </w:pPr>
      <w:r>
        <w:rPr/>
        <w:t>Tutti gli item che prevedono dicotomica, mettiamo compilato come 0 no</w:t>
      </w:r>
    </w:p>
    <w:sectPr>
      <w:type w:val="nextPage"/>
      <w:pgSz w:orient="landscape" w:w="16838" w:h="11906"/>
      <w:pgMar w:left="1417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.marelli31@campus.unimib.it" w:date="2026-04-08T15:37:00Z" w:initials="MM">
    <w:p>
      <w:pPr>
        <w:overflowPunct w:val="true"/>
        <w:rPr/>
      </w:pPr>
      <w:r>
        <w:annotationRef/>
      </w:r>
      <w:r>
        <w:rPr>
          <w:rFonts w:asciiTheme="minorHAnsi" w:cstheme="minorBidi" w:eastAsiaTheme="minorHAnsi" w:hAnsiTheme="minorHAnsi"/>
        </w:rPr>
        <w:t>Inserimento automatico (syncro calendario) ma modificabile.</w:t>
      </w:r>
    </w:p>
  </w:comment>
  <w:comment w:id="1" w:author="m.marelli31@campus.unimib.it" w:date="2026-04-08T15:20:00Z" w:initials="MM">
    <w:p>
      <w:pPr>
        <w:overflowPunct w:val="true"/>
        <w:rPr/>
      </w:pPr>
      <w:r>
        <w:annotationRef/>
      </w:r>
      <w:r>
        <w:rPr>
          <w:rFonts w:asciiTheme="minorHAnsi" w:cstheme="minorBidi" w:eastAsiaTheme="minorHAnsi" w:hAnsiTheme="minorHAnsi"/>
        </w:rPr>
        <w:t>Se controllo: pop up - vuoi caricare visita precedente? E fornisce dati precedenti (colonne A e B)</w:t>
      </w:r>
    </w:p>
  </w:comment>
  <w:comment w:id="2" w:author="m.marelli31@campus.unimib.it" w:date="2026-03-21T10:20:00Z" w:initials="MM">
    <w:p>
      <w:pPr>
        <w:overflowPunct w:val="true"/>
        <w:rPr/>
      </w:pPr>
      <w:r>
        <w:annotationRef/>
      </w:r>
      <w:r>
        <w:rPr>
          <w:rFonts w:asciiTheme="minorHAnsi" w:cstheme="minorBidi" w:eastAsiaTheme="minorHAnsi" w:hAnsiTheme="minorHAnsi"/>
        </w:rPr>
        <w:t>Serve solo per PC FI, non nel testo</w:t>
      </w:r>
    </w:p>
  </w:comment>
  <w:comment w:id="3" w:author="m.marelli31@campus.unimib.it" w:date="2026-04-07T17:53:00Z" w:initials="MM">
    <w:p>
      <w:pPr>
        <w:overflowPunct w:val="true"/>
        <w:rPr/>
      </w:pPr>
      <w:r>
        <w:annotationRef/>
      </w:r>
      <w:r>
        <w:rPr>
          <w:rFonts w:asciiTheme="minorHAnsi" w:cstheme="minorBidi" w:eastAsiaTheme="minorHAnsi" w:hAnsiTheme="minorHAnsi"/>
        </w:rPr>
        <w:t xml:space="preserve">Accanto far comparire i valori precedenti, deciderà l’inseritore se modificare il testo per aggiungerli. </w:t>
      </w:r>
    </w:p>
  </w:comment>
  <w:comment w:id="4" w:author="m.marelli31@campus.unimib.it" w:date="2026-04-07T18:23:00Z" w:initials="MM">
    <w:p>
      <w:pPr>
        <w:overflowPunct w:val="true"/>
        <w:rPr/>
      </w:pPr>
      <w:r>
        <w:annotationRef/>
      </w:r>
      <w:r>
        <w:rPr>
          <w:rFonts w:asciiTheme="minorHAnsi" w:cstheme="minorBidi" w:eastAsiaTheme="minorHAnsi" w:hAnsiTheme="minorHAnsi"/>
        </w:rPr>
        <w:t>ADL e IADL ci basta salvare in DB il punteggio finale</w:t>
      </w:r>
    </w:p>
  </w:comment>
  <w:comment w:id="5" w:author="m.marelli31@campus.unimib.it" w:date="2026-04-08T15:39:00Z" w:initials="MM">
    <w:p>
      <w:pPr>
        <w:overflowPunct w:val="true"/>
        <w:rPr/>
      </w:pPr>
      <w:r>
        <w:annotationRef/>
      </w:r>
      <w:r>
        <w:rPr>
          <w:rFonts w:asciiTheme="minorHAnsi" w:cstheme="minorBidi" w:eastAsiaTheme="minorHAnsi" w:hAnsiTheme="minorHAnsi"/>
        </w:rPr>
        <w:t>Vedi allegato</w:t>
      </w:r>
    </w:p>
  </w:comment>
  <w:comment w:id="6" w:author="m.marelli31@campus.unimib.it" w:date="2026-04-07T18:22:00Z" w:initials="MM">
    <w:p>
      <w:pPr>
        <w:overflowPunct w:val="true"/>
        <w:rPr/>
      </w:pPr>
      <w:r>
        <w:annotationRef/>
      </w:r>
      <w:r>
        <w:rPr>
          <w:rFonts w:asciiTheme="minorHAnsi" w:cstheme="minorBidi" w:eastAsiaTheme="minorHAnsi" w:hAnsiTheme="minorHAnsi"/>
        </w:rPr>
        <w:t>Quelli evidenziati sono quelli per cui vogliamo il dato salvato nel DB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Apto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numFmt w:val="bullet"/>
      <w:lvlText w:val="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1134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25510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127A02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25510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127A02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25510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127A02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25510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127A02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25510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127A02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25510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25510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255102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255102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255102"/>
    <w:rPr>
      <w:rFonts w:ascii="Aptos Display" w:hAnsi="Aptos Display" w:eastAsia="" w:cs="" w:asciiTheme="majorHAnsi" w:cstheme="majorBidi" w:eastAsiaTheme="majorEastAsia" w:hAnsiTheme="majorHAnsi"/>
      <w:color w:themeColor="accent1" w:themeShade="bf" w:val="127A02"/>
      <w:sz w:val="40"/>
      <w:szCs w:val="40"/>
    </w:rPr>
  </w:style>
  <w:style w:type="character" w:styleId="Titolo2Carattere" w:customStyle="1">
    <w:name w:val="Titolo 2 Carattere"/>
    <w:basedOn w:val="DefaultParagraphFont"/>
    <w:link w:val="Heading2"/>
    <w:uiPriority w:val="9"/>
    <w:semiHidden/>
    <w:qFormat/>
    <w:rsid w:val="00255102"/>
    <w:rPr>
      <w:rFonts w:ascii="Aptos Display" w:hAnsi="Aptos Display" w:eastAsia="" w:cs="" w:asciiTheme="majorHAnsi" w:cstheme="majorBidi" w:eastAsiaTheme="majorEastAsia" w:hAnsiTheme="majorHAnsi"/>
      <w:color w:themeColor="accent1" w:themeShade="bf" w:val="127A02"/>
      <w:sz w:val="32"/>
      <w:szCs w:val="32"/>
    </w:rPr>
  </w:style>
  <w:style w:type="character" w:styleId="Titolo3Carattere" w:customStyle="1">
    <w:name w:val="Titolo 3 Carattere"/>
    <w:basedOn w:val="DefaultParagraphFont"/>
    <w:link w:val="Heading3"/>
    <w:uiPriority w:val="9"/>
    <w:semiHidden/>
    <w:qFormat/>
    <w:rsid w:val="00255102"/>
    <w:rPr>
      <w:rFonts w:eastAsia="" w:cs="" w:cstheme="majorBidi" w:eastAsiaTheme="majorEastAsia"/>
      <w:color w:themeColor="accent1" w:themeShade="bf" w:val="127A02"/>
      <w:sz w:val="28"/>
      <w:szCs w:val="28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255102"/>
    <w:rPr>
      <w:rFonts w:eastAsia="" w:cs="" w:cstheme="majorBidi" w:eastAsiaTheme="majorEastAsia"/>
      <w:i/>
      <w:iCs/>
      <w:color w:themeColor="accent1" w:themeShade="bf" w:val="127A02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255102"/>
    <w:rPr>
      <w:rFonts w:eastAsia="" w:cs="" w:cstheme="majorBidi" w:eastAsiaTheme="majorEastAsia"/>
      <w:color w:themeColor="accent1" w:themeShade="bf" w:val="127A02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255102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255102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255102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255102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25510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25510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25510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55102"/>
    <w:rPr>
      <w:i/>
      <w:iCs/>
      <w:color w:themeColor="accent1" w:themeShade="bf" w:val="127A02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255102"/>
    <w:rPr>
      <w:i/>
      <w:iCs/>
      <w:color w:themeColor="accent1" w:themeShade="bf" w:val="127A02"/>
    </w:rPr>
  </w:style>
  <w:style w:type="character" w:styleId="IntenseReference">
    <w:name w:val="Intense Reference"/>
    <w:basedOn w:val="DefaultParagraphFont"/>
    <w:uiPriority w:val="32"/>
    <w:qFormat/>
    <w:rsid w:val="00255102"/>
    <w:rPr>
      <w:b/>
      <w:bCs/>
      <w:smallCaps/>
      <w:color w:themeColor="accent1" w:themeShade="bf" w:val="127A02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f3104"/>
    <w:rPr>
      <w:sz w:val="16"/>
      <w:szCs w:val="16"/>
    </w:rPr>
  </w:style>
  <w:style w:type="character" w:styleId="TestocommentoCarattere" w:customStyle="1">
    <w:name w:val="Testo commento Carattere"/>
    <w:basedOn w:val="DefaultParagraphFont"/>
    <w:link w:val="CommentText"/>
    <w:uiPriority w:val="99"/>
    <w:qFormat/>
    <w:rsid w:val="00cf3104"/>
    <w:rPr>
      <w:sz w:val="20"/>
      <w:szCs w:val="20"/>
    </w:rPr>
  </w:style>
  <w:style w:type="character" w:styleId="SoggettocommentoCarattere" w:customStyle="1">
    <w:name w:val="Soggetto commento Carattere"/>
    <w:basedOn w:val="TestocommentoCarattere"/>
    <w:link w:val="annotationsubject"/>
    <w:uiPriority w:val="99"/>
    <w:semiHidden/>
    <w:qFormat/>
    <w:rsid w:val="00cf310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01fa"/>
    <w:rPr>
      <w:color w:themeColor="hyperlink" w:val="0000E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01fa"/>
    <w:rPr>
      <w:color w:val="605E5C"/>
      <w:shd w:fill="E1DFDD" w:val="clear"/>
    </w:rPr>
  </w:style>
  <w:style w:type="character" w:styleId="FootnoteCharactersuser">
    <w:name w:val="Footnote Characters (user)"/>
    <w:qFormat/>
    <w:rPr/>
  </w:style>
  <w:style w:type="character" w:styleId="PageNumber">
    <w:name w:val="page number"/>
    <w:rPr/>
  </w:style>
  <w:style w:type="character" w:styleId="CaptionCharactersuser">
    <w:name w:val="Caption Characters (user)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EndnoteCharactersuser">
    <w:name w:val="Endnote Characters (user)"/>
    <w:qFormat/>
    <w:rPr/>
  </w:style>
  <w:style w:type="character" w:styleId="LineNumber">
    <w:name w:val="line number"/>
    <w:rPr/>
  </w:style>
  <w:style w:type="character" w:styleId="MainIndexEntryuser">
    <w:name w:val="Main Index Entry (user)"/>
    <w:qFormat/>
    <w:rPr>
      <w:b/>
      <w:bCs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user">
    <w:name w:val="Quotation (user)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xample">
    <w:name w:val="Example"/>
    <w:qFormat/>
    <w:rPr>
      <w:rFonts w:ascii="Liberation Mono" w:hAnsi="Liberation Mono" w:eastAsia="Liberation Mono" w:cs="Liberation Mono"/>
    </w:rPr>
  </w:style>
  <w:style w:type="character" w:styleId="UserEntry">
    <w:name w:val="User Entry"/>
    <w:qFormat/>
    <w:rPr>
      <w:rFonts w:ascii="Liberation Mono" w:hAnsi="Liberation Mono" w:eastAsia="Liberation Mono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oloCarattere"/>
    <w:uiPriority w:val="10"/>
    <w:qFormat/>
    <w:rsid w:val="0025510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255102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25510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55102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255102"/>
    <w:pPr>
      <w:pBdr>
        <w:top w:val="single" w:sz="4" w:space="10" w:color="127A02" w:themeColor="accent1" w:themeShade="bf"/>
        <w:bottom w:val="single" w:sz="4" w:space="10" w:color="127A02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127A02"/>
    </w:rPr>
  </w:style>
  <w:style w:type="paragraph" w:styleId="CommentText">
    <w:name w:val="annotation text"/>
    <w:basedOn w:val="Normal"/>
    <w:link w:val="TestocommentoCarattere"/>
    <w:uiPriority w:val="99"/>
    <w:unhideWhenUsed/>
    <w:rsid w:val="00cf310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oggettocommentoCarattere"/>
    <w:uiPriority w:val="99"/>
    <w:semiHidden/>
    <w:unhideWhenUsed/>
    <w:qFormat/>
    <w:rsid w:val="00cf3104"/>
    <w:pPr/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angingIndentuser">
    <w:name w:val="Hanging Indent (user)"/>
    <w:basedOn w:val="BodyText"/>
    <w:qFormat/>
    <w:pPr>
      <w:tabs>
        <w:tab w:val="clear" w:pos="11340"/>
        <w:tab w:val="left" w:pos="0" w:leader="none"/>
      </w:tabs>
      <w:ind w:hanging="283" w:start="567"/>
    </w:pPr>
    <w:rPr/>
  </w:style>
  <w:style w:type="paragraph" w:styleId="BodyTextIndent">
    <w:name w:val="Body Text Indent"/>
    <w:basedOn w:val="BodyText"/>
    <w:pPr>
      <w:ind w:hanging="0" w:start="283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BodyText"/>
    <w:qFormat/>
    <w:pPr>
      <w:tabs>
        <w:tab w:val="clear" w:pos="11340"/>
        <w:tab w:val="left" w:pos="0" w:leader="none"/>
      </w:tabs>
      <w:ind w:hanging="2551" w:start="2835"/>
    </w:pPr>
    <w:rPr/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Numbering1Start">
    <w:name w:val="Numbering 1 Start"/>
    <w:basedOn w:val="List"/>
    <w:next w:val="ListNumber"/>
    <w:qFormat/>
    <w:pPr>
      <w:spacing w:before="240" w:after="120"/>
      <w:ind w:hanging="360" w:start="360"/>
    </w:pPr>
    <w:rPr/>
  </w:style>
  <w:style w:type="paragraph" w:styleId="ListNumber">
    <w:name w:val="List Number"/>
    <w:basedOn w:val="List"/>
    <w:pPr>
      <w:spacing w:before="0" w:after="120"/>
      <w:ind w:hanging="360" w:start="360"/>
    </w:pPr>
    <w:rPr/>
  </w:style>
  <w:style w:type="paragraph" w:styleId="Numbering1End">
    <w:name w:val="Numbering 1 End"/>
    <w:basedOn w:val="List"/>
    <w:next w:val="ListNumber"/>
    <w:qFormat/>
    <w:pPr>
      <w:spacing w:before="0" w:after="240"/>
      <w:ind w:hanging="360" w:start="360"/>
    </w:pPr>
    <w:rPr/>
  </w:style>
  <w:style w:type="paragraph" w:styleId="Numbering1Cont">
    <w:name w:val="Numbering 1 Cont."/>
    <w:basedOn w:val="List"/>
    <w:qFormat/>
    <w:pPr>
      <w:spacing w:before="0" w:after="120"/>
      <w:ind w:hanging="0" w:start="36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hanging="360" w:start="720"/>
    </w:pPr>
    <w:rPr/>
  </w:style>
  <w:style w:type="paragraph" w:styleId="ListNumber2">
    <w:name w:val="List Number 2"/>
    <w:basedOn w:val="List"/>
    <w:pPr>
      <w:spacing w:before="0" w:after="120"/>
      <w:ind w:hanging="360" w:start="72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hanging="360" w:start="720"/>
    </w:pPr>
    <w:rPr/>
  </w:style>
  <w:style w:type="paragraph" w:styleId="Numbering2Cont">
    <w:name w:val="Numbering 2 Cont."/>
    <w:basedOn w:val="List"/>
    <w:qFormat/>
    <w:pPr>
      <w:spacing w:before="0" w:after="120"/>
      <w:ind w:hanging="0" w:start="72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hanging="360" w:start="1080"/>
    </w:pPr>
    <w:rPr/>
  </w:style>
  <w:style w:type="paragraph" w:styleId="ListNumber3">
    <w:name w:val="List Number 3"/>
    <w:basedOn w:val="List"/>
    <w:pPr>
      <w:spacing w:before="0" w:after="120"/>
      <w:ind w:hanging="360" w:start="108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hanging="360" w:start="1080"/>
    </w:pPr>
    <w:rPr/>
  </w:style>
  <w:style w:type="paragraph" w:styleId="Numbering3Cont">
    <w:name w:val="Numbering 3 Cont."/>
    <w:basedOn w:val="List"/>
    <w:qFormat/>
    <w:pPr>
      <w:spacing w:before="0" w:after="120"/>
      <w:ind w:hanging="0" w:start="108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hanging="360" w:start="1440"/>
    </w:pPr>
    <w:rPr/>
  </w:style>
  <w:style w:type="paragraph" w:styleId="ListNumber4">
    <w:name w:val="List Number 4"/>
    <w:basedOn w:val="List"/>
    <w:pPr>
      <w:spacing w:before="0" w:after="120"/>
      <w:ind w:hanging="360" w:start="144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hanging="360" w:start="1440"/>
    </w:pPr>
    <w:rPr/>
  </w:style>
  <w:style w:type="paragraph" w:styleId="Numbering4Cont">
    <w:name w:val="Numbering 4 Cont."/>
    <w:basedOn w:val="List"/>
    <w:qFormat/>
    <w:pPr>
      <w:spacing w:before="0" w:after="120"/>
      <w:ind w:hanging="0" w:start="144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hanging="360" w:start="1800"/>
    </w:pPr>
    <w:rPr/>
  </w:style>
  <w:style w:type="paragraph" w:styleId="ListNumber5">
    <w:name w:val="List Number 5"/>
    <w:basedOn w:val="List"/>
    <w:pPr>
      <w:spacing w:before="0" w:after="120"/>
      <w:ind w:hanging="360" w:start="180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hanging="360" w:start="1800"/>
    </w:pPr>
    <w:rPr/>
  </w:style>
  <w:style w:type="paragraph" w:styleId="Numbering5Cont">
    <w:name w:val="Numbering 5 Cont."/>
    <w:basedOn w:val="List"/>
    <w:qFormat/>
    <w:pPr>
      <w:spacing w:before="0" w:after="120"/>
      <w:ind w:hanging="0" w:start="1800"/>
    </w:pPr>
    <w:rPr/>
  </w:style>
  <w:style w:type="paragraph" w:styleId="List1Start">
    <w:name w:val="List 1 Start"/>
    <w:basedOn w:val="List"/>
    <w:next w:val="ListBullet"/>
    <w:qFormat/>
    <w:pPr>
      <w:spacing w:before="240" w:after="120"/>
      <w:ind w:hanging="360" w:start="360"/>
    </w:pPr>
    <w:rPr/>
  </w:style>
  <w:style w:type="paragraph" w:styleId="ListBullet">
    <w:name w:val="List Bullet"/>
    <w:basedOn w:val="List"/>
    <w:pPr>
      <w:spacing w:before="0" w:after="120"/>
      <w:ind w:hanging="360" w:start="360"/>
    </w:pPr>
    <w:rPr/>
  </w:style>
  <w:style w:type="paragraph" w:styleId="List1End">
    <w:name w:val="List 1 End"/>
    <w:basedOn w:val="List"/>
    <w:next w:val="ListBullet"/>
    <w:qFormat/>
    <w:pPr>
      <w:spacing w:before="0" w:after="240"/>
      <w:ind w:hanging="360" w:start="360"/>
    </w:pPr>
    <w:rPr/>
  </w:style>
  <w:style w:type="paragraph" w:styleId="ListContinue">
    <w:name w:val="List Continue"/>
    <w:basedOn w:val="List"/>
    <w:pPr>
      <w:spacing w:before="0" w:after="120"/>
      <w:ind w:hanging="0" w:start="360"/>
    </w:pPr>
    <w:rPr/>
  </w:style>
  <w:style w:type="paragraph" w:styleId="List2Start">
    <w:name w:val="List 2 Start"/>
    <w:basedOn w:val="List"/>
    <w:next w:val="ListBullet2"/>
    <w:qFormat/>
    <w:pPr>
      <w:spacing w:before="240" w:after="120"/>
      <w:ind w:hanging="360" w:start="720"/>
    </w:pPr>
    <w:rPr/>
  </w:style>
  <w:style w:type="paragraph" w:styleId="ListBullet2">
    <w:name w:val="List Bullet 2"/>
    <w:basedOn w:val="List"/>
    <w:pPr>
      <w:spacing w:before="0" w:after="120"/>
      <w:ind w:hanging="360" w:start="720"/>
    </w:pPr>
    <w:rPr/>
  </w:style>
  <w:style w:type="paragraph" w:styleId="List2End">
    <w:name w:val="List 2 End"/>
    <w:basedOn w:val="List"/>
    <w:next w:val="ListBullet2"/>
    <w:qFormat/>
    <w:pPr>
      <w:spacing w:before="0" w:after="240"/>
      <w:ind w:hanging="360" w:start="720"/>
    </w:pPr>
    <w:rPr/>
  </w:style>
  <w:style w:type="paragraph" w:styleId="ListContinue2">
    <w:name w:val="List Continue 2"/>
    <w:basedOn w:val="List"/>
    <w:pPr>
      <w:spacing w:before="0" w:after="120"/>
      <w:ind w:hanging="0" w:start="720"/>
    </w:pPr>
    <w:rPr/>
  </w:style>
  <w:style w:type="paragraph" w:styleId="List3Start">
    <w:name w:val="List 3 Start"/>
    <w:basedOn w:val="List"/>
    <w:next w:val="ListBullet3"/>
    <w:qFormat/>
    <w:pPr>
      <w:spacing w:before="240" w:after="120"/>
      <w:ind w:hanging="360" w:start="1080"/>
    </w:pPr>
    <w:rPr/>
  </w:style>
  <w:style w:type="paragraph" w:styleId="ListBullet3">
    <w:name w:val="List Bullet 3"/>
    <w:basedOn w:val="List"/>
    <w:pPr>
      <w:spacing w:before="0" w:after="120"/>
      <w:ind w:hanging="360" w:start="1080"/>
    </w:pPr>
    <w:rPr/>
  </w:style>
  <w:style w:type="paragraph" w:styleId="List3End">
    <w:name w:val="List 3 End"/>
    <w:basedOn w:val="List"/>
    <w:next w:val="ListBullet3"/>
    <w:qFormat/>
    <w:pPr>
      <w:spacing w:before="0" w:after="240"/>
      <w:ind w:hanging="360" w:start="1080"/>
    </w:pPr>
    <w:rPr/>
  </w:style>
  <w:style w:type="paragraph" w:styleId="ListContinue3">
    <w:name w:val="List Continue 3"/>
    <w:basedOn w:val="List"/>
    <w:pPr>
      <w:spacing w:before="0" w:after="120"/>
      <w:ind w:hanging="0" w:start="1080"/>
    </w:pPr>
    <w:rPr/>
  </w:style>
  <w:style w:type="paragraph" w:styleId="List4Start">
    <w:name w:val="List 4 Start"/>
    <w:basedOn w:val="List"/>
    <w:next w:val="ListBullet4"/>
    <w:qFormat/>
    <w:pPr>
      <w:spacing w:before="240" w:after="120"/>
      <w:ind w:hanging="360" w:start="1440"/>
    </w:pPr>
    <w:rPr/>
  </w:style>
  <w:style w:type="paragraph" w:styleId="ListBullet4">
    <w:name w:val="List Bullet 4"/>
    <w:basedOn w:val="List"/>
    <w:pPr>
      <w:spacing w:before="0" w:after="120"/>
      <w:ind w:hanging="360" w:start="1440"/>
    </w:pPr>
    <w:rPr/>
  </w:style>
  <w:style w:type="paragraph" w:styleId="List4End">
    <w:name w:val="List 4 End"/>
    <w:basedOn w:val="List"/>
    <w:next w:val="ListBullet4"/>
    <w:qFormat/>
    <w:pPr>
      <w:spacing w:before="0" w:after="240"/>
      <w:ind w:hanging="360" w:start="1440"/>
    </w:pPr>
    <w:rPr/>
  </w:style>
  <w:style w:type="paragraph" w:styleId="ListContinue4">
    <w:name w:val="List Continue 4"/>
    <w:basedOn w:val="List"/>
    <w:pPr>
      <w:spacing w:before="0" w:after="120"/>
      <w:ind w:hanging="0" w:start="1440"/>
    </w:pPr>
    <w:rPr/>
  </w:style>
  <w:style w:type="paragraph" w:styleId="List5Start">
    <w:name w:val="List 5 Start"/>
    <w:basedOn w:val="List"/>
    <w:next w:val="ListBullet5"/>
    <w:qFormat/>
    <w:pPr>
      <w:spacing w:before="240" w:after="120"/>
      <w:ind w:hanging="360" w:start="1800"/>
    </w:pPr>
    <w:rPr/>
  </w:style>
  <w:style w:type="paragraph" w:styleId="ListBullet5">
    <w:name w:val="List Bullet 5"/>
    <w:basedOn w:val="List"/>
    <w:pPr>
      <w:spacing w:before="0" w:after="120"/>
      <w:ind w:hanging="360" w:start="1800"/>
    </w:pPr>
    <w:rPr/>
  </w:style>
  <w:style w:type="paragraph" w:styleId="List5End">
    <w:name w:val="List 5 End"/>
    <w:basedOn w:val="List"/>
    <w:next w:val="ListBullet5"/>
    <w:qFormat/>
    <w:pPr>
      <w:spacing w:before="0" w:after="240"/>
      <w:ind w:hanging="360" w:start="1800"/>
    </w:pPr>
    <w:rPr/>
  </w:style>
  <w:style w:type="paragraph" w:styleId="ListContinue5">
    <w:name w:val="List Continue 5"/>
    <w:basedOn w:val="List"/>
    <w:pPr>
      <w:spacing w:before="0" w:after="120"/>
      <w:ind w:hanging="0" w:start="1800"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Index1">
    <w:name w:val="index 1"/>
    <w:basedOn w:val="Index"/>
    <w:pPr>
      <w:ind w:hanging="0" w:start="0"/>
    </w:pPr>
    <w:rPr/>
  </w:style>
  <w:style w:type="paragraph" w:styleId="Index2">
    <w:name w:val="index 2"/>
    <w:basedOn w:val="Index"/>
    <w:pPr>
      <w:ind w:hanging="0" w:start="283"/>
    </w:pPr>
    <w:rPr/>
  </w:style>
  <w:style w:type="paragraph" w:styleId="Index3">
    <w:name w:val="index 3"/>
    <w:basedOn w:val="Index"/>
    <w:pPr>
      <w:ind w:hanging="0" w:start="567"/>
    </w:pPr>
    <w:rPr/>
  </w:style>
  <w:style w:type="paragraph" w:styleId="IndexSeparator">
    <w:name w:val="Index Separator"/>
    <w:basedOn w:val="Index"/>
    <w:qFormat/>
    <w:pPr>
      <w:ind w:hanging="0" w:start="0"/>
    </w:pPr>
    <w:rPr/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11340"/>
        <w:tab w:val="right" w:pos="14287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11340"/>
        <w:tab w:val="right" w:pos="14004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11340"/>
        <w:tab w:val="right" w:pos="13720" w:leader="dot"/>
      </w:tabs>
      <w:ind w:hanging="0" w:start="567"/>
    </w:pPr>
    <w:rPr/>
  </w:style>
  <w:style w:type="paragraph" w:styleId="TOC4">
    <w:name w:val="toc 4"/>
    <w:basedOn w:val="Index"/>
    <w:pPr>
      <w:tabs>
        <w:tab w:val="clear" w:pos="11340"/>
        <w:tab w:val="right" w:pos="13437" w:leader="dot"/>
      </w:tabs>
      <w:ind w:hanging="0" w:start="850"/>
    </w:pPr>
    <w:rPr/>
  </w:style>
  <w:style w:type="paragraph" w:styleId="TOC5">
    <w:name w:val="toc 5"/>
    <w:basedOn w:val="Index"/>
    <w:pPr>
      <w:tabs>
        <w:tab w:val="clear" w:pos="11340"/>
        <w:tab w:val="right" w:pos="13153" w:leader="dot"/>
      </w:tabs>
      <w:ind w:hanging="0" w:start="1134"/>
    </w:pPr>
    <w:rPr/>
  </w:style>
  <w:style w:type="paragraph" w:styleId="UserIndexHeading">
    <w:name w:val="User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clear" w:pos="11340"/>
        <w:tab w:val="right" w:pos="14287" w:leader="dot"/>
      </w:tabs>
      <w:ind w:hanging="0" w:start="0"/>
    </w:pPr>
    <w:rPr/>
  </w:style>
  <w:style w:type="paragraph" w:styleId="UserIndex2">
    <w:name w:val="User Index 2"/>
    <w:basedOn w:val="Index"/>
    <w:qFormat/>
    <w:pPr>
      <w:tabs>
        <w:tab w:val="clear" w:pos="11340"/>
        <w:tab w:val="right" w:pos="14004" w:leader="dot"/>
      </w:tabs>
      <w:ind w:hanging="0" w:start="283"/>
    </w:pPr>
    <w:rPr/>
  </w:style>
  <w:style w:type="paragraph" w:styleId="UserIndex3">
    <w:name w:val="User Index 3"/>
    <w:basedOn w:val="Index"/>
    <w:qFormat/>
    <w:pPr>
      <w:tabs>
        <w:tab w:val="clear" w:pos="11340"/>
        <w:tab w:val="right" w:pos="13720" w:leader="dot"/>
      </w:tabs>
      <w:ind w:hanging="0" w:start="567"/>
    </w:pPr>
    <w:rPr/>
  </w:style>
  <w:style w:type="paragraph" w:styleId="UserIndex4">
    <w:name w:val="User Index 4"/>
    <w:basedOn w:val="Index"/>
    <w:qFormat/>
    <w:pPr>
      <w:tabs>
        <w:tab w:val="clear" w:pos="11340"/>
        <w:tab w:val="right" w:pos="13437" w:leader="dot"/>
      </w:tabs>
      <w:ind w:hanging="0" w:start="850"/>
    </w:pPr>
    <w:rPr/>
  </w:style>
  <w:style w:type="paragraph" w:styleId="UserIndex5">
    <w:name w:val="User Index 5"/>
    <w:basedOn w:val="Index"/>
    <w:qFormat/>
    <w:pPr>
      <w:tabs>
        <w:tab w:val="clear" w:pos="11340"/>
        <w:tab w:val="right" w:pos="13153" w:leader="dot"/>
      </w:tabs>
      <w:ind w:hanging="0" w:start="1134"/>
    </w:pPr>
    <w:rPr/>
  </w:style>
  <w:style w:type="paragraph" w:styleId="TOC6">
    <w:name w:val="toc 6"/>
    <w:basedOn w:val="Index"/>
    <w:pPr>
      <w:tabs>
        <w:tab w:val="clear" w:pos="11340"/>
        <w:tab w:val="right" w:pos="12870" w:leader="dot"/>
      </w:tabs>
      <w:ind w:hanging="0" w:start="1417"/>
    </w:pPr>
    <w:rPr/>
  </w:style>
  <w:style w:type="paragraph" w:styleId="TOC7">
    <w:name w:val="toc 7"/>
    <w:basedOn w:val="Index"/>
    <w:pPr>
      <w:tabs>
        <w:tab w:val="clear" w:pos="11340"/>
        <w:tab w:val="right" w:pos="12586" w:leader="dot"/>
      </w:tabs>
      <w:ind w:hanging="0" w:start="1701"/>
    </w:pPr>
    <w:rPr/>
  </w:style>
  <w:style w:type="paragraph" w:styleId="TOC8">
    <w:name w:val="toc 8"/>
    <w:basedOn w:val="Index"/>
    <w:pPr>
      <w:tabs>
        <w:tab w:val="clear" w:pos="11340"/>
        <w:tab w:val="right" w:pos="12303" w:leader="dot"/>
      </w:tabs>
      <w:ind w:hanging="0" w:start="1984"/>
    </w:pPr>
    <w:rPr/>
  </w:style>
  <w:style w:type="paragraph" w:styleId="TOC9">
    <w:name w:val="toc 9"/>
    <w:basedOn w:val="Index"/>
    <w:pPr>
      <w:tabs>
        <w:tab w:val="clear" w:pos="11340"/>
        <w:tab w:val="right" w:pos="12019" w:leader="dot"/>
      </w:tabs>
      <w:ind w:hanging="0" w:start="2268"/>
    </w:pPr>
    <w:rPr/>
  </w:style>
  <w:style w:type="paragraph" w:styleId="Contents10">
    <w:name w:val="Contents 10"/>
    <w:basedOn w:val="Index"/>
    <w:qFormat/>
    <w:pPr>
      <w:tabs>
        <w:tab w:val="clear" w:pos="11340"/>
        <w:tab w:val="right" w:pos="11736" w:leader="dot"/>
      </w:tabs>
      <w:ind w:hanging="0" w:start="2551"/>
    </w:pPr>
    <w:rPr/>
  </w:style>
  <w:style w:type="paragraph" w:styleId="FigureIndexHeading">
    <w:name w:val="Figure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ableofFigures">
    <w:name w:val="table of figures"/>
    <w:basedOn w:val="Index"/>
    <w:pPr>
      <w:tabs>
        <w:tab w:val="clear" w:pos="11340"/>
        <w:tab w:val="right" w:pos="14287" w:leader="dot"/>
      </w:tabs>
      <w:ind w:hanging="0" w:start="0"/>
    </w:pPr>
    <w:rPr/>
  </w:style>
  <w:style w:type="paragraph" w:styleId="ObjectIndexHeadinguser">
    <w:name w:val="Object Index Heading (user)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ObjectIndex1user">
    <w:name w:val="Object Index 1 (user)"/>
    <w:basedOn w:val="Index"/>
    <w:qFormat/>
    <w:pPr>
      <w:tabs>
        <w:tab w:val="clear" w:pos="11340"/>
        <w:tab w:val="right" w:pos="14287" w:leader="dot"/>
      </w:tabs>
      <w:ind w:hanging="0" w:start="0"/>
    </w:pPr>
    <w:rPr/>
  </w:style>
  <w:style w:type="paragraph" w:styleId="TableIndexHeadinguser">
    <w:name w:val="Table Index Heading (user)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ableIndex1user">
    <w:name w:val="Table Index 1 (user)"/>
    <w:basedOn w:val="Index"/>
    <w:qFormat/>
    <w:pPr>
      <w:tabs>
        <w:tab w:val="clear" w:pos="11340"/>
        <w:tab w:val="right" w:pos="14287" w:leader="dot"/>
      </w:tabs>
      <w:ind w:hanging="0" w:start="0"/>
    </w:pPr>
    <w:rPr/>
  </w:style>
  <w:style w:type="paragraph" w:styleId="TableofAuthorities">
    <w:name w:val="table of authorities"/>
    <w:basedOn w:val="IndexHeading"/>
    <w:pPr>
      <w:suppressLineNumbers/>
      <w:ind w:hanging="0" w:star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11340"/>
        <w:tab w:val="right" w:pos="14287" w:leader="dot"/>
      </w:tabs>
      <w:ind w:hanging="0" w:start="0"/>
    </w:pPr>
    <w:rPr/>
  </w:style>
  <w:style w:type="paragraph" w:styleId="UserIndex6">
    <w:name w:val="User Index 6"/>
    <w:basedOn w:val="Index"/>
    <w:qFormat/>
    <w:pPr>
      <w:tabs>
        <w:tab w:val="clear" w:pos="11340"/>
        <w:tab w:val="right" w:pos="12870" w:leader="dot"/>
      </w:tabs>
      <w:ind w:hanging="0" w:start="1417"/>
    </w:pPr>
    <w:rPr/>
  </w:style>
  <w:style w:type="paragraph" w:styleId="UserIndex7">
    <w:name w:val="User Index 7"/>
    <w:basedOn w:val="Index"/>
    <w:qFormat/>
    <w:pPr>
      <w:tabs>
        <w:tab w:val="clear" w:pos="11340"/>
        <w:tab w:val="right" w:pos="12586" w:leader="dot"/>
      </w:tabs>
      <w:ind w:hanging="0" w:start="1701"/>
    </w:pPr>
    <w:rPr/>
  </w:style>
  <w:style w:type="paragraph" w:styleId="UserIndex8">
    <w:name w:val="User Index 8"/>
    <w:basedOn w:val="Index"/>
    <w:qFormat/>
    <w:pPr>
      <w:tabs>
        <w:tab w:val="clear" w:pos="11340"/>
        <w:tab w:val="right" w:pos="12303" w:leader="dot"/>
      </w:tabs>
      <w:ind w:hanging="0" w:start="1984"/>
    </w:pPr>
    <w:rPr/>
  </w:style>
  <w:style w:type="paragraph" w:styleId="UserIndex9">
    <w:name w:val="User Index 9"/>
    <w:basedOn w:val="Index"/>
    <w:qFormat/>
    <w:pPr>
      <w:tabs>
        <w:tab w:val="clear" w:pos="11340"/>
        <w:tab w:val="right" w:pos="12019" w:leader="dot"/>
      </w:tabs>
      <w:ind w:hanging="0" w:start="2268"/>
    </w:pPr>
    <w:rPr/>
  </w:style>
  <w:style w:type="paragraph" w:styleId="UserIndex10">
    <w:name w:val="User Index 10"/>
    <w:basedOn w:val="Index"/>
    <w:qFormat/>
    <w:pPr>
      <w:tabs>
        <w:tab w:val="clear" w:pos="11340"/>
        <w:tab w:val="right" w:pos="11736" w:leader="dot"/>
      </w:tabs>
      <w:ind w:hanging="0" w:start="2551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0"/>
        <w:tab w:val="center" w:pos="7143" w:leader="none"/>
        <w:tab w:val="right" w:pos="14287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paragraph" w:styleId="HeaderRightuser">
    <w:name w:val="Header Right (user)"/>
    <w:basedOn w:val="Header"/>
    <w:qFormat/>
    <w:pPr>
      <w:suppressLineNumbers/>
      <w:jc w:val="end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Leftuser">
    <w:name w:val="Footer Left (user)"/>
    <w:basedOn w:val="Footer"/>
    <w:qFormat/>
    <w:pPr>
      <w:suppressLineNumbers/>
    </w:pPr>
    <w:rPr/>
  </w:style>
  <w:style w:type="paragraph" w:styleId="FooterRightuser">
    <w:name w:val="Footer Right (user)"/>
    <w:basedOn w:val="Footer"/>
    <w:qFormat/>
    <w:pPr>
      <w:suppressLineNumbers/>
      <w:jc w:val="end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Drawing">
    <w:name w:val="Drawing"/>
    <w:basedOn w:val="Caption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start="567"/>
    </w:pPr>
    <w:rPr/>
  </w:style>
  <w:style w:type="paragraph" w:styleId="ListHeading">
    <w:name w:val="List Heading"/>
    <w:basedOn w:val="Normal"/>
    <w:next w:val="ListContents"/>
    <w:qFormat/>
    <w:pPr>
      <w:ind w:star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39"/>
    <w:rsid w:val="0025510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ailty-index-geriatria.netlify.app/" TargetMode="Externa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DDC89-913A-4CE4-92F4-6F8A0259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Application>LibreOffice/26.2.2.2$Linux_X86_64 LibreOffice_project/620$Build-2</Application>
  <AppVersion>15.0000</AppVersion>
  <Pages>12</Pages>
  <Words>1913</Words>
  <Characters>10160</Characters>
  <CharactersWithSpaces>11778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2026-02-24T16:46:00Z</dcterms:created>
  <dc:creator>a.finazzi15@campus.unimib.it</dc:creator>
  <dc:description/>
  <dc:language>en-US</dc:language>
  <cp:lastModifiedBy/>
  <dcterms:modified xsi:type="dcterms:W3CDTF">2026-04-11T13:21:04Z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