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rFonts w:ascii="Calibri" w:cs="Calibri" w:eastAsia="Calibri" w:hAnsi="Calibri"/>
          <w:b/>
          <w:bCs/>
          <w:color w:val="2E74B5"/>
          <w:sz w:val="26"/>
          <w:szCs w:val="26"/>
        </w:rPr>
        <w:t xml:space="preserve">OSINT INTELLIGENCE SYSTEM</w:t>
      </w:r>
    </w:p>
    <w:p>
      <w:pPr>
        <w:spacing w:after="60" w:before="120"/>
      </w:pPr>
      <w:r>
        <w:rPr>
          <w:rFonts w:ascii="Calibri" w:cs="Calibri" w:eastAsia="Calibri" w:hAnsi="Calibri"/>
          <w:b/>
          <w:bCs/>
          <w:color w:val="1F4E79"/>
          <w:sz w:val="52"/>
          <w:szCs w:val="52"/>
        </w:rPr>
        <w:t xml:space="preserve">Proof of Concept — Detailed Implementation Plan</w:t>
      </w:r>
    </w:p>
    <w:p>
      <w:pPr>
        <w:spacing w:after="300"/>
      </w:pPr>
      <w:r>
        <w:rPr>
          <w:rFonts w:ascii="Calibri" w:cs="Calibri" w:eastAsia="Calibri" w:hAnsi="Calibri"/>
          <w:color w:val="444444"/>
          <w:sz w:val="28"/>
          <w:szCs w:val="28"/>
        </w:rPr>
        <w:t xml:space="preserve">Kikuyu and Luo Broadcast Speech Recognition, Translation and Reporting</w:t>
      </w:r>
    </w:p>
    <w:p>
      <w:pPr>
        <w:pBdr>
          <w:bottom w:val="single" w:color="2E74B5" w:sz="6"/>
        </w:pBdr>
        <w:spacing w:after="160" w:before="60"/>
      </w:pPr>
      <w:r>
        <w:rPr>
          <w:sz w:val="2"/>
          <w:szCs w:val="2"/>
        </w:rPr>
        <w:t xml:space="preserve"/>
      </w:r>
    </w:p>
    <w:p>
      <w:pPr>
        <w:spacing w:after="120" w:line="276"/>
      </w:pPr>
      <w:r>
        <w:rPr>
          <w:rFonts w:ascii="Calibri" w:cs="Calibri" w:eastAsia="Calibri" w:hAnsi="Calibri"/>
          <w:i/>
          <w:iCs/>
          <w:color w:val="555555"/>
          <w:sz w:val="22"/>
          <w:szCs w:val="22"/>
        </w:rPr>
        <w:t xml:space="preserve">Phase 1 of a phased national rollout covering 44+ Kenyan languages.</w:t>
      </w:r>
    </w:p>
    <w:p>
      <w:pPr>
        <w:spacing w:before="700"/>
      </w:pPr>
      <w:r>
        <w:rPr>
          <w:sz w:val="2"/>
          <w:szCs w:val="2"/>
        </w:rPr>
        <w:t xml:space="preserve"/>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2400"/>
        <w:gridCol w:w="6620"/>
      </w:tblGrid>
      <w:tr>
        <w:trPr>
          <w:tblHeader/>
        </w:trPr>
        <w:tc>
          <w:tcPr>
            <w:tcW w:type="dxa" w:w="24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Field</w:t>
            </w:r>
          </w:p>
        </w:tc>
        <w:tc>
          <w:tcPr>
            <w:tcW w:type="dxa" w:w="66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Detail</w:t>
            </w:r>
          </w:p>
        </w:tc>
      </w:tr>
      <w:tr>
        <w:trPr>
          <w:tblHeader w:val="false"/>
        </w:trPr>
        <w:tc>
          <w:tcPr>
            <w:tcW w:type="dxa" w:w="2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Document</w:t>
            </w:r>
          </w:p>
        </w:tc>
        <w:tc>
          <w:tcPr>
            <w:tcW w:type="dxa" w:w="66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POC Implementation Plan v1.0</w:t>
            </w:r>
          </w:p>
        </w:tc>
      </w:tr>
      <w:tr>
        <w:trPr>
          <w:tblHeader w:val="false"/>
        </w:trPr>
        <w:tc>
          <w:tcPr>
            <w:tcW w:type="dxa" w:w="24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Scope</w:t>
            </w:r>
          </w:p>
        </w:tc>
        <w:tc>
          <w:tcPr>
            <w:tcW w:type="dxa" w:w="66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Kikuyu (Inooro TV, Inooro FM, Kameme TV, Kameme FM) and Luo (Ramogi TV, Ramogi FM)</w:t>
            </w:r>
          </w:p>
        </w:tc>
      </w:tr>
      <w:tr>
        <w:trPr>
          <w:tblHeader w:val="false"/>
        </w:trPr>
        <w:tc>
          <w:tcPr>
            <w:tcW w:type="dxa" w:w="2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Languages in scope</w:t>
            </w:r>
          </w:p>
        </w:tc>
        <w:tc>
          <w:tcPr>
            <w:tcW w:type="dxa" w:w="66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Kikuyu, Dholuo, Kiswahili, English, Sheng</w:t>
            </w:r>
          </w:p>
        </w:tc>
      </w:tr>
      <w:tr>
        <w:trPr>
          <w:tblHeader w:val="false"/>
        </w:trPr>
        <w:tc>
          <w:tcPr>
            <w:tcW w:type="dxa" w:w="24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Phase</w:t>
            </w:r>
          </w:p>
        </w:tc>
        <w:tc>
          <w:tcPr>
            <w:tcW w:type="dxa" w:w="66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Phase 1 — Proof of Concept (precedes Phase 2 seven-language expansion)</w:t>
            </w:r>
          </w:p>
        </w:tc>
      </w:tr>
      <w:tr>
        <w:trPr>
          <w:tblHeader w:val="false"/>
        </w:trPr>
        <w:tc>
          <w:tcPr>
            <w:tcW w:type="dxa" w:w="2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Data collection</w:t>
            </w:r>
          </w:p>
        </w:tc>
        <w:tc>
          <w:tcPr>
            <w:tcW w:type="dxa" w:w="66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No paid respondents at this stage. Existing open datasets and live broadcast capture only.</w:t>
            </w:r>
          </w:p>
        </w:tc>
      </w:tr>
      <w:tr>
        <w:trPr>
          <w:tblHeader w:val="false"/>
        </w:trPr>
        <w:tc>
          <w:tcPr>
            <w:tcW w:type="dxa" w:w="24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Execution host</w:t>
            </w:r>
          </w:p>
        </w:tc>
        <w:tc>
          <w:tcPr>
            <w:tcW w:type="dxa" w:w="66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Local workstation (Intel Core i7-1355U, 13.7 GB RAM, no CUDA GPU)</w:t>
            </w:r>
          </w:p>
        </w:tc>
      </w:tr>
      <w:tr>
        <w:trPr>
          <w:tblHeader w:val="false"/>
        </w:trPr>
        <w:tc>
          <w:tcPr>
            <w:tcW w:type="dxa" w:w="2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Date</w:t>
            </w:r>
          </w:p>
        </w:tc>
        <w:tc>
          <w:tcPr>
            <w:tcW w:type="dxa" w:w="66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22 September 2026</w:t>
            </w:r>
          </w:p>
        </w:tc>
      </w:tr>
      <w:tr>
        <w:trPr>
          <w:tblHeader w:val="false"/>
        </w:trPr>
        <w:tc>
          <w:tcPr>
            <w:tcW w:type="dxa" w:w="24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Status</w:t>
            </w:r>
          </w:p>
        </w:tc>
        <w:tc>
          <w:tcPr>
            <w:tcW w:type="dxa" w:w="66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For approval</w:t>
            </w:r>
          </w:p>
        </w:tc>
      </w:tr>
    </w:tbl>
    <w:p>
      <w:r>
        <w:br w:type="page"/>
      </w:r>
    </w:p>
    <w:p>
      <w:pPr>
        <w:pStyle w:val="Heading1"/>
        <w:spacing w:after="160" w:before="32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pacing w:after="120" w:line="276"/>
      </w:pPr>
      <w:r>
        <w:rPr>
          <w:rFonts w:ascii="Calibri" w:cs="Calibri" w:eastAsia="Calibri" w:hAnsi="Calibri"/>
          <w:i/>
          <w:iCs/>
          <w:color w:val="777777"/>
          <w:sz w:val="18"/>
          <w:szCs w:val="18"/>
        </w:rPr>
        <w:t xml:space="preserve">(Right-click the field above and choose "Update Field" in Word to populate page numbers.)</w:t>
      </w:r>
    </w:p>
    <w:p>
      <w:r>
        <w:br w:type="page"/>
      </w:r>
    </w:p>
    <w:p>
      <w:pPr>
        <w:pStyle w:val="Heading1"/>
        <w:spacing w:after="160" w:before="320"/>
      </w:pPr>
      <w:r>
        <w:t xml:space="preserve">1. Executive Summary</w:t>
      </w:r>
    </w:p>
    <w:p>
      <w:pPr>
        <w:spacing w:after="120" w:line="276"/>
      </w:pPr>
      <w:r>
        <w:rPr>
          <w:rFonts w:ascii="Calibri" w:cs="Calibri" w:eastAsia="Calibri" w:hAnsi="Calibri"/>
          <w:sz w:val="21"/>
          <w:szCs w:val="21"/>
        </w:rPr>
        <w:t xml:space="preserve">This document is the detailed build plan for Phase 1 of the OSINT Intelligence System: a working end-to-end pipeline that captures six Kenyan broadcast channels, separates vernacular content from English/Kiswahili/Sheng content, transcribes each in a dedicated per-language model, translates to English, and produces analyst-facing reports. It is deliberately scoped so that every component is exercised at small scale before any of it is scaled to the remaining 40+ languages.</w:t>
      </w:r>
    </w:p>
    <w:p>
      <w:pPr>
        <w:pStyle w:val="Heading2"/>
        <w:spacing w:after="120" w:before="260"/>
      </w:pPr>
      <w:r>
        <w:t xml:space="preserve">1.1 What changed from the original concept note</w:t>
      </w:r>
    </w:p>
    <w:p>
      <w:pPr>
        <w:spacing w:after="120" w:line="276"/>
      </w:pPr>
      <w:r>
        <w:rPr>
          <w:rFonts w:ascii="Calibri" w:cs="Calibri" w:eastAsia="Calibri" w:hAnsi="Calibri"/>
          <w:sz w:val="21"/>
          <w:szCs w:val="21"/>
        </w:rPr>
        <w:t xml:space="preserve">Three findings from the research pass materially change the plan and should be read before anything else.</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2200"/>
        <w:gridCol w:w="3400"/>
        <w:gridCol w:w="3420"/>
      </w:tblGrid>
      <w:tr>
        <w:trPr>
          <w:tblHeader/>
        </w:trPr>
        <w:tc>
          <w:tcPr>
            <w:tcW w:type="dxa" w:w="22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Finding</w:t>
            </w:r>
          </w:p>
        </w:tc>
        <w:tc>
          <w:tcPr>
            <w:tcW w:type="dxa" w:w="34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Original assumption</w:t>
            </w:r>
          </w:p>
        </w:tc>
        <w:tc>
          <w:tcPr>
            <w:tcW w:type="dxa" w:w="34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Revised position</w:t>
            </w:r>
          </w:p>
        </w:tc>
      </w:tr>
      <w:tr>
        <w:trPr>
          <w:tblHeader w:val="false"/>
        </w:trPr>
        <w:tc>
          <w:tcPr>
            <w:tcW w:type="dxa" w:w="22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Training data is already abundant</w:t>
            </w:r>
          </w:p>
        </w:tc>
        <w:tc>
          <w:tcPr>
            <w:tcW w:type="dxa" w:w="3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Recruit 2 respondents per language, collect 100–200 h</w:t>
            </w:r>
          </w:p>
        </w:tc>
        <w:tc>
          <w:tcPr>
            <w:tcW w:type="dxa" w:w="34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Africa Next Voices Kenya already contains 754 h Kikuyu and 723 h Luo, transcribed and speaker-disjoint-split. No respondents are needed for the POC. Paid collection moves to Phase 4 (dialect coverage) where it is genuinely irreplaceable.</w:t>
            </w:r>
          </w:p>
        </w:tc>
      </w:tr>
      <w:tr>
        <w:trPr>
          <w:tblHeader w:val="false"/>
        </w:trPr>
        <w:tc>
          <w:tcPr>
            <w:tcW w:type="dxa" w:w="22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WAXAL is not the Kikuyu/Luo source</w:t>
            </w:r>
          </w:p>
        </w:tc>
        <w:tc>
          <w:tcPr>
            <w:tcW w:type="dxa" w:w="34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WAXAL provides 1,250 h including Kikuyu and Luo</w:t>
            </w:r>
          </w:p>
        </w:tc>
        <w:tc>
          <w:tcPr>
            <w:tcW w:type="dxa" w:w="34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WAXAL exposes Kikuyu and Luo as TTS configs (kik_tts, luo_tts) — high-quality but single-speaker. Excellent for pronunciation/lexicon work and as a held-out clean test set; poor as the primary ASR training corpus because a single speaker invites overfitting.</w:t>
            </w:r>
          </w:p>
        </w:tc>
      </w:tr>
      <w:tr>
        <w:trPr>
          <w:tblHeader w:val="false"/>
        </w:trPr>
        <w:tc>
          <w:tcPr>
            <w:tcW w:type="dxa" w:w="22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Paza is a benchmark, not the product</w:t>
            </w:r>
          </w:p>
        </w:tc>
        <w:tc>
          <w:tcPr>
            <w:tcW w:type="dxa" w:w="3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Fine-tune Paza as the system model</w:t>
            </w:r>
          </w:p>
        </w:tc>
        <w:tc>
          <w:tcPr>
            <w:tcW w:type="dxa" w:w="34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Paza is one multilingual checkpoint covering six languages, selected by a decoder language token. Per the architecture requirement, it becomes the baseline to beat, not the deployed model. Separate per-language models are trained from the shared Whisper base.</w:t>
            </w:r>
          </w:p>
        </w:tc>
      </w:tr>
    </w:tbl>
    <w:p>
      <w:pPr>
        <w:pStyle w:val="Heading2"/>
        <w:spacing w:after="120" w:before="260"/>
      </w:pPr>
      <w:r>
        <w:t xml:space="preserve">1.2 The three-step POC</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900"/>
        <w:gridCol w:w="2600"/>
        <w:gridCol w:w="3200"/>
        <w:gridCol w:w="2320"/>
      </w:tblGrid>
      <w:tr>
        <w:trPr>
          <w:tblHeader/>
        </w:trPr>
        <w:tc>
          <w:tcPr>
            <w:tcW w:type="dxa" w:w="9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Step</w:t>
            </w:r>
          </w:p>
        </w:tc>
        <w:tc>
          <w:tcPr>
            <w:tcW w:type="dxa" w:w="26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Activity</w:t>
            </w:r>
          </w:p>
        </w:tc>
        <w:tc>
          <w:tcPr>
            <w:tcW w:type="dxa" w:w="32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Runs on</w:t>
            </w:r>
          </w:p>
        </w:tc>
        <w:tc>
          <w:tcPr>
            <w:tcW w:type="dxa" w:w="23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Exit criterion</w:t>
            </w:r>
          </w:p>
        </w:tc>
      </w:tr>
      <w:tr>
        <w:trPr>
          <w:tblHeader w:val="false"/>
        </w:trPr>
        <w:tc>
          <w:tcPr>
            <w:tcW w:type="dxa" w:w="9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1</w:t>
            </w:r>
          </w:p>
        </w:tc>
        <w:tc>
          <w:tcPr>
            <w:tcW w:type="dxa" w:w="26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Baseline: capture all six channels, transcribe with off-the-shelf models, measure WER and routing accuracy</w:t>
            </w:r>
          </w:p>
        </w:tc>
        <w:tc>
          <w:tcPr>
            <w:tcW w:type="dxa" w:w="32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This machine</w:t>
            </w:r>
          </w:p>
        </w:tc>
        <w:tc>
          <w:tcPr>
            <w:tcW w:type="dxa" w:w="23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 defensible per-language, per-station WER and routing-accuracy number on a hand-labelled reference set</w:t>
            </w:r>
          </w:p>
        </w:tc>
      </w:tr>
      <w:tr>
        <w:trPr>
          <w:tblHeader w:val="false"/>
        </w:trPr>
        <w:tc>
          <w:tcPr>
            <w:tcW w:type="dxa" w:w="9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2</w:t>
            </w:r>
          </w:p>
        </w:tc>
        <w:tc>
          <w:tcPr>
            <w:tcW w:type="dxa" w:w="26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Train per-language Kikuyu and Luo models on Africa Next Voices + WAXAL, re-measure</w:t>
            </w:r>
          </w:p>
        </w:tc>
        <w:tc>
          <w:tcPr>
            <w:tcW w:type="dxa" w:w="32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This machine for data prep and evaluation; rented GPU for the training run itself</w:t>
            </w:r>
          </w:p>
        </w:tc>
        <w:tc>
          <w:tcPr>
            <w:tcW w:type="dxa" w:w="23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Measurable WER reduction over the Step 1 baseline on the same reference set</w:t>
            </w:r>
          </w:p>
        </w:tc>
      </w:tr>
      <w:tr>
        <w:trPr>
          <w:tblHeader w:val="false"/>
        </w:trPr>
        <w:tc>
          <w:tcPr>
            <w:tcW w:type="dxa" w:w="9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3</w:t>
            </w:r>
          </w:p>
        </w:tc>
        <w:tc>
          <w:tcPr>
            <w:tcW w:type="dxa" w:w="26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Add in-domain broadcast data and third-party data; fine-tune off-machine if required</w:t>
            </w:r>
          </w:p>
        </w:tc>
        <w:tc>
          <w:tcPr>
            <w:tcW w:type="dxa" w:w="32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Rented GPU</w:t>
            </w:r>
          </w:p>
        </w:tc>
        <w:tc>
          <w:tcPr>
            <w:tcW w:type="dxa" w:w="23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Broadcast-domain WER within the operating threshold agreed for reporting tiers</w:t>
            </w:r>
          </w:p>
        </w:tc>
      </w:tr>
    </w:tbl>
    <w:p>
      <w:pPr>
        <w:spacing w:after="120" w:line="276"/>
      </w:pPr>
      <w:r>
        <w:rPr>
          <w:rFonts w:ascii="Calibri" w:cs="Calibri" w:eastAsia="Calibri" w:hAnsi="Calibri"/>
          <w:sz w:val="21"/>
          <w:szCs w:val="21"/>
        </w:rPr>
        <w:t xml:space="preserve">Step 4 is the decision gate: proceed to Phase 2 (Luhya, Kalenjin, Kamba, Somali, Kisii, Maasai) using the Language Pack procedure defined in Section 14.</w:t>
      </w:r>
    </w:p>
    <w:p>
      <w:pPr>
        <w:pStyle w:val="Heading2"/>
        <w:spacing w:after="120" w:before="260"/>
      </w:pPr>
      <w:r>
        <w:t xml:space="preserve">1.3 The hardware constraint, stated plainly</w:t>
      </w:r>
    </w:p>
    <w:tbl>
      <w:tblPr>
        <w:tblW w:type="dxa" w:w="9020"/>
        <w:tblBorders>
          <w:top w:val="single" w:color="2E74B5" w:sz="4"/>
          <w:left w:val="single" w:color="2E74B5" w:sz="18"/>
          <w:bottom w:val="single" w:color="2E74B5" w:sz="4"/>
          <w:right w:val="single" w:color="2E74B5" w:sz="4"/>
          <w:insideH w:val="none"/>
          <w:insideV w:val="none"/>
        </w:tblBorders>
      </w:tblPr>
      <w:tblGrid>
        <w:gridCol w:w="9020"/>
      </w:tblGrid>
      <w:tr>
        <w:tc>
          <w:tcPr>
            <w:tcW w:type="dxa" w:w="9020"/>
            <w:shd w:fill="EEF4FB" w:color="auto" w:val="clear"/>
            <w:tcMar>
              <w:top w:type="dxa" w:w="130"/>
              <w:left w:type="dxa" w:w="170"/>
              <w:bottom w:type="dxa" w:w="130"/>
              <w:right w:type="dxa" w:w="140"/>
            </w:tcMar>
          </w:tcPr>
          <w:p>
            <w:pPr>
              <w:spacing w:after="60"/>
            </w:pPr>
            <w:r>
              <w:rPr>
                <w:rFonts w:ascii="Calibri" w:cs="Calibri" w:eastAsia="Calibri" w:hAnsi="Calibri"/>
                <w:b/>
                <w:bCs/>
                <w:color w:val="1F4E79"/>
                <w:sz w:val="20"/>
                <w:szCs w:val="20"/>
              </w:rPr>
              <w:t xml:space="preserve">This machine can run the pipeline but cannot train the models</w:t>
            </w:r>
          </w:p>
          <w:p>
            <w:pPr>
              <w:spacing w:after="50" w:line="264"/>
            </w:pPr>
            <w:r>
              <w:rPr>
                <w:rFonts w:ascii="Calibri" w:cs="Calibri" w:eastAsia="Calibri" w:hAnsi="Calibri"/>
                <w:sz w:val="20"/>
                <w:szCs w:val="20"/>
              </w:rPr>
              <w:t xml:space="preserve">The workstation has a 13th-gen Core i7-1355U (12 logical cores), 13.7 GB RAM and Intel Iris Xe integrated graphics — no CUDA device. Inference, capture, segmentation, routing, translation and reporting all run here acceptably. Fine-tuning a Whisper-class model does not: it needs 16–24 GB of GPU memory.</w:t>
            </w:r>
          </w:p>
          <w:p>
            <w:pPr>
              <w:spacing w:after="50" w:line="264"/>
            </w:pPr>
            <w:r>
              <w:rPr>
                <w:rFonts w:ascii="Calibri" w:cs="Calibri" w:eastAsia="Calibri" w:hAnsi="Calibri"/>
                <w:sz w:val="20"/>
                <w:szCs w:val="20"/>
              </w:rPr>
              <w:t xml:space="preserve">This is not a blocker for the POC, it is a scheduling fact. Steps 1 and 2 evaluation happen locally; the Step 2 and Step 3 training runs are short rented-GPU jobs (hours, not weeks) whose outputs — the adapter weight files — come back to this machine for evaluation and deployment.</w:t>
            </w:r>
          </w:p>
          <w:p>
            <w:pPr>
              <w:spacing w:after="50" w:line="264"/>
            </w:pPr>
            <w:r>
              <w:rPr>
                <w:rFonts w:ascii="Calibri" w:cs="Calibri" w:eastAsia="Calibri" w:hAnsi="Calibri"/>
                <w:sz w:val="20"/>
                <w:szCs w:val="20"/>
              </w:rPr>
              <w:t xml:space="preserve">Throughput ceiling: approximately 0.5–1.0x realtime per stream for a Whisper-turbo-class model in int8 on this CPU. Six channels running 24 hours produce 144 audio-hours per day, roughly 30x what this machine can transcribe. The POC therefore captures continuously but transcribes selectively (Section 7.1).</w:t>
            </w:r>
          </w:p>
        </w:tc>
      </w:tr>
    </w:tbl>
    <w:p>
      <w:r>
        <w:br w:type="page"/>
      </w:r>
    </w:p>
    <w:p>
      <w:pPr>
        <w:pStyle w:val="Heading1"/>
        <w:spacing w:after="160" w:before="320"/>
      </w:pPr>
      <w:r>
        <w:t xml:space="preserve">2. Scope and Objectives</w:t>
      </w:r>
    </w:p>
    <w:p>
      <w:pPr>
        <w:pStyle w:val="Heading2"/>
        <w:spacing w:after="120" w:before="260"/>
      </w:pPr>
      <w:r>
        <w:t xml:space="preserve">2.1 In scope</w:t>
      </w:r>
    </w:p>
    <w:p>
      <w:pPr>
        <w:pStyle w:val="ListParagraph"/>
        <w:numPr>
          <w:ilvl w:val="0"/>
          <w:numId w:val="2"/>
        </w:numPr>
        <w:spacing w:after="70" w:line="276"/>
      </w:pPr>
      <w:r>
        <w:rPr>
          <w:rFonts w:ascii="Calibri" w:cs="Calibri" w:eastAsia="Calibri" w:hAnsi="Calibri"/>
          <w:sz w:val="21"/>
          <w:szCs w:val="21"/>
        </w:rPr>
        <w:t xml:space="preserve">Continuous audio capture from six named channels: Inooro TV, Inooro FM, Kameme TV, Kameme FM, Ramogi TV, Ramogi FM.</w:t>
      </w:r>
    </w:p>
    <w:p>
      <w:pPr>
        <w:pStyle w:val="ListParagraph"/>
        <w:numPr>
          <w:ilvl w:val="0"/>
          <w:numId w:val="2"/>
        </w:numPr>
        <w:spacing w:after="70" w:line="276"/>
      </w:pPr>
      <w:r>
        <w:rPr>
          <w:rFonts w:ascii="Calibri" w:cs="Calibri" w:eastAsia="Calibri" w:hAnsi="Calibri"/>
          <w:sz w:val="21"/>
          <w:szCs w:val="21"/>
        </w:rPr>
        <w:t xml:space="preserve">Removal of non-intelligence content: advertisements, music, station jingles, imported drama/soap programming, and silence.</w:t>
      </w:r>
    </w:p>
    <w:p>
      <w:pPr>
        <w:pStyle w:val="ListParagraph"/>
        <w:numPr>
          <w:ilvl w:val="0"/>
          <w:numId w:val="2"/>
        </w:numPr>
        <w:spacing w:after="70" w:line="276"/>
      </w:pPr>
      <w:r>
        <w:rPr>
          <w:rFonts w:ascii="Calibri" w:cs="Calibri" w:eastAsia="Calibri" w:hAnsi="Calibri"/>
          <w:sz w:val="21"/>
          <w:szCs w:val="21"/>
        </w:rPr>
        <w:t xml:space="preserve">Segment-level language routing between Kikuyu/Dholuo and English/Kiswahili/Sheng without relying on blind language identification.</w:t>
      </w:r>
    </w:p>
    <w:p>
      <w:pPr>
        <w:pStyle w:val="ListParagraph"/>
        <w:numPr>
          <w:ilvl w:val="0"/>
          <w:numId w:val="2"/>
        </w:numPr>
        <w:spacing w:after="70" w:line="276"/>
      </w:pPr>
      <w:r>
        <w:rPr>
          <w:rFonts w:ascii="Calibri" w:cs="Calibri" w:eastAsia="Calibri" w:hAnsi="Calibri"/>
          <w:sz w:val="21"/>
          <w:szCs w:val="21"/>
        </w:rPr>
        <w:t xml:space="preserve">Three independent transcription models: one for English/Kiswahili/Sheng, one for Kikuyu, one for Dholuo.</w:t>
      </w:r>
    </w:p>
    <w:p>
      <w:pPr>
        <w:pStyle w:val="ListParagraph"/>
        <w:numPr>
          <w:ilvl w:val="0"/>
          <w:numId w:val="2"/>
        </w:numPr>
        <w:spacing w:after="70" w:line="276"/>
      </w:pPr>
      <w:r>
        <w:rPr>
          <w:rFonts w:ascii="Calibri" w:cs="Calibri" w:eastAsia="Calibri" w:hAnsi="Calibri"/>
          <w:sz w:val="21"/>
          <w:szCs w:val="21"/>
        </w:rPr>
        <w:t xml:space="preserve">Vernacular-to-English translation with both copies preserved.</w:t>
      </w:r>
    </w:p>
    <w:p>
      <w:pPr>
        <w:pStyle w:val="ListParagraph"/>
        <w:numPr>
          <w:ilvl w:val="0"/>
          <w:numId w:val="2"/>
        </w:numPr>
        <w:spacing w:after="70" w:line="276"/>
      </w:pPr>
      <w:r>
        <w:rPr>
          <w:rFonts w:ascii="Calibri" w:cs="Calibri" w:eastAsia="Calibri" w:hAnsi="Calibri"/>
          <w:sz w:val="21"/>
          <w:szCs w:val="21"/>
        </w:rPr>
        <w:t xml:space="preserve">Entity extraction, keyword/watchlist alerting, and periodic plus on-demand reporting.</w:t>
      </w:r>
    </w:p>
    <w:p>
      <w:pPr>
        <w:pStyle w:val="ListParagraph"/>
        <w:numPr>
          <w:ilvl w:val="0"/>
          <w:numId w:val="2"/>
        </w:numPr>
        <w:spacing w:after="70" w:line="276"/>
      </w:pPr>
      <w:r>
        <w:rPr>
          <w:rFonts w:ascii="Calibri" w:cs="Calibri" w:eastAsia="Calibri" w:hAnsi="Calibri"/>
          <w:sz w:val="21"/>
          <w:szCs w:val="21"/>
        </w:rPr>
        <w:t xml:space="preserve">A local user interface covering ingest monitoring, media review, transcript correction, search and report generation.</w:t>
      </w:r>
    </w:p>
    <w:p>
      <w:pPr>
        <w:pStyle w:val="ListParagraph"/>
        <w:numPr>
          <w:ilvl w:val="0"/>
          <w:numId w:val="2"/>
        </w:numPr>
        <w:spacing w:after="70" w:line="276"/>
      </w:pPr>
      <w:r>
        <w:rPr>
          <w:rFonts w:ascii="Calibri" w:cs="Calibri" w:eastAsia="Calibri" w:hAnsi="Calibri"/>
          <w:sz w:val="21"/>
          <w:szCs w:val="21"/>
        </w:rPr>
        <w:t xml:space="preserve">An evaluation harness producing repeatable WER, routing-accuracy and filter-precision numbers.</w:t>
      </w:r>
    </w:p>
    <w:p>
      <w:pPr>
        <w:pStyle w:val="Heading2"/>
        <w:spacing w:after="120" w:before="260"/>
      </w:pPr>
      <w:r>
        <w:t xml:space="preserve">2.2 Explicitly out of scope for Phase 1</w:t>
      </w:r>
    </w:p>
    <w:p>
      <w:pPr>
        <w:pStyle w:val="ListParagraph"/>
        <w:numPr>
          <w:ilvl w:val="0"/>
          <w:numId w:val="2"/>
        </w:numPr>
        <w:spacing w:after="70" w:line="276"/>
      </w:pPr>
      <w:r>
        <w:rPr>
          <w:rFonts w:ascii="Calibri" w:cs="Calibri" w:eastAsia="Calibri" w:hAnsi="Calibri"/>
          <w:sz w:val="21"/>
          <w:szCs w:val="21"/>
        </w:rPr>
        <w:t xml:space="preserve">Paid respondent recruitment and studio data collection. Deferred to Phase 4 dialect work.</w:t>
      </w:r>
    </w:p>
    <w:p>
      <w:pPr>
        <w:pStyle w:val="ListParagraph"/>
        <w:numPr>
          <w:ilvl w:val="0"/>
          <w:numId w:val="2"/>
        </w:numPr>
        <w:spacing w:after="70" w:line="276"/>
      </w:pPr>
      <w:r>
        <w:rPr>
          <w:rFonts w:ascii="Calibri" w:cs="Calibri" w:eastAsia="Calibri" w:hAnsi="Calibri"/>
          <w:sz w:val="21"/>
          <w:szCs w:val="21"/>
        </w:rPr>
        <w:t xml:space="preserve">Regional SDR capture nodes (Raspberry Pi + RTL-SDR). All six POC channels are reachable over the internet, so no field hardware is required to prove the concept. Section 6.4 records why the SDR design is still needed later.</w:t>
      </w:r>
    </w:p>
    <w:p>
      <w:pPr>
        <w:pStyle w:val="ListParagraph"/>
        <w:numPr>
          <w:ilvl w:val="0"/>
          <w:numId w:val="2"/>
        </w:numPr>
        <w:spacing w:after="70" w:line="276"/>
      </w:pPr>
      <w:r>
        <w:rPr>
          <w:rFonts w:ascii="Calibri" w:cs="Calibri" w:eastAsia="Calibri" w:hAnsi="Calibri"/>
          <w:sz w:val="21"/>
          <w:szCs w:val="21"/>
        </w:rPr>
        <w:t xml:space="preserve">Speaker identification and voice biometrics. Diarization is used only to improve transcription and filtering, not to identify individuals.</w:t>
      </w:r>
    </w:p>
    <w:p>
      <w:pPr>
        <w:pStyle w:val="ListParagraph"/>
        <w:numPr>
          <w:ilvl w:val="0"/>
          <w:numId w:val="2"/>
        </w:numPr>
        <w:spacing w:after="70" w:line="276"/>
      </w:pPr>
      <w:r>
        <w:rPr>
          <w:rFonts w:ascii="Calibri" w:cs="Calibri" w:eastAsia="Calibri" w:hAnsi="Calibri"/>
          <w:sz w:val="21"/>
          <w:szCs w:val="21"/>
        </w:rPr>
        <w:t xml:space="preserve">Production-grade high availability, multi-user deployment and hardened security. The POC runs single-node.</w:t>
      </w:r>
    </w:p>
    <w:p>
      <w:pPr>
        <w:pStyle w:val="ListParagraph"/>
        <w:numPr>
          <w:ilvl w:val="0"/>
          <w:numId w:val="2"/>
        </w:numPr>
        <w:spacing w:after="70" w:line="276"/>
      </w:pPr>
      <w:r>
        <w:rPr>
          <w:rFonts w:ascii="Calibri" w:cs="Calibri" w:eastAsia="Calibri" w:hAnsi="Calibri"/>
          <w:sz w:val="21"/>
          <w:szCs w:val="21"/>
        </w:rPr>
        <w:t xml:space="preserve">The remaining 40+ languages. The POC must, however, leave behind a repeatable procedure for adding them (Section 14).</w:t>
      </w:r>
    </w:p>
    <w:p>
      <w:pPr>
        <w:pStyle w:val="Heading2"/>
        <w:spacing w:after="120" w:before="260"/>
      </w:pPr>
      <w:r>
        <w:t xml:space="preserve">2.3 Success criteria</w:t>
      </w:r>
    </w:p>
    <w:p>
      <w:pPr>
        <w:spacing w:after="120" w:line="276"/>
      </w:pPr>
      <w:r>
        <w:rPr>
          <w:rFonts w:ascii="Calibri" w:cs="Calibri" w:eastAsia="Calibri" w:hAnsi="Calibri"/>
          <w:sz w:val="21"/>
          <w:szCs w:val="21"/>
        </w:rPr>
        <w:t xml:space="preserve">The POC succeeds if all five of the following are demonstrably true at the end of Step 2:</w:t>
      </w:r>
    </w:p>
    <w:p>
      <w:pPr>
        <w:pStyle w:val="ListParagraph"/>
        <w:numPr>
          <w:ilvl w:val="0"/>
          <w:numId w:val="3"/>
        </w:numPr>
        <w:spacing w:after="70" w:line="276"/>
      </w:pPr>
      <w:r>
        <w:rPr>
          <w:rFonts w:ascii="Calibri" w:cs="Calibri" w:eastAsia="Calibri" w:hAnsi="Calibri"/>
          <w:sz w:val="21"/>
          <w:szCs w:val="21"/>
        </w:rPr>
        <w:t xml:space="preserve">Six channels are captured reliably for fourteen consecutive days with less than 2% audio loss.</w:t>
      </w:r>
    </w:p>
    <w:p>
      <w:pPr>
        <w:pStyle w:val="ListParagraph"/>
        <w:numPr>
          <w:ilvl w:val="0"/>
          <w:numId w:val="3"/>
        </w:numPr>
        <w:spacing w:after="70" w:line="276"/>
      </w:pPr>
      <w:r>
        <w:rPr>
          <w:rFonts w:ascii="Calibri" w:cs="Calibri" w:eastAsia="Calibri" w:hAnsi="Calibri"/>
          <w:sz w:val="21"/>
          <w:szCs w:val="21"/>
        </w:rPr>
        <w:t xml:space="preserve">The content filter removes at least 90% of advertisement and music airtime while discarding less than 2% of genuine speech.</w:t>
      </w:r>
    </w:p>
    <w:p>
      <w:pPr>
        <w:pStyle w:val="ListParagraph"/>
        <w:numPr>
          <w:ilvl w:val="0"/>
          <w:numId w:val="3"/>
        </w:numPr>
        <w:spacing w:after="70" w:line="276"/>
      </w:pPr>
      <w:r>
        <w:rPr>
          <w:rFonts w:ascii="Calibri" w:cs="Calibri" w:eastAsia="Calibri" w:hAnsi="Calibri"/>
          <w:sz w:val="21"/>
          <w:szCs w:val="21"/>
        </w:rPr>
        <w:t xml:space="preserve">Segment-level language routing is at least 95% accurate on a hand-labelled two-hour reference set per language.</w:t>
      </w:r>
    </w:p>
    <w:p>
      <w:pPr>
        <w:pStyle w:val="ListParagraph"/>
        <w:numPr>
          <w:ilvl w:val="0"/>
          <w:numId w:val="3"/>
        </w:numPr>
        <w:spacing w:after="70" w:line="276"/>
      </w:pPr>
      <w:r>
        <w:rPr>
          <w:rFonts w:ascii="Calibri" w:cs="Calibri" w:eastAsia="Calibri" w:hAnsi="Calibri"/>
          <w:sz w:val="21"/>
          <w:szCs w:val="21"/>
        </w:rPr>
        <w:t xml:space="preserve">Per-language Kikuyu and Luo models beat the Paza baseline on the same held-out broadcast reference set by a margin large enough to be visible above evaluation noise.</w:t>
      </w:r>
    </w:p>
    <w:p>
      <w:pPr>
        <w:pStyle w:val="ListParagraph"/>
        <w:numPr>
          <w:ilvl w:val="0"/>
          <w:numId w:val="3"/>
        </w:numPr>
        <w:spacing w:after="70" w:line="276"/>
      </w:pPr>
      <w:r>
        <w:rPr>
          <w:rFonts w:ascii="Calibri" w:cs="Calibri" w:eastAsia="Calibri" w:hAnsi="Calibri"/>
          <w:sz w:val="21"/>
          <w:szCs w:val="21"/>
        </w:rPr>
        <w:t xml:space="preserve">An analyst can, from the UI, take a named topic and retrieve the original audio, the vernacular transcript, the English translation and a citation-linked report in under five minutes.</w:t>
      </w:r>
    </w:p>
    <w:p>
      <w:pPr>
        <w:pStyle w:val="Heading2"/>
        <w:spacing w:after="120" w:before="260"/>
      </w:pPr>
      <w:r>
        <w:t xml:space="preserve">2.4 Design principle: nothing built for two languages only</w:t>
      </w:r>
    </w:p>
    <w:p>
      <w:pPr>
        <w:spacing w:after="120" w:line="276"/>
      </w:pPr>
      <w:r>
        <w:rPr>
          <w:rFonts w:ascii="Calibri" w:cs="Calibri" w:eastAsia="Calibri" w:hAnsi="Calibri"/>
          <w:sz w:val="21"/>
          <w:szCs w:val="21"/>
        </w:rPr>
        <w:t xml:space="preserve">Every component in this plan is specified as language-agnostic and driven by a registry. Kikuyu and Luo are the first two entries in that registry, not special cases. Where a shortcut would be faster for two languages but would not survive forty-four, this document takes the slower path and says so.</w:t>
      </w:r>
    </w:p>
    <w:p>
      <w:r>
        <w:br w:type="page"/>
      </w:r>
    </w:p>
    <w:p>
      <w:pPr>
        <w:pStyle w:val="Heading1"/>
        <w:spacing w:after="160" w:before="320"/>
      </w:pPr>
      <w:r>
        <w:t xml:space="preserve">3. System Architecture</w:t>
      </w:r>
    </w:p>
    <w:p>
      <w:pPr>
        <w:pStyle w:val="Heading2"/>
        <w:spacing w:after="120" w:before="260"/>
      </w:pPr>
      <w:r>
        <w:t xml:space="preserve">3.1 Pipeline stages</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700"/>
        <w:gridCol w:w="1900"/>
        <w:gridCol w:w="4100"/>
        <w:gridCol w:w="2320"/>
      </w:tblGrid>
      <w:tr>
        <w:trPr>
          <w:tblHeader/>
        </w:trPr>
        <w:tc>
          <w:tcPr>
            <w:tcW w:type="dxa" w:w="7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w:t>
            </w:r>
          </w:p>
        </w:tc>
        <w:tc>
          <w:tcPr>
            <w:tcW w:type="dxa" w:w="19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Stage</w:t>
            </w:r>
          </w:p>
        </w:tc>
        <w:tc>
          <w:tcPr>
            <w:tcW w:type="dxa" w:w="41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Function</w:t>
            </w:r>
          </w:p>
        </w:tc>
        <w:tc>
          <w:tcPr>
            <w:tcW w:type="dxa" w:w="23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Key technology</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0</w:t>
            </w:r>
          </w:p>
        </w:tc>
        <w:tc>
          <w:tcPr>
            <w:tcW w:type="dxa" w:w="19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Capture</w:t>
            </w:r>
          </w:p>
        </w:tc>
        <w:tc>
          <w:tcPr>
            <w:tcW w:type="dxa" w:w="41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Pull six live streams continuously; store immutable source audio with provenance metadata</w:t>
            </w:r>
          </w:p>
        </w:tc>
        <w:tc>
          <w:tcPr>
            <w:tcW w:type="dxa" w:w="23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yt-dlp, streamlink, ffmpeg</w:t>
            </w:r>
          </w:p>
        </w:tc>
      </w:tr>
      <w:tr>
        <w:trPr>
          <w:tblHeader w:val="false"/>
        </w:trPr>
        <w:tc>
          <w:tcPr>
            <w:tcW w:type="dxa" w:w="7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1</w:t>
            </w:r>
          </w:p>
        </w:tc>
        <w:tc>
          <w:tcPr>
            <w:tcW w:type="dxa" w:w="19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Demux &amp; normalise</w:t>
            </w:r>
          </w:p>
        </w:tc>
        <w:tc>
          <w:tcPr>
            <w:tcW w:type="dxa" w:w="41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Extract audio, downmix to 16 kHz mono, segment into fixed 5-minute rolling files</w:t>
            </w:r>
          </w:p>
        </w:tc>
        <w:tc>
          <w:tcPr>
            <w:tcW w:type="dxa" w:w="23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ffmpeg</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2</w:t>
            </w:r>
          </w:p>
        </w:tc>
        <w:tc>
          <w:tcPr>
            <w:tcW w:type="dxa" w:w="19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Content filter</w:t>
            </w:r>
          </w:p>
        </w:tc>
        <w:tc>
          <w:tcPr>
            <w:tcW w:type="dxa" w:w="41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Classify and discard advertisements, music, jingles and drama programming</w:t>
            </w:r>
          </w:p>
        </w:tc>
        <w:tc>
          <w:tcPr>
            <w:tcW w:type="dxa" w:w="23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VAD, music/speech classifier, audio fingerprinting</w:t>
            </w:r>
          </w:p>
        </w:tc>
      </w:tr>
      <w:tr>
        <w:trPr>
          <w:tblHeader w:val="false"/>
        </w:trPr>
        <w:tc>
          <w:tcPr>
            <w:tcW w:type="dxa" w:w="7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3</w:t>
            </w:r>
          </w:p>
        </w:tc>
        <w:tc>
          <w:tcPr>
            <w:tcW w:type="dxa" w:w="19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Segment</w:t>
            </w:r>
          </w:p>
        </w:tc>
        <w:tc>
          <w:tcPr>
            <w:tcW w:type="dxa" w:w="41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Split retained speech into 5–25 s utterance chunks on natural pauses</w:t>
            </w:r>
          </w:p>
        </w:tc>
        <w:tc>
          <w:tcPr>
            <w:tcW w:type="dxa" w:w="23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Silero VAD</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4</w:t>
            </w:r>
          </w:p>
        </w:tc>
        <w:tc>
          <w:tcPr>
            <w:tcW w:type="dxa" w:w="19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Route</w:t>
            </w:r>
          </w:p>
        </w:tc>
        <w:tc>
          <w:tcPr>
            <w:tcW w:type="dxa" w:w="41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Assign each segment to a language pack using station prior plus constrained scoring</w:t>
            </w:r>
          </w:p>
        </w:tc>
        <w:tc>
          <w:tcPr>
            <w:tcW w:type="dxa" w:w="23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Whisper encoder + constrained language-token scoring</w:t>
            </w:r>
          </w:p>
        </w:tc>
      </w:tr>
      <w:tr>
        <w:trPr>
          <w:tblHeader w:val="false"/>
        </w:trPr>
        <w:tc>
          <w:tcPr>
            <w:tcW w:type="dxa" w:w="7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5</w:t>
            </w:r>
          </w:p>
        </w:tc>
        <w:tc>
          <w:tcPr>
            <w:tcW w:type="dxa" w:w="19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Transcribe</w:t>
            </w:r>
          </w:p>
        </w:tc>
        <w:tc>
          <w:tcPr>
            <w:tcW w:type="dxa" w:w="41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Decode each segment with its assigned per-language model</w:t>
            </w:r>
          </w:p>
        </w:tc>
        <w:tc>
          <w:tcPr>
            <w:tcW w:type="dxa" w:w="23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faster-whisper / CTranslate2, int8</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6</w:t>
            </w:r>
          </w:p>
        </w:tc>
        <w:tc>
          <w:tcPr>
            <w:tcW w:type="dxa" w:w="19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Post-process</w:t>
            </w:r>
          </w:p>
        </w:tc>
        <w:tc>
          <w:tcPr>
            <w:tcW w:type="dxa" w:w="41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Hallucination filtering, Sheng normalisation, punctuation, timestamp alignment</w:t>
            </w:r>
          </w:p>
        </w:tc>
        <w:tc>
          <w:tcPr>
            <w:tcW w:type="dxa" w:w="23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Rule set + lexicon + forced alignment</w:t>
            </w:r>
          </w:p>
        </w:tc>
      </w:tr>
      <w:tr>
        <w:trPr>
          <w:tblHeader w:val="false"/>
        </w:trPr>
        <w:tc>
          <w:tcPr>
            <w:tcW w:type="dxa" w:w="7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7</w:t>
            </w:r>
          </w:p>
        </w:tc>
        <w:tc>
          <w:tcPr>
            <w:tcW w:type="dxa" w:w="19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Translate</w:t>
            </w:r>
          </w:p>
        </w:tc>
        <w:tc>
          <w:tcPr>
            <w:tcW w:type="dxa" w:w="41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Vernacular and Kiswahili to English; preserve both copies</w:t>
            </w:r>
          </w:p>
        </w:tc>
        <w:tc>
          <w:tcPr>
            <w:tcW w:type="dxa" w:w="23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NLLB-200 / MT layer</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8</w:t>
            </w:r>
          </w:p>
        </w:tc>
        <w:tc>
          <w:tcPr>
            <w:tcW w:type="dxa" w:w="19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Enrich</w:t>
            </w:r>
          </w:p>
        </w:tc>
        <w:tc>
          <w:tcPr>
            <w:tcW w:type="dxa" w:w="41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Named entities, topics, watchlist matching, deduplication</w:t>
            </w:r>
          </w:p>
        </w:tc>
        <w:tc>
          <w:tcPr>
            <w:tcW w:type="dxa" w:w="23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NER + text classifier</w:t>
            </w:r>
          </w:p>
        </w:tc>
      </w:tr>
      <w:tr>
        <w:trPr>
          <w:tblHeader w:val="false"/>
        </w:trPr>
        <w:tc>
          <w:tcPr>
            <w:tcW w:type="dxa" w:w="7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9</w:t>
            </w:r>
          </w:p>
        </w:tc>
        <w:tc>
          <w:tcPr>
            <w:tcW w:type="dxa" w:w="19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Report</w:t>
            </w:r>
          </w:p>
        </w:tc>
        <w:tc>
          <w:tcPr>
            <w:tcW w:type="dxa" w:w="41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Periodic and on-demand analyst reports with audio citations</w:t>
            </w:r>
          </w:p>
        </w:tc>
        <w:tc>
          <w:tcPr>
            <w:tcW w:type="dxa" w:w="23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Report builder + UI</w:t>
            </w:r>
          </w:p>
        </w:tc>
      </w:tr>
    </w:tbl>
    <w:p>
      <w:pPr>
        <w:pStyle w:val="Heading2"/>
        <w:spacing w:after="120" w:before="260"/>
      </w:pPr>
      <w:r>
        <w:t xml:space="preserve">3.2 The Language Pack — the unit that makes 44 languages tractable</w:t>
      </w:r>
    </w:p>
    <w:p>
      <w:pPr>
        <w:spacing w:after="120" w:line="276"/>
      </w:pPr>
      <w:r>
        <w:rPr>
          <w:rFonts w:ascii="Calibri" w:cs="Calibri" w:eastAsia="Calibri" w:hAnsi="Calibri"/>
          <w:sz w:val="21"/>
          <w:szCs w:val="21"/>
        </w:rPr>
        <w:t xml:space="preserve">A Language Pack is the single abstraction that makes the system extensible. Adding a language means adding one registry entry and its artefacts; it must never mean changing pipeline code. Each pack contains:</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2400"/>
        <w:gridCol w:w="6620"/>
      </w:tblGrid>
      <w:tr>
        <w:trPr>
          <w:tblHeader/>
        </w:trPr>
        <w:tc>
          <w:tcPr>
            <w:tcW w:type="dxa" w:w="24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Element</w:t>
            </w:r>
          </w:p>
        </w:tc>
        <w:tc>
          <w:tcPr>
            <w:tcW w:type="dxa" w:w="66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Description</w:t>
            </w:r>
          </w:p>
        </w:tc>
      </w:tr>
      <w:tr>
        <w:trPr>
          <w:tblHeader w:val="false"/>
        </w:trPr>
        <w:tc>
          <w:tcPr>
            <w:tcW w:type="dxa" w:w="2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Language code</w:t>
            </w:r>
          </w:p>
        </w:tc>
        <w:tc>
          <w:tcPr>
            <w:tcW w:type="dxa" w:w="66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ISO 639-3 (kik, luo, swh, eng). Used as the key everywhere — filenames, database, API, UI.</w:t>
            </w:r>
          </w:p>
        </w:tc>
      </w:tr>
      <w:tr>
        <w:trPr>
          <w:tblHeader w:val="false"/>
        </w:trPr>
        <w:tc>
          <w:tcPr>
            <w:tcW w:type="dxa" w:w="24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ASR model reference</w:t>
            </w:r>
          </w:p>
        </w:tc>
        <w:tc>
          <w:tcPr>
            <w:tcW w:type="dxa" w:w="66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Path or ID of the per-language checkpoint, plus decoder configuration (language token, beam size, temperature ladder).</w:t>
            </w:r>
          </w:p>
        </w:tc>
      </w:tr>
      <w:tr>
        <w:trPr>
          <w:tblHeader w:val="false"/>
        </w:trPr>
        <w:tc>
          <w:tcPr>
            <w:tcW w:type="dxa" w:w="2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Routing profile</w:t>
            </w:r>
          </w:p>
        </w:tc>
        <w:tc>
          <w:tcPr>
            <w:tcW w:type="dxa" w:w="66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Candidate language set for stations that carry this language, and the prior probability vector.</w:t>
            </w:r>
          </w:p>
        </w:tc>
      </w:tr>
      <w:tr>
        <w:trPr>
          <w:tblHeader w:val="false"/>
        </w:trPr>
        <w:tc>
          <w:tcPr>
            <w:tcW w:type="dxa" w:w="24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Lexicon &amp; orthography rules</w:t>
            </w:r>
          </w:p>
        </w:tc>
        <w:tc>
          <w:tcPr>
            <w:tcW w:type="dxa" w:w="66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Normalisation rules, diacritics (Kikuyu uses ĩ and ũ), named-entity gazetteer, Sheng/loanword map.</w:t>
            </w:r>
          </w:p>
        </w:tc>
      </w:tr>
      <w:tr>
        <w:trPr>
          <w:tblHeader w:val="false"/>
        </w:trPr>
        <w:tc>
          <w:tcPr>
            <w:tcW w:type="dxa" w:w="2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Translation configuration</w:t>
            </w:r>
          </w:p>
        </w:tc>
        <w:tc>
          <w:tcPr>
            <w:tcW w:type="dxa" w:w="66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MT model and source-language token, plus a post-edit glossary for proper nouns and political terminology.</w:t>
            </w:r>
          </w:p>
        </w:tc>
      </w:tr>
      <w:tr>
        <w:trPr>
          <w:tblHeader w:val="false"/>
        </w:trPr>
        <w:tc>
          <w:tcPr>
            <w:tcW w:type="dxa" w:w="24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Evaluation set</w:t>
            </w:r>
          </w:p>
        </w:tc>
        <w:tc>
          <w:tcPr>
            <w:tcW w:type="dxa" w:w="66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 frozen, hand-labelled broadcast reference set with a documented WER scoring recipe.</w:t>
            </w:r>
          </w:p>
        </w:tc>
      </w:tr>
      <w:tr>
        <w:trPr>
          <w:tblHeader w:val="false"/>
        </w:trPr>
        <w:tc>
          <w:tcPr>
            <w:tcW w:type="dxa" w:w="2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Station bindings</w:t>
            </w:r>
          </w:p>
        </w:tc>
        <w:tc>
          <w:tcPr>
            <w:tcW w:type="dxa" w:w="66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Which channels carry this language, with daypart weighting.</w:t>
            </w:r>
          </w:p>
        </w:tc>
      </w:tr>
      <w:tr>
        <w:trPr>
          <w:tblHeader w:val="false"/>
        </w:trPr>
        <w:tc>
          <w:tcPr>
            <w:tcW w:type="dxa" w:w="24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Provenance &amp; licence record</w:t>
            </w:r>
          </w:p>
        </w:tc>
        <w:tc>
          <w:tcPr>
            <w:tcW w:type="dxa" w:w="66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Which datasets trained this pack, under which licence, with what attribution obligations.</w:t>
            </w:r>
          </w:p>
        </w:tc>
      </w:tr>
    </w:tbl>
    <w:tbl>
      <w:tblPr>
        <w:tblW w:type="dxa" w:w="9020"/>
        <w:tblBorders>
          <w:top w:val="single" w:color="2E74B5" w:sz="4"/>
          <w:left w:val="single" w:color="2E74B5" w:sz="18"/>
          <w:bottom w:val="single" w:color="2E74B5" w:sz="4"/>
          <w:right w:val="single" w:color="2E74B5" w:sz="4"/>
          <w:insideH w:val="none"/>
          <w:insideV w:val="none"/>
        </w:tblBorders>
      </w:tblPr>
      <w:tblGrid>
        <w:gridCol w:w="9020"/>
      </w:tblGrid>
      <w:tr>
        <w:tc>
          <w:tcPr>
            <w:tcW w:type="dxa" w:w="9020"/>
            <w:shd w:fill="EEF4FB" w:color="auto" w:val="clear"/>
            <w:tcMar>
              <w:top w:type="dxa" w:w="130"/>
              <w:left w:type="dxa" w:w="170"/>
              <w:bottom w:type="dxa" w:w="130"/>
              <w:right w:type="dxa" w:w="140"/>
            </w:tcMar>
          </w:tcPr>
          <w:p>
            <w:pPr>
              <w:spacing w:after="60"/>
            </w:pPr>
            <w:r>
              <w:rPr>
                <w:rFonts w:ascii="Calibri" w:cs="Calibri" w:eastAsia="Calibri" w:hAnsi="Calibri"/>
                <w:b/>
                <w:bCs/>
                <w:color w:val="1F4E79"/>
                <w:sz w:val="20"/>
                <w:szCs w:val="20"/>
              </w:rPr>
              <w:t xml:space="preserve">Why this matters now, not in Phase 3</w:t>
            </w:r>
          </w:p>
          <w:p>
            <w:pPr>
              <w:spacing w:after="50" w:line="264"/>
            </w:pPr>
            <w:r>
              <w:rPr>
                <w:rFonts w:ascii="Calibri" w:cs="Calibri" w:eastAsia="Calibri" w:hAnsi="Calibri"/>
                <w:sz w:val="20"/>
                <w:szCs w:val="20"/>
              </w:rPr>
              <w:t xml:space="preserve">If the POC hard-codes "Kikuyu" and "Luo" anywhere outside the registry, adding the fortieth language becomes a code change rather than a configuration change. The cost of getting this right is a few days during the POC; the cost of getting it wrong is paid forty-two more times.</w:t>
            </w:r>
          </w:p>
        </w:tc>
      </w:tr>
    </w:tbl>
    <w:p>
      <w:r>
        <w:br w:type="page"/>
      </w:r>
    </w:p>
    <w:p>
      <w:pPr>
        <w:pStyle w:val="Heading1"/>
        <w:spacing w:after="160" w:before="320"/>
      </w:pPr>
      <w:r>
        <w:t xml:space="preserve">4. Model Strategy</w:t>
      </w:r>
    </w:p>
    <w:p>
      <w:pPr>
        <w:pStyle w:val="Heading2"/>
        <w:spacing w:after="120" w:before="260"/>
      </w:pPr>
      <w:r>
        <w:t xml:space="preserve">4.1 Why one multilingual model is the wrong foundation</w:t>
      </w:r>
    </w:p>
    <w:p>
      <w:pPr>
        <w:spacing w:after="120" w:line="276"/>
      </w:pPr>
      <w:r>
        <w:rPr>
          <w:rFonts w:ascii="Calibri" w:cs="Calibri" w:eastAsia="Calibri" w:hAnsi="Calibri"/>
          <w:sz w:val="21"/>
          <w:szCs w:val="21"/>
        </w:rPr>
        <w:t xml:space="preserve">Microsoft Paza is a single Whisper-large-v3-turbo fine-tune covering Swahili, Kalenjin, Kikuyu, Dholuo, Maasai and Somali, with the target language chosen at decode time by a token such as &lt;|kik|&gt; or &lt;|luo|&gt;. It is MIT-licensed, well-documented and an excellent reference point. It is nevertheless the wrong basis for the deployed system, for four reasons:</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2300"/>
        <w:gridCol w:w="6720"/>
      </w:tblGrid>
      <w:tr>
        <w:trPr>
          <w:tblHeader/>
        </w:trPr>
        <w:tc>
          <w:tcPr>
            <w:tcW w:type="dxa" w:w="23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Objection</w:t>
            </w:r>
          </w:p>
        </w:tc>
        <w:tc>
          <w:tcPr>
            <w:tcW w:type="dxa" w:w="67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Consequence</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It does not scale to 44 languages</w:t>
            </w:r>
          </w:p>
        </w:tc>
        <w:tc>
          <w:tcPr>
            <w:tcW w:type="dxa" w:w="6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 single checkpoint carrying forty-four low-resource languages suffers severe capacity contention. Whisper's decoder vocabulary and parameter budget are fixed; every language added past a point degrades the others.</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Retraining risk is shared</w:t>
            </w:r>
          </w:p>
        </w:tc>
        <w:tc>
          <w:tcPr>
            <w:tcW w:type="dxa" w:w="67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Improving Kalenjin means retraining the checkpoint that also serves Kikuyu, so every language improvement risks regressing every other language and forces a full six-language regression suite on every release.</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Release cadence is coupled</w:t>
            </w:r>
          </w:p>
        </w:tc>
        <w:tc>
          <w:tcPr>
            <w:tcW w:type="dxa" w:w="6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Languages arrive at different times with different data readiness. A monolith forces the fastest-moving language to wait for the slowest.</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Dialect work is impossible</w:t>
            </w:r>
          </w:p>
        </w:tc>
        <w:tc>
          <w:tcPr>
            <w:tcW w:type="dxa" w:w="67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Phase 4 requires separate treatment for Bukusu, Maragoli, Isukha, Kipsigis, Nandi and others. These need independent weights, independent evaluation and independent rollback.</w:t>
            </w:r>
          </w:p>
        </w:tc>
      </w:tr>
    </w:tbl>
    <w:p>
      <w:pPr>
        <w:pStyle w:val="Heading2"/>
        <w:spacing w:after="120" w:before="260"/>
      </w:pPr>
      <w:r>
        <w:t xml:space="preserve">4.2 The adopted approach: one model per language, one base in memory</w:t>
      </w:r>
    </w:p>
    <w:p>
      <w:pPr>
        <w:spacing w:after="120" w:line="276"/>
      </w:pPr>
      <w:r>
        <w:rPr>
          <w:rFonts w:ascii="Calibri" w:cs="Calibri" w:eastAsia="Calibri" w:hAnsi="Calibri"/>
          <w:sz w:val="21"/>
          <w:szCs w:val="21"/>
        </w:rPr>
        <w:t xml:space="preserve">Each language gets genuinely separate, separately trained, separately versioned and separately releasable weights. Physically, those weights are LoRA adapters over a shared frozen Whisper-large-v3-turbo backbone.</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2300"/>
        <w:gridCol w:w="3300"/>
        <w:gridCol w:w="3420"/>
      </w:tblGrid>
      <w:tr>
        <w:trPr>
          <w:tblHeader/>
        </w:trPr>
        <w:tc>
          <w:tcPr>
            <w:tcW w:type="dxa" w:w="23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Property</w:t>
            </w:r>
          </w:p>
        </w:tc>
        <w:tc>
          <w:tcPr>
            <w:tcW w:type="dxa" w:w="33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Separate full checkpoints</w:t>
            </w:r>
          </w:p>
        </w:tc>
        <w:tc>
          <w:tcPr>
            <w:tcW w:type="dxa" w:w="34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Adopted: per-language adapters on a shared base</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Independence of training</w:t>
            </w:r>
          </w:p>
        </w:tc>
        <w:tc>
          <w:tcPr>
            <w:tcW w:type="dxa" w:w="3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Yes</w:t>
            </w:r>
          </w:p>
        </w:tc>
        <w:tc>
          <w:tcPr>
            <w:tcW w:type="dxa" w:w="34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Yes — each adapter is trained only on its own language data</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Independence of release &amp; rollback</w:t>
            </w:r>
          </w:p>
        </w:tc>
        <w:tc>
          <w:tcPr>
            <w:tcW w:type="dxa" w:w="3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Yes</w:t>
            </w:r>
          </w:p>
        </w:tc>
        <w:tc>
          <w:tcPr>
            <w:tcW w:type="dxa" w:w="34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Yes — adapters version independently</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Disk cost at 44 languages</w:t>
            </w:r>
          </w:p>
        </w:tc>
        <w:tc>
          <w:tcPr>
            <w:tcW w:type="dxa" w:w="3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~44 × 1.6 GB ≈ 70 GB</w:t>
            </w:r>
          </w:p>
        </w:tc>
        <w:tc>
          <w:tcPr>
            <w:tcW w:type="dxa" w:w="34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1.6 GB base + ~44 × 50–150 MB ≈ 5–8 GB</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RAM cost when serving 3 languages</w:t>
            </w:r>
          </w:p>
        </w:tc>
        <w:tc>
          <w:tcPr>
            <w:tcW w:type="dxa" w:w="3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~4.8 GB — infeasible on 13.7 GB with the rest of the pipeline</w:t>
            </w:r>
          </w:p>
        </w:tc>
        <w:tc>
          <w:tcPr>
            <w:tcW w:type="dxa" w:w="34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~1.6 GB plus adapters — comfortable</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Training cost per language</w:t>
            </w:r>
          </w:p>
        </w:tc>
        <w:tc>
          <w:tcPr>
            <w:tcW w:type="dxa" w:w="3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Full fine-tune: expensive</w:t>
            </w:r>
          </w:p>
        </w:tc>
        <w:tc>
          <w:tcPr>
            <w:tcW w:type="dxa" w:w="34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LoRA: hours on a single 24 GB GPU</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Can be exported as a standalone model</w:t>
            </w:r>
          </w:p>
        </w:tc>
        <w:tc>
          <w:tcPr>
            <w:tcW w:type="dxa" w:w="3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n/a</w:t>
            </w:r>
          </w:p>
        </w:tc>
        <w:tc>
          <w:tcPr>
            <w:tcW w:type="dxa" w:w="34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Yes — an adapter can be merged into standalone weights at any time for deployment or handover</w:t>
            </w:r>
          </w:p>
        </w:tc>
      </w:tr>
    </w:tbl>
    <w:tbl>
      <w:tblPr>
        <w:tblW w:type="dxa" w:w="9020"/>
        <w:tblBorders>
          <w:top w:val="single" w:color="2E74B5" w:sz="4"/>
          <w:left w:val="single" w:color="2E74B5" w:sz="18"/>
          <w:bottom w:val="single" w:color="2E74B5" w:sz="4"/>
          <w:right w:val="single" w:color="2E74B5" w:sz="4"/>
          <w:insideH w:val="none"/>
          <w:insideV w:val="none"/>
        </w:tblBorders>
      </w:tblPr>
      <w:tblGrid>
        <w:gridCol w:w="9020"/>
      </w:tblGrid>
      <w:tr>
        <w:tc>
          <w:tcPr>
            <w:tcW w:type="dxa" w:w="9020"/>
            <w:shd w:fill="EEF4FB" w:color="auto" w:val="clear"/>
            <w:tcMar>
              <w:top w:type="dxa" w:w="130"/>
              <w:left w:type="dxa" w:w="170"/>
              <w:bottom w:type="dxa" w:w="130"/>
              <w:right w:type="dxa" w:w="140"/>
            </w:tcMar>
          </w:tcPr>
          <w:p>
            <w:pPr>
              <w:spacing w:after="60"/>
            </w:pPr>
            <w:r>
              <w:rPr>
                <w:rFonts w:ascii="Calibri" w:cs="Calibri" w:eastAsia="Calibri" w:hAnsi="Calibri"/>
                <w:b/>
                <w:bCs/>
                <w:color w:val="1F4E79"/>
                <w:sz w:val="20"/>
                <w:szCs w:val="20"/>
              </w:rPr>
              <w:t xml:space="preserve">The requirement is met, and the constraint is respected</w:t>
            </w:r>
          </w:p>
          <w:p>
            <w:pPr>
              <w:spacing w:after="50" w:line="264"/>
            </w:pPr>
            <w:r>
              <w:rPr>
                <w:rFonts w:ascii="Calibri" w:cs="Calibri" w:eastAsia="Calibri" w:hAnsi="Calibri"/>
                <w:sz w:val="20"/>
                <w:szCs w:val="20"/>
              </w:rPr>
              <w:t xml:space="preserve">Kikuyu and Luo have different weights, trained on different data, evaluated separately, and deployable separately — which is what "separate models per language" requires and what later fine-tuning demands.</w:t>
            </w:r>
          </w:p>
          <w:p>
            <w:pPr>
              <w:spacing w:after="50" w:line="264"/>
            </w:pPr>
            <w:r>
              <w:rPr>
                <w:rFonts w:ascii="Calibri" w:cs="Calibri" w:eastAsia="Calibri" w:hAnsi="Calibri"/>
                <w:sz w:val="20"/>
                <w:szCs w:val="20"/>
              </w:rPr>
              <w:t xml:space="preserve">The shared backbone is an implementation detail of how those weights are stored and loaded, not a shared training objective. If a language later diverges so far that the shared backbone hurts it (a plausible outcome for Somali, which is Cushitic, or for tonal Dholuo), that language is promoted to a full standalone fine-tune without any change to the rest of the system. The Language Pack abstraction already allows this: the ASR model reference simply points somewhere else.</w:t>
            </w:r>
          </w:p>
        </w:tc>
      </w:tr>
    </w:tbl>
    <w:p>
      <w:pPr>
        <w:pStyle w:val="Heading2"/>
        <w:spacing w:after="120" w:before="260"/>
      </w:pPr>
      <w:r>
        <w:t xml:space="preserve">4.3 Pack A — English / Kiswahili / Sheng</w:t>
      </w:r>
    </w:p>
    <w:p>
      <w:pPr>
        <w:spacing w:after="120" w:line="276"/>
      </w:pPr>
      <w:r>
        <w:rPr>
          <w:rFonts w:ascii="Calibri" w:cs="Calibri" w:eastAsia="Calibri" w:hAnsi="Calibri"/>
          <w:sz w:val="21"/>
          <w:szCs w:val="21"/>
        </w:rPr>
        <w:t xml:space="preserve">This is the pack that every station needs regardless of its vernacular, because news headlines, advertisements, government statements, interviews and call-in segments cross into English and Kiswahili constantly. It is also the pack that gets the most reuse across all 44 languages, so it deserves the most care.</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1900"/>
        <w:gridCol w:w="2400"/>
        <w:gridCol w:w="2400"/>
        <w:gridCol w:w="2320"/>
      </w:tblGrid>
      <w:tr>
        <w:trPr>
          <w:tblHeader/>
        </w:trPr>
        <w:tc>
          <w:tcPr>
            <w:tcW w:type="dxa" w:w="19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Candidate</w:t>
            </w:r>
          </w:p>
        </w:tc>
        <w:tc>
          <w:tcPr>
            <w:tcW w:type="dxa" w:w="24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Source</w:t>
            </w:r>
          </w:p>
        </w:tc>
        <w:tc>
          <w:tcPr>
            <w:tcW w:type="dxa" w:w="24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Strengths</w:t>
            </w:r>
          </w:p>
        </w:tc>
        <w:tc>
          <w:tcPr>
            <w:tcW w:type="dxa" w:w="23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Concerns</w:t>
            </w:r>
          </w:p>
        </w:tc>
      </w:tr>
      <w:tr>
        <w:trPr>
          <w:tblHeader w:val="false"/>
        </w:trPr>
        <w:tc>
          <w:tcPr>
            <w:tcW w:type="dxa" w:w="19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openai/whisper-large-v3-turbo</w:t>
            </w:r>
          </w:p>
        </w:tc>
        <w:tc>
          <w:tcPr>
            <w:tcW w:type="dxa" w:w="2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OpenAI, MIT</w:t>
            </w:r>
          </w:p>
        </w:tc>
        <w:tc>
          <w:tcPr>
            <w:tcW w:type="dxa" w:w="2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Strong English including Kenyan-accented English; fast; the reference backbone for everything else</w:t>
            </w:r>
          </w:p>
        </w:tc>
        <w:tc>
          <w:tcPr>
            <w:tcW w:type="dxa" w:w="23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Kiswahili is competent but not broadcast-tuned; no Sheng knowledge</w:t>
            </w:r>
          </w:p>
        </w:tc>
      </w:tr>
      <w:tr>
        <w:trPr>
          <w:tblHeader w:val="false"/>
        </w:trPr>
        <w:tc>
          <w:tcPr>
            <w:tcW w:type="dxa" w:w="19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microsoft/paza-whisper-large-v3-turbo (&lt;|sw|&gt;)</w:t>
            </w:r>
          </w:p>
        </w:tc>
        <w:tc>
          <w:tcPr>
            <w:tcW w:type="dxa" w:w="24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Microsoft, MIT</w:t>
            </w:r>
          </w:p>
        </w:tc>
        <w:tc>
          <w:tcPr>
            <w:tcW w:type="dxa" w:w="24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Kiswahili fine-tuned on Common Voice Swahili; Kenyan-focused</w:t>
            </w:r>
          </w:p>
        </w:tc>
        <w:tc>
          <w:tcPr>
            <w:tcW w:type="dxa" w:w="23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English likely eroded by six-language fine-tuning; must be measured, not assumed</w:t>
            </w:r>
          </w:p>
        </w:tc>
      </w:tr>
      <w:tr>
        <w:trPr>
          <w:tblHeader w:val="false"/>
        </w:trPr>
        <w:tc>
          <w:tcPr>
            <w:tcW w:type="dxa" w:w="19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openchs/asr-whisper-largev3-finetuned</w:t>
            </w:r>
          </w:p>
        </w:tc>
        <w:tc>
          <w:tcPr>
            <w:tcW w:type="dxa" w:w="2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Community</w:t>
            </w:r>
          </w:p>
        </w:tc>
        <w:tc>
          <w:tcPr>
            <w:tcW w:type="dxa" w:w="2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Fine-tuned on Common Voice Swahili 23.0 — the most recent Swahili-specific fine-tune found</w:t>
            </w:r>
          </w:p>
        </w:tc>
        <w:tc>
          <w:tcPr>
            <w:tcW w:type="dxa" w:w="23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Unverified licence and provenance; read-speech domain only</w:t>
            </w:r>
          </w:p>
        </w:tc>
      </w:tr>
      <w:tr>
        <w:trPr>
          <w:tblHeader w:val="false"/>
        </w:trPr>
        <w:tc>
          <w:tcPr>
            <w:tcW w:type="dxa" w:w="19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Sunbird/asr-whisper-51-african-languages</w:t>
            </w:r>
          </w:p>
        </w:tc>
        <w:tc>
          <w:tcPr>
            <w:tcW w:type="dxa" w:w="24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Sunbird AI</w:t>
            </w:r>
          </w:p>
        </w:tc>
        <w:tc>
          <w:tcPr>
            <w:tcW w:type="dxa" w:w="24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51 African languages including Swahili and African-accented English in one model; broad</w:t>
            </w:r>
          </w:p>
        </w:tc>
        <w:tc>
          <w:tcPr>
            <w:tcW w:type="dxa" w:w="23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Multilingual monolith with the capacity problems of 4.1; useful as a comparison point</w:t>
            </w:r>
          </w:p>
        </w:tc>
      </w:tr>
    </w:tbl>
    <w:p>
      <w:pPr>
        <w:spacing w:after="120" w:line="276"/>
      </w:pPr>
      <w:r>
        <w:rPr>
          <w:rFonts w:ascii="Calibri" w:cs="Calibri" w:eastAsia="Calibri" w:hAnsi="Calibri"/>
          <w:b/>
          <w:bCs/>
          <w:sz w:val="21"/>
          <w:szCs w:val="21"/>
        </w:rPr>
        <w:t xml:space="preserve">Recommendation. </w:t>
      </w:r>
      <w:r>
        <w:rPr>
          <w:rFonts w:ascii="Calibri" w:cs="Calibri" w:eastAsia="Calibri" w:hAnsi="Calibri"/>
          <w:sz w:val="21"/>
          <w:szCs w:val="21"/>
        </w:rPr>
        <w:t xml:space="preserve">Run all four in the Step 1 bake-off on the same reference audio and let the numbers decide. The expected outcome, to be confirmed: stock whisper-large-v3-turbo for English, and the best-scoring Swahili fine-tune for Kiswahili, operated as </w:t>
      </w:r>
      <w:r>
        <w:rPr>
          <w:rFonts w:ascii="Calibri" w:cs="Calibri" w:eastAsia="Calibri" w:hAnsi="Calibri"/>
          <w:i/>
          <w:iCs/>
          <w:sz w:val="21"/>
          <w:szCs w:val="21"/>
        </w:rPr>
        <w:t xml:space="preserve">two decoder configurations within one pack</w:t>
      </w:r>
      <w:r>
        <w:rPr>
          <w:rFonts w:ascii="Calibri" w:cs="Calibri" w:eastAsia="Calibri" w:hAnsi="Calibri"/>
          <w:sz w:val="21"/>
          <w:szCs w:val="21"/>
        </w:rPr>
        <w:t xml:space="preserve">. Keeping them in a single pack for the POC is a convenience; the registry allows splitting them into separate packs the moment their training data diverges, which it will as soon as Sheng data arrives.</w:t>
      </w:r>
    </w:p>
    <w:p>
      <w:pPr>
        <w:pStyle w:val="Heading3"/>
        <w:spacing w:after="100" w:before="200"/>
      </w:pPr>
      <w:r>
        <w:t xml:space="preserve">Sheng — the genuinely unsolved component</w:t>
      </w:r>
    </w:p>
    <w:p>
      <w:pPr>
        <w:spacing w:after="120" w:line="276"/>
      </w:pPr>
      <w:r>
        <w:rPr>
          <w:rFonts w:ascii="Calibri" w:cs="Calibri" w:eastAsia="Calibri" w:hAnsi="Calibri"/>
          <w:sz w:val="21"/>
          <w:szCs w:val="21"/>
        </w:rPr>
        <w:t xml:space="preserve">There is no public Sheng ASR corpus. Sheng is not a separate language for routing purposes: it is a Kiswahili-matrix urban register with English and vernacular lexis, so an audio-level router will classify it as Kiswahili, which is the correct behaviour. It must therefore be handled as a text-layer problem on the Kiswahili branch:</w:t>
      </w:r>
    </w:p>
    <w:p>
      <w:pPr>
        <w:pStyle w:val="ListParagraph"/>
        <w:numPr>
          <w:ilvl w:val="0"/>
          <w:numId w:val="2"/>
        </w:numPr>
        <w:spacing w:after="70" w:line="276"/>
      </w:pPr>
      <w:r>
        <w:rPr>
          <w:rFonts w:ascii="Calibri" w:cs="Calibri" w:eastAsia="Calibri" w:hAnsi="Calibri"/>
          <w:sz w:val="21"/>
          <w:szCs w:val="21"/>
        </w:rPr>
        <w:t xml:space="preserve">The Kiswahili model transcribes the Kiswahili skeleton correctly and mangles the slang lexicon.</w:t>
      </w:r>
    </w:p>
    <w:p>
      <w:pPr>
        <w:pStyle w:val="ListParagraph"/>
        <w:numPr>
          <w:ilvl w:val="0"/>
          <w:numId w:val="2"/>
        </w:numPr>
        <w:spacing w:after="70" w:line="276"/>
      </w:pPr>
      <w:r>
        <w:rPr>
          <w:rFonts w:ascii="Calibri" w:cs="Calibri" w:eastAsia="Calibri" w:hAnsi="Calibri"/>
          <w:sz w:val="21"/>
          <w:szCs w:val="21"/>
        </w:rPr>
        <w:t xml:space="preserve">A Sheng lexicon and normaliser flags the affected spans and maps them to a gloss.</w:t>
      </w:r>
    </w:p>
    <w:p>
      <w:pPr>
        <w:pStyle w:val="ListParagraph"/>
        <w:numPr>
          <w:ilvl w:val="0"/>
          <w:numId w:val="2"/>
        </w:numPr>
        <w:spacing w:after="70" w:line="276"/>
      </w:pPr>
      <w:r>
        <w:rPr>
          <w:rFonts w:ascii="Calibri" w:cs="Calibri" w:eastAsia="Calibri" w:hAnsi="Calibri"/>
          <w:sz w:val="21"/>
          <w:szCs w:val="21"/>
        </w:rPr>
        <w:t xml:space="preserve">The translation stage consumes the gloss rather than the raw token.</w:t>
      </w:r>
    </w:p>
    <w:p>
      <w:pPr>
        <w:pStyle w:val="ListParagraph"/>
        <w:numPr>
          <w:ilvl w:val="0"/>
          <w:numId w:val="2"/>
        </w:numPr>
        <w:spacing w:after="70" w:line="276"/>
      </w:pPr>
      <w:r>
        <w:rPr>
          <w:rFonts w:ascii="Calibri" w:cs="Calibri" w:eastAsia="Calibri" w:hAnsi="Calibri"/>
          <w:sz w:val="21"/>
          <w:szCs w:val="21"/>
        </w:rPr>
        <w:t xml:space="preserve">Annotation follows the standard already set: phonetic Kiswahili orthography, English-origin words spelled as English, span tagged as Sheng.</w:t>
      </w:r>
    </w:p>
    <w:p>
      <w:pPr>
        <w:pStyle w:val="ListParagraph"/>
        <w:numPr>
          <w:ilvl w:val="0"/>
          <w:numId w:val="2"/>
        </w:numPr>
        <w:spacing w:after="70" w:line="276"/>
      </w:pPr>
      <w:r>
        <w:rPr>
          <w:rFonts w:ascii="Calibri" w:cs="Calibri" w:eastAsia="Calibri" w:hAnsi="Calibri"/>
          <w:sz w:val="21"/>
          <w:szCs w:val="21"/>
        </w:rPr>
        <w:t xml:space="preserve">Sheng is the highest-value and lowest-availability data in the whole programme, because it dominates exactly the youth talk-show and call-in content that carries sentiment signal. Budget real collection hours for it in Phase 2, even though no respondents are hired in Phase 1.</w:t>
      </w:r>
    </w:p>
    <w:p>
      <w:pPr>
        <w:pStyle w:val="Heading2"/>
        <w:spacing w:after="120" w:before="260"/>
      </w:pPr>
      <w:r>
        <w:t xml:space="preserve">4.4 Pack B — Kikuyu</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2300"/>
        <w:gridCol w:w="6720"/>
      </w:tblGrid>
      <w:tr>
        <w:trPr>
          <w:tblHeader/>
        </w:trPr>
        <w:tc>
          <w:tcPr>
            <w:tcW w:type="dxa" w:w="23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Decision</w:t>
            </w:r>
          </w:p>
        </w:tc>
        <w:tc>
          <w:tcPr>
            <w:tcW w:type="dxa" w:w="67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Detail</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Backbone</w:t>
            </w:r>
          </w:p>
        </w:tc>
        <w:tc>
          <w:tcPr>
            <w:tcW w:type="dxa" w:w="6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openai/whisper-large-v3-turbo (MIT)</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Training method</w:t>
            </w:r>
          </w:p>
        </w:tc>
        <w:tc>
          <w:tcPr>
            <w:tcW w:type="dxa" w:w="67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LoRA fine-tune on Kikuyu-only data. No other language in the training mix.</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Primary corpus</w:t>
            </w:r>
          </w:p>
        </w:tc>
        <w:tc>
          <w:tcPr>
            <w:tcW w:type="dxa" w:w="6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Africa Next Voices Kenya — Kikuyu split, 754 hours, CC-BY-4.0, speaker-disjoint train/dev/dev_test/test</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Secondary corpora</w:t>
            </w:r>
          </w:p>
        </w:tc>
        <w:tc>
          <w:tcPr>
            <w:tcW w:type="dxa" w:w="67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WAXAL kik_tts (single-speaker, clean — used for lexicon/pronunciation and as a clean-condition test set, not as bulk training data); DigiGreen Kikuyu ASR; community Kikuyu sets on Hugging Face</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In-domain corpus</w:t>
            </w:r>
          </w:p>
        </w:tc>
        <w:tc>
          <w:tcPr>
            <w:tcW w:type="dxa" w:w="6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Broadcast audio captured in Step 1 and corrected through the UI (Section 10.4)</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Baseline to beat</w:t>
            </w:r>
          </w:p>
        </w:tc>
        <w:tc>
          <w:tcPr>
            <w:tcW w:type="dxa" w:w="67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microsoft/paza-whisper-large-v3-turbo with &lt;|kik|&gt;</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Orthography</w:t>
            </w:r>
          </w:p>
        </w:tc>
        <w:tc>
          <w:tcPr>
            <w:tcW w:type="dxa" w:w="6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UTF-8 end to end; ĩ and ũ preserved at every layer — filesystem, database, model tokenizer, UI, exported report</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Known risks</w:t>
            </w:r>
          </w:p>
        </w:tc>
        <w:tc>
          <w:tcPr>
            <w:tcW w:type="dxa" w:w="67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Paza already trained on Africa Next Voices Kikuyu, so a fine-tune on the same corpus will not automatically beat it. The differentiator must be broadcast-domain data and Kikuyu-exclusive capacity.</w:t>
            </w:r>
          </w:p>
        </w:tc>
      </w:tr>
    </w:tbl>
    <w:tbl>
      <w:tblPr>
        <w:tblW w:type="dxa" w:w="9020"/>
        <w:tblBorders>
          <w:top w:val="single" w:color="2E74B5" w:sz="4"/>
          <w:left w:val="single" w:color="2E74B5" w:sz="18"/>
          <w:bottom w:val="single" w:color="2E74B5" w:sz="4"/>
          <w:right w:val="single" w:color="2E74B5" w:sz="4"/>
          <w:insideH w:val="none"/>
          <w:insideV w:val="none"/>
        </w:tblBorders>
      </w:tblPr>
      <w:tblGrid>
        <w:gridCol w:w="9020"/>
      </w:tblGrid>
      <w:tr>
        <w:tc>
          <w:tcPr>
            <w:tcW w:type="dxa" w:w="9020"/>
            <w:shd w:fill="EEF4FB" w:color="auto" w:val="clear"/>
            <w:tcMar>
              <w:top w:type="dxa" w:w="130"/>
              <w:left w:type="dxa" w:w="170"/>
              <w:bottom w:type="dxa" w:w="130"/>
              <w:right w:type="dxa" w:w="140"/>
            </w:tcMar>
          </w:tcPr>
          <w:p>
            <w:pPr>
              <w:spacing w:after="60"/>
            </w:pPr>
            <w:r>
              <w:rPr>
                <w:rFonts w:ascii="Calibri" w:cs="Calibri" w:eastAsia="Calibri" w:hAnsi="Calibri"/>
                <w:b/>
                <w:bCs/>
                <w:color w:val="1F4E79"/>
                <w:sz w:val="20"/>
                <w:szCs w:val="20"/>
              </w:rPr>
              <w:t xml:space="preserve">The single most important technical expectation in this plan</w:t>
            </w:r>
          </w:p>
          <w:p>
            <w:pPr>
              <w:spacing w:after="50" w:line="264"/>
            </w:pPr>
            <w:r>
              <w:rPr>
                <w:rFonts w:ascii="Calibri" w:cs="Calibri" w:eastAsia="Calibri" w:hAnsi="Calibri"/>
                <w:sz w:val="20"/>
                <w:szCs w:val="20"/>
              </w:rPr>
              <w:t xml:space="preserve">Africa Next Voices and WAXAL are prompted and read speech recorded in controlled conditions. Broadcast audio is spontaneous, overlapped, compressed, music-bedded and telephone-degraded. This domain gap will dominate the error rate — very likely more than the amount of training data does.</w:t>
            </w:r>
          </w:p>
          <w:p>
            <w:pPr>
              <w:spacing w:after="50" w:line="264"/>
            </w:pPr>
            <w:r>
              <w:rPr>
                <w:rFonts w:ascii="Calibri" w:cs="Calibri" w:eastAsia="Calibri" w:hAnsi="Calibri"/>
                <w:sz w:val="20"/>
                <w:szCs w:val="20"/>
              </w:rPr>
              <w:t xml:space="preserve">Concretely: ten hours of correctly transcribed Inooro and Ramogi broadcast audio will probably improve broadcast WER more than another hundred hours of studio-read data. This is why Step 1 captures before Step 2 trains, and why the transcript correction UI is a core deliverable rather than a convenience.</w:t>
            </w:r>
          </w:p>
        </w:tc>
      </w:tr>
    </w:tbl>
    <w:p>
      <w:pPr>
        <w:pStyle w:val="Heading2"/>
        <w:spacing w:after="120" w:before="260"/>
      </w:pPr>
      <w:r>
        <w:t xml:space="preserve">4.5 Pack C — Dholuo (Luo)</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2300"/>
        <w:gridCol w:w="6720"/>
      </w:tblGrid>
      <w:tr>
        <w:trPr>
          <w:tblHeader/>
        </w:trPr>
        <w:tc>
          <w:tcPr>
            <w:tcW w:type="dxa" w:w="23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Decision</w:t>
            </w:r>
          </w:p>
        </w:tc>
        <w:tc>
          <w:tcPr>
            <w:tcW w:type="dxa" w:w="67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Detail</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Backbone</w:t>
            </w:r>
          </w:p>
        </w:tc>
        <w:tc>
          <w:tcPr>
            <w:tcW w:type="dxa" w:w="6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openai/whisper-large-v3-turbo (MIT)</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Training method</w:t>
            </w:r>
          </w:p>
        </w:tc>
        <w:tc>
          <w:tcPr>
            <w:tcW w:type="dxa" w:w="67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LoRA fine-tune on Dholuo-only data</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Primary corpus</w:t>
            </w:r>
          </w:p>
        </w:tc>
        <w:tc>
          <w:tcPr>
            <w:tcW w:type="dxa" w:w="6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Africa Next Voices Kenya — Dholuo split, 723 hours, CC-BY-4.0</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Secondary corpora</w:t>
            </w:r>
          </w:p>
        </w:tc>
        <w:tc>
          <w:tcPr>
            <w:tcW w:type="dxa" w:w="67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WAXAL luo_tts; community Dholuo sets</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Baseline to beat</w:t>
            </w:r>
          </w:p>
        </w:tc>
        <w:tc>
          <w:tcPr>
            <w:tcW w:type="dxa" w:w="6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microsoft/paza-whisper-large-v3-turbo with &lt;|luo|&gt;</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Language-specific risk</w:t>
            </w:r>
          </w:p>
        </w:tc>
        <w:tc>
          <w:tcPr>
            <w:tcW w:type="dxa" w:w="67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Dholuo is tonal and tone is not written in the standard orthography. Minimal pairs distinguished only by tone will be transcribed identically. This is a known ceiling on achievable WER and must be documented in the evaluation rather than treated as a model defect.</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Secondary risk</w:t>
            </w:r>
          </w:p>
        </w:tc>
        <w:tc>
          <w:tcPr>
            <w:tcW w:type="dxa" w:w="6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Dholuo vowel harmony and the ATR distinction produce orthographic variation across sources. The pack needs an explicit normalisation rule set before the first evaluation, or WER will measure spelling conventions rather than recognition.</w:t>
            </w:r>
          </w:p>
        </w:tc>
      </w:tr>
    </w:tbl>
    <w:p>
      <w:pPr>
        <w:pStyle w:val="Heading2"/>
        <w:spacing w:after="120" w:before="260"/>
      </w:pPr>
      <w:r>
        <w:t xml:space="preserve">4.6 Model inventory at the end of the POC</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1500"/>
        <w:gridCol w:w="2100"/>
        <w:gridCol w:w="1900"/>
        <w:gridCol w:w="1760"/>
        <w:gridCol w:w="1760"/>
      </w:tblGrid>
      <w:tr>
        <w:trPr>
          <w:tblHeader/>
        </w:trPr>
        <w:tc>
          <w:tcPr>
            <w:tcW w:type="dxa" w:w="15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Pack</w:t>
            </w:r>
          </w:p>
        </w:tc>
        <w:tc>
          <w:tcPr>
            <w:tcW w:type="dxa" w:w="21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Deployed artefact</w:t>
            </w:r>
          </w:p>
        </w:tc>
        <w:tc>
          <w:tcPr>
            <w:tcW w:type="dxa" w:w="19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Backbone</w:t>
            </w:r>
          </w:p>
        </w:tc>
        <w:tc>
          <w:tcPr>
            <w:tcW w:type="dxa" w:w="176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Trained on</w:t>
            </w:r>
          </w:p>
        </w:tc>
        <w:tc>
          <w:tcPr>
            <w:tcW w:type="dxa" w:w="176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Baseline</w:t>
            </w:r>
          </w:p>
        </w:tc>
      </w:tr>
      <w:tr>
        <w:trPr>
          <w:tblHeader w:val="false"/>
        </w:trPr>
        <w:tc>
          <w:tcPr>
            <w:tcW w:type="dxa" w:w="15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eng</w:t>
            </w:r>
          </w:p>
        </w:tc>
        <w:tc>
          <w:tcPr>
            <w:tcW w:type="dxa" w:w="21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whisper-turbo, stock or lightly adapted</w:t>
            </w:r>
          </w:p>
        </w:tc>
        <w:tc>
          <w:tcPr>
            <w:tcW w:type="dxa" w:w="19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whisper-large-v3-turbo</w:t>
            </w:r>
          </w:p>
        </w:tc>
        <w:tc>
          <w:tcPr>
            <w:tcW w:type="dxa" w:w="176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n/a</w:t>
            </w:r>
          </w:p>
        </w:tc>
        <w:tc>
          <w:tcPr>
            <w:tcW w:type="dxa" w:w="176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itself</w:t>
            </w:r>
          </w:p>
        </w:tc>
      </w:tr>
      <w:tr>
        <w:trPr>
          <w:tblHeader w:val="false"/>
        </w:trPr>
        <w:tc>
          <w:tcPr>
            <w:tcW w:type="dxa" w:w="15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swh (+Sheng layer)</w:t>
            </w:r>
          </w:p>
        </w:tc>
        <w:tc>
          <w:tcPr>
            <w:tcW w:type="dxa" w:w="21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swh adapter</w:t>
            </w:r>
          </w:p>
        </w:tc>
        <w:tc>
          <w:tcPr>
            <w:tcW w:type="dxa" w:w="19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whisper-large-v3-turbo</w:t>
            </w:r>
          </w:p>
        </w:tc>
        <w:tc>
          <w:tcPr>
            <w:tcW w:type="dxa" w:w="176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CV Swahili, ALFFA, broadcast</w:t>
            </w:r>
          </w:p>
        </w:tc>
        <w:tc>
          <w:tcPr>
            <w:tcW w:type="dxa" w:w="176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Paza &lt;|sw|&gt;</w:t>
            </w:r>
          </w:p>
        </w:tc>
      </w:tr>
      <w:tr>
        <w:trPr>
          <w:tblHeader w:val="false"/>
        </w:trPr>
        <w:tc>
          <w:tcPr>
            <w:tcW w:type="dxa" w:w="15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kik</w:t>
            </w:r>
          </w:p>
        </w:tc>
        <w:tc>
          <w:tcPr>
            <w:tcW w:type="dxa" w:w="21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kik adapter</w:t>
            </w:r>
          </w:p>
        </w:tc>
        <w:tc>
          <w:tcPr>
            <w:tcW w:type="dxa" w:w="19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whisper-large-v3-turbo</w:t>
            </w:r>
          </w:p>
        </w:tc>
        <w:tc>
          <w:tcPr>
            <w:tcW w:type="dxa" w:w="176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ANV Kikuyu, WAXAL, broadcast</w:t>
            </w:r>
          </w:p>
        </w:tc>
        <w:tc>
          <w:tcPr>
            <w:tcW w:type="dxa" w:w="176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Paza &lt;|kik|&gt;</w:t>
            </w:r>
          </w:p>
        </w:tc>
      </w:tr>
      <w:tr>
        <w:trPr>
          <w:tblHeader w:val="false"/>
        </w:trPr>
        <w:tc>
          <w:tcPr>
            <w:tcW w:type="dxa" w:w="15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luo</w:t>
            </w:r>
          </w:p>
        </w:tc>
        <w:tc>
          <w:tcPr>
            <w:tcW w:type="dxa" w:w="21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luo adapter</w:t>
            </w:r>
          </w:p>
        </w:tc>
        <w:tc>
          <w:tcPr>
            <w:tcW w:type="dxa" w:w="19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whisper-large-v3-turbo</w:t>
            </w:r>
          </w:p>
        </w:tc>
        <w:tc>
          <w:tcPr>
            <w:tcW w:type="dxa" w:w="176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ANV Dholuo, WAXAL, broadcast</w:t>
            </w:r>
          </w:p>
        </w:tc>
        <w:tc>
          <w:tcPr>
            <w:tcW w:type="dxa" w:w="176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Paza &lt;|luo|&gt;</w:t>
            </w:r>
          </w:p>
        </w:tc>
      </w:tr>
    </w:tbl>
    <w:p>
      <w:pPr>
        <w:pStyle w:val="Heading2"/>
        <w:spacing w:after="120" w:before="260"/>
      </w:pPr>
      <w:r>
        <w:t xml:space="preserve">4.7 Translation and enrichment models</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2300"/>
        <w:gridCol w:w="6720"/>
      </w:tblGrid>
      <w:tr>
        <w:trPr>
          <w:tblHeader/>
        </w:trPr>
        <w:tc>
          <w:tcPr>
            <w:tcW w:type="dxa" w:w="23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Component</w:t>
            </w:r>
          </w:p>
        </w:tc>
        <w:tc>
          <w:tcPr>
            <w:tcW w:type="dxa" w:w="67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Choice and rationale</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Machine translation</w:t>
            </w:r>
          </w:p>
        </w:tc>
        <w:tc>
          <w:tcPr>
            <w:tcW w:type="dxa" w:w="6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NLLB-200 (distilled 600M for CPU, 1.3B if a GPU is available). It covers kik_Latn, luo_Latn and swh_Latn to eng_Latn, which makes it the only single model that spans every POC language. Expect vernacular-to-English quality, not ASR, to be the weakest link in the chain.</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Translation fallback</w:t>
            </w:r>
          </w:p>
        </w:tc>
        <w:tc>
          <w:tcPr>
            <w:tcW w:type="dxa" w:w="67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An LLM post-edit pass over the NLLB output, given the vernacular source, the draft translation and the pack glossary. Materially improves proper nouns, political terminology and Sheng spans.</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Preservation rule</w:t>
            </w:r>
          </w:p>
        </w:tc>
        <w:tc>
          <w:tcPr>
            <w:tcW w:type="dxa" w:w="6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Both the vernacular transcript and the English translation are stored permanently and displayed side by side. No report cites a translation without a link back to the vernacular source and the original audio timestamp.</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Named entity recognition</w:t>
            </w:r>
          </w:p>
        </w:tc>
        <w:tc>
          <w:tcPr>
            <w:tcW w:type="dxa" w:w="67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Run on the English translation for the POC (mature models, immediate value), with vernacular-side gazetteer matching for person, place and organisation names that translation mangles.</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Forced alignment</w:t>
            </w:r>
          </w:p>
        </w:tc>
        <w:tc>
          <w:tcPr>
            <w:tcW w:type="dxa" w:w="6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Word-level timestamps so that any word in a report can be clicked back to the exact audio moment. Essential for analyst trust and for building correction data.</w:t>
            </w:r>
          </w:p>
        </w:tc>
      </w:tr>
    </w:tbl>
    <w:p>
      <w:r>
        <w:br w:type="page"/>
      </w:r>
    </w:p>
    <w:p>
      <w:pPr>
        <w:pStyle w:val="Heading1"/>
        <w:spacing w:after="160" w:before="320"/>
      </w:pPr>
      <w:r>
        <w:t xml:space="preserve">5. Open-Source Datasets</w:t>
      </w:r>
    </w:p>
    <w:p>
      <w:pPr>
        <w:pStyle w:val="Heading2"/>
        <w:spacing w:after="120" w:before="260"/>
      </w:pPr>
      <w:r>
        <w:t xml:space="preserve">5.1 Primary corpora</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1700"/>
        <w:gridCol w:w="1500"/>
        <w:gridCol w:w="1200"/>
        <w:gridCol w:w="1100"/>
        <w:gridCol w:w="1300"/>
        <w:gridCol w:w="2220"/>
      </w:tblGrid>
      <w:tr>
        <w:trPr>
          <w:tblHeader/>
        </w:trPr>
        <w:tc>
          <w:tcPr>
            <w:tcW w:type="dxa" w:w="17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Dataset</w:t>
            </w:r>
          </w:p>
        </w:tc>
        <w:tc>
          <w:tcPr>
            <w:tcW w:type="dxa" w:w="15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Repository</w:t>
            </w:r>
          </w:p>
        </w:tc>
        <w:tc>
          <w:tcPr>
            <w:tcW w:type="dxa" w:w="12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Kikuyu</w:t>
            </w:r>
          </w:p>
        </w:tc>
        <w:tc>
          <w:tcPr>
            <w:tcW w:type="dxa" w:w="11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Dholuo</w:t>
            </w:r>
          </w:p>
        </w:tc>
        <w:tc>
          <w:tcPr>
            <w:tcW w:type="dxa" w:w="13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Licence</w:t>
            </w:r>
          </w:p>
        </w:tc>
        <w:tc>
          <w:tcPr>
            <w:tcW w:type="dxa" w:w="22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Notes</w:t>
            </w:r>
          </w:p>
        </w:tc>
      </w:tr>
      <w:tr>
        <w:trPr>
          <w:tblHeader w:val="false"/>
        </w:trPr>
        <w:tc>
          <w:tcPr>
            <w:tcW w:type="dxa" w:w="1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Africa Next Voices — Kenya</w:t>
            </w:r>
          </w:p>
        </w:tc>
        <w:tc>
          <w:tcPr>
            <w:tcW w:type="dxa" w:w="15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MCAA1-MSU/anv_data_ke</w:t>
            </w:r>
          </w:p>
        </w:tc>
        <w:tc>
          <w:tcPr>
            <w:tcW w:type="dxa" w:w="12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754 h</w:t>
            </w:r>
          </w:p>
        </w:tc>
        <w:tc>
          <w:tcPr>
            <w:tcW w:type="dxa" w:w="11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723 h</w:t>
            </w:r>
          </w:p>
        </w:tc>
        <w:tc>
          <w:tcPr>
            <w:tcW w:type="dxa" w:w="1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CC-BY-4.0</w:t>
            </w:r>
          </w:p>
        </w:tc>
        <w:tc>
          <w:tcPr>
            <w:tcW w:type="dxa" w:w="22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The primary training corpus. Gated: requires a Hugging Face account and agreement to share name and institution. Also contains Somali 502 h, Kalenjin 521 h, Maasai 505 h — directly reusable in Phase 2. Scripted and unscripted; speaker-disjoint 85/5/5/5 splits. Marked work-in-progress, so pin a version.</w:t>
            </w:r>
          </w:p>
        </w:tc>
      </w:tr>
      <w:tr>
        <w:trPr>
          <w:tblHeader w:val="false"/>
        </w:trPr>
        <w:tc>
          <w:tcPr>
            <w:tcW w:type="dxa" w:w="17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WAXAL</w:t>
            </w:r>
          </w:p>
        </w:tc>
        <w:tc>
          <w:tcPr>
            <w:tcW w:type="dxa" w:w="15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google/WaxalNLP</w:t>
            </w:r>
          </w:p>
        </w:tc>
        <w:tc>
          <w:tcPr>
            <w:tcW w:type="dxa" w:w="12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kik_tts</w:t>
            </w:r>
          </w:p>
        </w:tc>
        <w:tc>
          <w:tcPr>
            <w:tcW w:type="dxa" w:w="11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luo_tts</w:t>
            </w:r>
          </w:p>
        </w:tc>
        <w:tc>
          <w:tcPr>
            <w:tcW w:type="dxa" w:w="1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CC-BY-4.0 / CC-BY-SA-4.0</w:t>
            </w:r>
          </w:p>
        </w:tc>
        <w:tc>
          <w:tcPr>
            <w:tcW w:type="dxa" w:w="22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Kikuyu and Luo appear as single-speaker TTS configs, not in the multi-speaker ASR pool. Use for pronunciation, lexicon and clean-condition evaluation. The ASR pool (Acholi, Luganda, Swahili and others) is useful for Phase 2/3. Licence varies by contributing provider — check per language.</w:t>
            </w:r>
          </w:p>
        </w:tc>
      </w:tr>
      <w:tr>
        <w:trPr>
          <w:tblHeader w:val="false"/>
        </w:trPr>
        <w:tc>
          <w:tcPr>
            <w:tcW w:type="dxa" w:w="1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Mozilla Common Voice</w:t>
            </w:r>
          </w:p>
        </w:tc>
        <w:tc>
          <w:tcPr>
            <w:tcW w:type="dxa" w:w="15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mozilla-foundation/common_voice_*</w:t>
            </w:r>
          </w:p>
        </w:tc>
        <w:tc>
          <w:tcPr>
            <w:tcW w:type="dxa" w:w="12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t>
            </w:r>
          </w:p>
        </w:tc>
        <w:tc>
          <w:tcPr>
            <w:tcW w:type="dxa" w:w="11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t>
            </w:r>
          </w:p>
        </w:tc>
        <w:tc>
          <w:tcPr>
            <w:tcW w:type="dxa" w:w="1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CC-0</w:t>
            </w:r>
          </w:p>
        </w:tc>
        <w:tc>
          <w:tcPr>
            <w:tcW w:type="dxa" w:w="22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Large Swahili split; the backbone of the Kiswahili pack. Also the methodology template if crowd collection is ever adopted.</w:t>
            </w:r>
          </w:p>
        </w:tc>
      </w:tr>
      <w:tr>
        <w:trPr>
          <w:tblHeader w:val="false"/>
        </w:trPr>
        <w:tc>
          <w:tcPr>
            <w:tcW w:type="dxa" w:w="17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DigiGreen Kikuyu ASR</w:t>
            </w:r>
          </w:p>
        </w:tc>
        <w:tc>
          <w:tcPr>
            <w:tcW w:type="dxa" w:w="15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Digital Green</w:t>
            </w:r>
          </w:p>
        </w:tc>
        <w:tc>
          <w:tcPr>
            <w:tcW w:type="dxa" w:w="12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Yes</w:t>
            </w:r>
          </w:p>
        </w:tc>
        <w:tc>
          <w:tcPr>
            <w:tcW w:type="dxa" w:w="11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t>
            </w:r>
          </w:p>
        </w:tc>
        <w:tc>
          <w:tcPr>
            <w:tcW w:type="dxa" w:w="1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Verify</w:t>
            </w:r>
          </w:p>
        </w:tc>
        <w:tc>
          <w:tcPr>
            <w:tcW w:type="dxa" w:w="22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Agricultural-domain Kikuyu. Already used in Paza training. Confirm licence before use.</w:t>
            </w:r>
          </w:p>
        </w:tc>
      </w:tr>
      <w:tr>
        <w:trPr>
          <w:tblHeader w:val="false"/>
        </w:trPr>
        <w:tc>
          <w:tcPr>
            <w:tcW w:type="dxa" w:w="1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ALFFA / Gamayun Swahili</w:t>
            </w:r>
          </w:p>
        </w:tc>
        <w:tc>
          <w:tcPr>
            <w:tcW w:type="dxa" w:w="15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Various</w:t>
            </w:r>
          </w:p>
        </w:tc>
        <w:tc>
          <w:tcPr>
            <w:tcW w:type="dxa" w:w="12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t>
            </w:r>
          </w:p>
        </w:tc>
        <w:tc>
          <w:tcPr>
            <w:tcW w:type="dxa" w:w="11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t>
            </w:r>
          </w:p>
        </w:tc>
        <w:tc>
          <w:tcPr>
            <w:tcW w:type="dxa" w:w="1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Verify</w:t>
            </w:r>
          </w:p>
        </w:tc>
        <w:tc>
          <w:tcPr>
            <w:tcW w:type="dxa" w:w="22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Additional Swahili read and broadcast-adjacent speech.</w:t>
            </w:r>
          </w:p>
        </w:tc>
      </w:tr>
      <w:tr>
        <w:trPr>
          <w:tblHeader w:val="false"/>
        </w:trPr>
        <w:tc>
          <w:tcPr>
            <w:tcW w:type="dxa" w:w="17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Community Kikuyu sets</w:t>
            </w:r>
          </w:p>
        </w:tc>
        <w:tc>
          <w:tcPr>
            <w:tcW w:type="dxa" w:w="15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NjeriKahoro/kikuyu-audio-dataset, KevinKibe/kikuyu-audio</w:t>
            </w:r>
          </w:p>
        </w:tc>
        <w:tc>
          <w:tcPr>
            <w:tcW w:type="dxa" w:w="12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Yes</w:t>
            </w:r>
          </w:p>
        </w:tc>
        <w:tc>
          <w:tcPr>
            <w:tcW w:type="dxa" w:w="11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t>
            </w:r>
          </w:p>
        </w:tc>
        <w:tc>
          <w:tcPr>
            <w:tcW w:type="dxa" w:w="1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Verify</w:t>
            </w:r>
          </w:p>
        </w:tc>
        <w:tc>
          <w:tcPr>
            <w:tcW w:type="dxa" w:w="22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Small. Useful for augmentation and as extra held-out data. Provenance must be checked individually.</w:t>
            </w:r>
          </w:p>
        </w:tc>
      </w:tr>
    </w:tbl>
    <w:p>
      <w:pPr>
        <w:pStyle w:val="Heading2"/>
        <w:spacing w:after="120" w:before="260"/>
      </w:pPr>
      <w:r>
        <w:t xml:space="preserve">5.2 Licence obligations — resolve before Step 2, not after</w:t>
      </w:r>
    </w:p>
    <w:tbl>
      <w:tblPr>
        <w:tblW w:type="dxa" w:w="9020"/>
        <w:tblBorders>
          <w:top w:val="single" w:color="2E74B5" w:sz="4"/>
          <w:left w:val="single" w:color="2E74B5" w:sz="18"/>
          <w:bottom w:val="single" w:color="2E74B5" w:sz="4"/>
          <w:right w:val="single" w:color="2E74B5" w:sz="4"/>
          <w:insideH w:val="none"/>
          <w:insideV w:val="none"/>
        </w:tblBorders>
      </w:tblPr>
      <w:tblGrid>
        <w:gridCol w:w="9020"/>
      </w:tblGrid>
      <w:tr>
        <w:tc>
          <w:tcPr>
            <w:tcW w:type="dxa" w:w="9020"/>
            <w:shd w:fill="EEF4FB" w:color="auto" w:val="clear"/>
            <w:tcMar>
              <w:top w:type="dxa" w:w="130"/>
              <w:left w:type="dxa" w:w="170"/>
              <w:bottom w:type="dxa" w:w="130"/>
              <w:right w:type="dxa" w:w="140"/>
            </w:tcMar>
          </w:tcPr>
          <w:p>
            <w:pPr>
              <w:spacing w:after="60"/>
            </w:pPr>
            <w:r>
              <w:rPr>
                <w:rFonts w:ascii="Calibri" w:cs="Calibri" w:eastAsia="Calibri" w:hAnsi="Calibri"/>
                <w:b/>
                <w:bCs/>
                <w:color w:val="1F4E79"/>
                <w:sz w:val="20"/>
                <w:szCs w:val="20"/>
              </w:rPr>
              <w:t xml:space="preserve">CC-BY-SA has consequences for your model weights</w:t>
            </w:r>
          </w:p>
          <w:p>
            <w:pPr>
              <w:spacing w:after="50" w:line="264"/>
            </w:pPr>
            <w:r>
              <w:rPr>
                <w:rFonts w:ascii="Calibri" w:cs="Calibri" w:eastAsia="Calibri" w:hAnsi="Calibri"/>
                <w:sz w:val="20"/>
                <w:szCs w:val="20"/>
              </w:rPr>
              <w:t xml:space="preserve">CC-BY-4.0 (Africa Next Voices, parts of WAXAL) requires attribution. That is easily satisfied by a provenance record in each Language Pack and an acknowledgement in exported reports.</w:t>
            </w:r>
          </w:p>
          <w:p>
            <w:pPr>
              <w:spacing w:after="50" w:line="264"/>
            </w:pPr>
            <w:r>
              <w:rPr>
                <w:rFonts w:ascii="Calibri" w:cs="Calibri" w:eastAsia="Calibri" w:hAnsi="Calibri"/>
                <w:sz w:val="20"/>
                <w:szCs w:val="20"/>
              </w:rPr>
              <w:t xml:space="preserve">CC-BY-SA-4.0 (parts of WAXAL) is a share-alike licence. Whether a model fine-tuned on share-alike audio constitutes a derivative work that must itself be shared is legally unsettled and jurisdiction-dependent. For an intelligence system, that is not an ambiguity to discover after deployment.</w:t>
            </w:r>
          </w:p>
          <w:p>
            <w:pPr>
              <w:spacing w:after="50" w:line="264"/>
            </w:pPr>
            <w:r>
              <w:rPr>
                <w:rFonts w:ascii="Calibri" w:cs="Calibri" w:eastAsia="Calibri" w:hAnsi="Calibri"/>
                <w:sz w:val="20"/>
                <w:szCs w:val="20"/>
              </w:rPr>
              <w:t xml:space="preserve">Action: have counsel review the WAXAL per-provider licence matrix before any CC-BY-SA portion enters a training set. If the answer is unclear, the safe path is to train the deployed packs on CC-BY-4.0 and CC-0 material only, and confine share-alike data to evaluation, where no derivative weights are produced. Africa Next Voices at 754 h and 723 h is CC-BY-4.0 and is more than sufficient on its own.</w:t>
            </w:r>
          </w:p>
        </w:tc>
      </w:tr>
    </w:tbl>
    <w:p>
      <w:pPr>
        <w:pStyle w:val="Heading2"/>
        <w:spacing w:after="120" w:before="260"/>
      </w:pPr>
      <w:r>
        <w:t xml:space="preserve">5.3 Data preparation pipeline</w:t>
      </w:r>
    </w:p>
    <w:p>
      <w:pPr>
        <w:pStyle w:val="ListParagraph"/>
        <w:numPr>
          <w:ilvl w:val="0"/>
          <w:numId w:val="3"/>
        </w:numPr>
        <w:spacing w:after="70" w:line="276"/>
      </w:pPr>
      <w:r>
        <w:rPr>
          <w:rFonts w:ascii="Calibri" w:cs="Calibri" w:eastAsia="Calibri" w:hAnsi="Calibri"/>
          <w:sz w:val="21"/>
          <w:szCs w:val="21"/>
        </w:rPr>
        <w:t xml:space="preserve">Download and pin an immutable snapshot of each dataset, recording the repository revision hash.</w:t>
      </w:r>
    </w:p>
    <w:p>
      <w:pPr>
        <w:pStyle w:val="ListParagraph"/>
        <w:numPr>
          <w:ilvl w:val="0"/>
          <w:numId w:val="3"/>
        </w:numPr>
        <w:spacing w:after="70" w:line="276"/>
      </w:pPr>
      <w:r>
        <w:rPr>
          <w:rFonts w:ascii="Calibri" w:cs="Calibri" w:eastAsia="Calibri" w:hAnsi="Calibri"/>
          <w:sz w:val="21"/>
          <w:szCs w:val="21"/>
        </w:rPr>
        <w:t xml:space="preserve">Resample all audio to 16 kHz mono 16-bit; reject clipped, silent or sub-1-second clips.</w:t>
      </w:r>
    </w:p>
    <w:p>
      <w:pPr>
        <w:pStyle w:val="ListParagraph"/>
        <w:numPr>
          <w:ilvl w:val="0"/>
          <w:numId w:val="3"/>
        </w:numPr>
        <w:spacing w:after="70" w:line="276"/>
      </w:pPr>
      <w:r>
        <w:rPr>
          <w:rFonts w:ascii="Calibri" w:cs="Calibri" w:eastAsia="Calibri" w:hAnsi="Calibri"/>
          <w:sz w:val="21"/>
          <w:szCs w:val="21"/>
        </w:rPr>
        <w:t xml:space="preserve">Apply the pack orthography normaliser (Kikuyu diacritics, Dholuo ATR conventions) to transcripts. Store both raw and normalised text.</w:t>
      </w:r>
    </w:p>
    <w:p>
      <w:pPr>
        <w:pStyle w:val="ListParagraph"/>
        <w:numPr>
          <w:ilvl w:val="0"/>
          <w:numId w:val="3"/>
        </w:numPr>
        <w:spacing w:after="70" w:line="276"/>
      </w:pPr>
      <w:r>
        <w:rPr>
          <w:rFonts w:ascii="Calibri" w:cs="Calibri" w:eastAsia="Calibri" w:hAnsi="Calibri"/>
          <w:sz w:val="21"/>
          <w:szCs w:val="21"/>
        </w:rPr>
        <w:t xml:space="preserve">Discard audio whose tokenised transcript exceeds Whisper's 448-token decoder limit — the same rule Paza applied — or segment it.</w:t>
      </w:r>
    </w:p>
    <w:p>
      <w:pPr>
        <w:pStyle w:val="ListParagraph"/>
        <w:numPr>
          <w:ilvl w:val="0"/>
          <w:numId w:val="3"/>
        </w:numPr>
        <w:spacing w:after="70" w:line="276"/>
      </w:pPr>
      <w:r>
        <w:rPr>
          <w:rFonts w:ascii="Calibri" w:cs="Calibri" w:eastAsia="Calibri" w:hAnsi="Calibri"/>
          <w:sz w:val="21"/>
          <w:szCs w:val="21"/>
        </w:rPr>
        <w:t xml:space="preserve">Preserve the publisher's speaker-disjoint splits. Never re-split randomly: a speaker appearing in both train and test inflates the score and invalidates the entire evaluation.</w:t>
      </w:r>
    </w:p>
    <w:p>
      <w:pPr>
        <w:pStyle w:val="ListParagraph"/>
        <w:numPr>
          <w:ilvl w:val="0"/>
          <w:numId w:val="3"/>
        </w:numPr>
        <w:spacing w:after="70" w:line="276"/>
      </w:pPr>
      <w:r>
        <w:rPr>
          <w:rFonts w:ascii="Calibri" w:cs="Calibri" w:eastAsia="Calibri" w:hAnsi="Calibri"/>
          <w:sz w:val="21"/>
          <w:szCs w:val="21"/>
        </w:rPr>
        <w:t xml:space="preserve">Hold out the broadcast reference set entirely. It is never trained on, under any circumstances, in any step.</w:t>
      </w:r>
    </w:p>
    <w:p>
      <w:pPr>
        <w:pStyle w:val="ListParagraph"/>
        <w:numPr>
          <w:ilvl w:val="0"/>
          <w:numId w:val="3"/>
        </w:numPr>
        <w:spacing w:after="70" w:line="276"/>
      </w:pPr>
      <w:r>
        <w:rPr>
          <w:rFonts w:ascii="Calibri" w:cs="Calibri" w:eastAsia="Calibri" w:hAnsi="Calibri"/>
          <w:sz w:val="21"/>
          <w:szCs w:val="21"/>
        </w:rPr>
        <w:t xml:space="preserve">Emit a dataset card per pack recording hours, speakers, gender balance, dialect regions, licence and revision hash.</w:t>
      </w:r>
    </w:p>
    <w:p>
      <w:r>
        <w:br w:type="page"/>
      </w:r>
    </w:p>
    <w:p>
      <w:pPr>
        <w:pStyle w:val="Heading1"/>
        <w:spacing w:after="160" w:before="320"/>
      </w:pPr>
      <w:r>
        <w:t xml:space="preserve">6. Broadcast Data Sources</w:t>
      </w:r>
    </w:p>
    <w:p>
      <w:pPr>
        <w:pStyle w:val="Heading2"/>
        <w:spacing w:after="120" w:before="260"/>
      </w:pPr>
      <w:r>
        <w:t xml:space="preserve">6.1 Channel registry — POC</w:t>
      </w:r>
    </w:p>
    <w:p>
      <w:pPr>
        <w:spacing w:after="120" w:line="276"/>
      </w:pPr>
      <w:r>
        <w:rPr>
          <w:rFonts w:ascii="Calibri" w:cs="Calibri" w:eastAsia="Calibri" w:hAnsi="Calibri"/>
          <w:sz w:val="21"/>
          <w:szCs w:val="21"/>
        </w:rPr>
        <w:t xml:space="preserve">This is the authoritative source list for Phase 1. It is recorded here for reuse and should be loaded into the system channel registry verbatim.</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1350"/>
        <w:gridCol w:w="850"/>
        <w:gridCol w:w="800"/>
        <w:gridCol w:w="4300"/>
        <w:gridCol w:w="1720"/>
      </w:tblGrid>
      <w:tr>
        <w:trPr>
          <w:tblHeader/>
        </w:trPr>
        <w:tc>
          <w:tcPr>
            <w:tcW w:type="dxa" w:w="135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Channel</w:t>
            </w:r>
          </w:p>
        </w:tc>
        <w:tc>
          <w:tcPr>
            <w:tcW w:type="dxa" w:w="85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Lang</w:t>
            </w:r>
          </w:p>
        </w:tc>
        <w:tc>
          <w:tcPr>
            <w:tcW w:type="dxa" w:w="8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Type</w:t>
            </w:r>
          </w:p>
        </w:tc>
        <w:tc>
          <w:tcPr>
            <w:tcW w:type="dxa" w:w="43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URL</w:t>
            </w:r>
          </w:p>
        </w:tc>
        <w:tc>
          <w:tcPr>
            <w:tcW w:type="dxa" w:w="17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Capture method</w:t>
            </w:r>
          </w:p>
        </w:tc>
      </w:tr>
      <w:tr>
        <w:trPr>
          <w:tblHeader w:val="false"/>
        </w:trPr>
        <w:tc>
          <w:tcPr>
            <w:tcW w:type="dxa" w:w="135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Inooro TV</w:t>
            </w:r>
          </w:p>
        </w:tc>
        <w:tc>
          <w:tcPr>
            <w:tcW w:type="dxa" w:w="85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kik</w:t>
            </w:r>
          </w:p>
        </w:tc>
        <w:tc>
          <w:tcPr>
            <w:tcW w:type="dxa" w:w="8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TV</w:t>
            </w:r>
          </w:p>
        </w:tc>
        <w:tc>
          <w:tcPr>
            <w:tcW w:type="dxa" w:w="4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https://www.youtube.com/watch?v=FKxVC3NHSp4</w:t>
            </w:r>
          </w:p>
        </w:tc>
        <w:tc>
          <w:tcPr>
            <w:tcW w:type="dxa" w:w="1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yt-dlp, audio-only</w:t>
            </w:r>
          </w:p>
        </w:tc>
      </w:tr>
      <w:tr>
        <w:trPr>
          <w:tblHeader w:val="false"/>
        </w:trPr>
        <w:tc>
          <w:tcPr>
            <w:tcW w:type="dxa" w:w="135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Kameme TV</w:t>
            </w:r>
          </w:p>
        </w:tc>
        <w:tc>
          <w:tcPr>
            <w:tcW w:type="dxa" w:w="85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kik</w:t>
            </w:r>
          </w:p>
        </w:tc>
        <w:tc>
          <w:tcPr>
            <w:tcW w:type="dxa" w:w="8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TV</w:t>
            </w:r>
          </w:p>
        </w:tc>
        <w:tc>
          <w:tcPr>
            <w:tcW w:type="dxa" w:w="4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https://www.youtube.com/watch?v=3sreKsrmJVY</w:t>
            </w:r>
          </w:p>
        </w:tc>
        <w:tc>
          <w:tcPr>
            <w:tcW w:type="dxa" w:w="17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yt-dlp, audio-only</w:t>
            </w:r>
          </w:p>
        </w:tc>
      </w:tr>
      <w:tr>
        <w:trPr>
          <w:tblHeader w:val="false"/>
        </w:trPr>
        <w:tc>
          <w:tcPr>
            <w:tcW w:type="dxa" w:w="135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Ramogi TV</w:t>
            </w:r>
          </w:p>
        </w:tc>
        <w:tc>
          <w:tcPr>
            <w:tcW w:type="dxa" w:w="85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luo</w:t>
            </w:r>
          </w:p>
        </w:tc>
        <w:tc>
          <w:tcPr>
            <w:tcW w:type="dxa" w:w="8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TV</w:t>
            </w:r>
          </w:p>
        </w:tc>
        <w:tc>
          <w:tcPr>
            <w:tcW w:type="dxa" w:w="4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https://www.youtube.com/watch?v=qfmHPApvQL8</w:t>
            </w:r>
          </w:p>
        </w:tc>
        <w:tc>
          <w:tcPr>
            <w:tcW w:type="dxa" w:w="1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yt-dlp, audio-only</w:t>
            </w:r>
          </w:p>
        </w:tc>
      </w:tr>
      <w:tr>
        <w:trPr>
          <w:tblHeader w:val="false"/>
        </w:trPr>
        <w:tc>
          <w:tcPr>
            <w:tcW w:type="dxa" w:w="135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Inooro FM</w:t>
            </w:r>
          </w:p>
        </w:tc>
        <w:tc>
          <w:tcPr>
            <w:tcW w:type="dxa" w:w="85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kik</w:t>
            </w:r>
          </w:p>
        </w:tc>
        <w:tc>
          <w:tcPr>
            <w:tcW w:type="dxa" w:w="8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FM</w:t>
            </w:r>
          </w:p>
        </w:tc>
        <w:tc>
          <w:tcPr>
            <w:tcW w:type="dxa" w:w="4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https://radio.or.ke/inooro/  (alt: https://radio.ke/357-inooro-fm.html)</w:t>
            </w:r>
          </w:p>
        </w:tc>
        <w:tc>
          <w:tcPr>
            <w:tcW w:type="dxa" w:w="17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Resolve underlying stream, then ffmpeg</w:t>
            </w:r>
          </w:p>
        </w:tc>
      </w:tr>
      <w:tr>
        <w:trPr>
          <w:tblHeader w:val="false"/>
        </w:trPr>
        <w:tc>
          <w:tcPr>
            <w:tcW w:type="dxa" w:w="135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Kameme FM</w:t>
            </w:r>
          </w:p>
        </w:tc>
        <w:tc>
          <w:tcPr>
            <w:tcW w:type="dxa" w:w="85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kik</w:t>
            </w:r>
          </w:p>
        </w:tc>
        <w:tc>
          <w:tcPr>
            <w:tcW w:type="dxa" w:w="8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FM</w:t>
            </w:r>
          </w:p>
        </w:tc>
        <w:tc>
          <w:tcPr>
            <w:tcW w:type="dxa" w:w="4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https://onlineradiobox.com/ke/kamemefm/?cs=ke.kamemefm  (alt: https://radio.garden/listen/kameme-fm-101-1/xhDmAfyc)</w:t>
            </w:r>
          </w:p>
        </w:tc>
        <w:tc>
          <w:tcPr>
            <w:tcW w:type="dxa" w:w="1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Resolve underlying stream, then ffmpeg</w:t>
            </w:r>
          </w:p>
        </w:tc>
      </w:tr>
      <w:tr>
        <w:trPr>
          <w:tblHeader w:val="false"/>
        </w:trPr>
        <w:tc>
          <w:tcPr>
            <w:tcW w:type="dxa" w:w="135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Ramogi FM</w:t>
            </w:r>
          </w:p>
        </w:tc>
        <w:tc>
          <w:tcPr>
            <w:tcW w:type="dxa" w:w="85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luo</w:t>
            </w:r>
          </w:p>
        </w:tc>
        <w:tc>
          <w:tcPr>
            <w:tcW w:type="dxa" w:w="8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FM</w:t>
            </w:r>
          </w:p>
        </w:tc>
        <w:tc>
          <w:tcPr>
            <w:tcW w:type="dxa" w:w="4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https://radio.or.ke/ramogi/  (alt: https://radio.ke/434-ramogi-fm.html)</w:t>
            </w:r>
          </w:p>
        </w:tc>
        <w:tc>
          <w:tcPr>
            <w:tcW w:type="dxa" w:w="17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Resolve underlying stream, then ffmpeg</w:t>
            </w:r>
          </w:p>
        </w:tc>
      </w:tr>
    </w:tbl>
    <w:p>
      <w:pPr>
        <w:spacing w:after="120" w:line="276"/>
      </w:pPr>
      <w:r>
        <w:rPr>
          <w:rFonts w:ascii="Calibri" w:cs="Calibri" w:eastAsia="Calibri" w:hAnsi="Calibri"/>
          <w:b/>
          <w:bCs/>
          <w:sz w:val="21"/>
          <w:szCs w:val="21"/>
        </w:rPr>
        <w:t xml:space="preserve">Ownership note. </w:t>
      </w:r>
      <w:r>
        <w:rPr>
          <w:rFonts w:ascii="Calibri" w:cs="Calibri" w:eastAsia="Calibri" w:hAnsi="Calibri"/>
          <w:sz w:val="21"/>
          <w:szCs w:val="21"/>
        </w:rPr>
        <w:t xml:space="preserve">Inooro and Ramogi are Royal Media Services properties; Kameme is Mediamax. Where a broadcaster publishes its own stream endpoint, prefer it over an aggregator: aggregators such as onlineradiobox and radio.garden add a re-hosting layer, are less stable, and carry their own terms of service. Resolving the direct ICY/HLS endpoint once and storing it in the registry is a one-hour task that removes a permanent source of fragility.</w:t>
      </w:r>
    </w:p>
    <w:p>
      <w:pPr>
        <w:pStyle w:val="Heading2"/>
        <w:spacing w:after="120" w:before="260"/>
      </w:pPr>
      <w:r>
        <w:t xml:space="preserve">6.2 Capture specification</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2300"/>
        <w:gridCol w:w="6720"/>
      </w:tblGrid>
      <w:tr>
        <w:trPr>
          <w:tblHeader/>
        </w:trPr>
        <w:tc>
          <w:tcPr>
            <w:tcW w:type="dxa" w:w="23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Parameter</w:t>
            </w:r>
          </w:p>
        </w:tc>
        <w:tc>
          <w:tcPr>
            <w:tcW w:type="dxa" w:w="67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Value</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Audio format on disk</w:t>
            </w:r>
          </w:p>
        </w:tc>
        <w:tc>
          <w:tcPr>
            <w:tcW w:type="dxa" w:w="6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Opus 24 kbps mono at 16 kHz for archive; 16-bit PCM WAV generated transiently for processing</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Segment length</w:t>
            </w:r>
          </w:p>
        </w:tc>
        <w:tc>
          <w:tcPr>
            <w:tcW w:type="dxa" w:w="67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5 minutes rolling, with a 5-second overlap so no utterance is cut at a boundary</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Naming</w:t>
            </w:r>
          </w:p>
        </w:tc>
        <w:tc>
          <w:tcPr>
            <w:tcW w:type="dxa" w:w="6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{station}/{YYYY}/{MM}/{DD}/{station}_{YYYYMMDD}T{HHMMSS}Z_{seq}.opus — UTC on disk, EAT in the UI</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Sidecar metadata</w:t>
            </w:r>
          </w:p>
        </w:tc>
        <w:tc>
          <w:tcPr>
            <w:tcW w:type="dxa" w:w="67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JSON per segment: station, language prior, stream URL, capture start/end in UTC, sample rate, duration, SHA-256 of the audio, capture host, software version</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Storage rate</w:t>
            </w:r>
          </w:p>
        </w:tc>
        <w:tc>
          <w:tcPr>
            <w:tcW w:type="dxa" w:w="6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Approximately 10.8 MB per channel-hour, so ~1.6 GB per day for all six channels running continuously — roughly 47 GB per month against 288 GB free</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Retention</w:t>
            </w:r>
          </w:p>
        </w:tc>
        <w:tc>
          <w:tcPr>
            <w:tcW w:type="dxa" w:w="67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Raw audio retained for the full POC. Set an explicit retention policy before any production deployment.</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Resilience</w:t>
            </w:r>
          </w:p>
        </w:tc>
        <w:tc>
          <w:tcPr>
            <w:tcW w:type="dxa" w:w="6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Automatic reconnect with exponential backoff; every gap logged as an explicit gap record rather than silently skipped; daily completeness report</w:t>
            </w:r>
          </w:p>
        </w:tc>
      </w:tr>
    </w:tbl>
    <w:p>
      <w:pPr>
        <w:pStyle w:val="Heading2"/>
        <w:spacing w:after="120" w:before="260"/>
      </w:pPr>
      <w:r>
        <w:t xml:space="preserve">6.3 Capture risks</w:t>
      </w:r>
    </w:p>
    <w:p>
      <w:pPr>
        <w:pStyle w:val="ListParagraph"/>
        <w:numPr>
          <w:ilvl w:val="0"/>
          <w:numId w:val="2"/>
        </w:numPr>
        <w:spacing w:after="70" w:line="276"/>
      </w:pPr>
      <w:r>
        <w:rPr>
          <w:rFonts w:ascii="Calibri" w:cs="Calibri" w:eastAsia="Calibri" w:hAnsi="Calibri"/>
          <w:sz w:val="21"/>
          <w:szCs w:val="21"/>
        </w:rPr>
        <w:t xml:space="preserve">YouTube live URLs rotate. A 24/7 channel may change video ID; the capture agent must resolve the channel's current live video rather than pinning the watch URL, and must alarm when resolution fails.</w:t>
      </w:r>
    </w:p>
    <w:p>
      <w:pPr>
        <w:pStyle w:val="ListParagraph"/>
        <w:numPr>
          <w:ilvl w:val="0"/>
          <w:numId w:val="2"/>
        </w:numPr>
        <w:spacing w:after="70" w:line="276"/>
      </w:pPr>
      <w:r>
        <w:rPr>
          <w:rFonts w:ascii="Calibri" w:cs="Calibri" w:eastAsia="Calibri" w:hAnsi="Calibri"/>
          <w:sz w:val="21"/>
          <w:szCs w:val="21"/>
        </w:rPr>
        <w:t xml:space="preserve">Rate limiting and throttling affect long-running YouTube pulls. Stagger reconnects and monitor for silent stream degradation.</w:t>
      </w:r>
    </w:p>
    <w:p>
      <w:pPr>
        <w:pStyle w:val="ListParagraph"/>
        <w:numPr>
          <w:ilvl w:val="0"/>
          <w:numId w:val="2"/>
        </w:numPr>
        <w:spacing w:after="70" w:line="276"/>
      </w:pPr>
      <w:r>
        <w:rPr>
          <w:rFonts w:ascii="Calibri" w:cs="Calibri" w:eastAsia="Calibri" w:hAnsi="Calibri"/>
          <w:sz w:val="21"/>
          <w:szCs w:val="21"/>
        </w:rPr>
        <w:t xml:space="preserve">FM webstreams drop, rebuffer and occasionally serve a different regional feed. Record a periodic fingerprint of each stream to detect silent feed substitution.</w:t>
      </w:r>
    </w:p>
    <w:p>
      <w:pPr>
        <w:pStyle w:val="ListParagraph"/>
        <w:numPr>
          <w:ilvl w:val="0"/>
          <w:numId w:val="2"/>
        </w:numPr>
        <w:spacing w:after="70" w:line="276"/>
      </w:pPr>
      <w:r>
        <w:rPr>
          <w:rFonts w:ascii="Calibri" w:cs="Calibri" w:eastAsia="Calibri" w:hAnsi="Calibri"/>
          <w:sz w:val="21"/>
          <w:szCs w:val="21"/>
        </w:rPr>
        <w:t xml:space="preserve">Terms of service. Recording broadcast streams for monitoring engages both the platform terms and Kenyan copyright law. Section 15 covers this; it needs a decision before extended capture, not after.</w:t>
      </w:r>
    </w:p>
    <w:p>
      <w:pPr>
        <w:pStyle w:val="Heading2"/>
        <w:spacing w:after="120" w:before="260"/>
      </w:pPr>
      <w:r>
        <w:t xml:space="preserve">6.4 Why the SDR node design survives into Phase 2</w:t>
      </w:r>
    </w:p>
    <w:p>
      <w:pPr>
        <w:spacing w:after="120" w:line="276"/>
      </w:pPr>
      <w:r>
        <w:rPr>
          <w:rFonts w:ascii="Calibri" w:cs="Calibri" w:eastAsia="Calibri" w:hAnsi="Calibri"/>
          <w:sz w:val="21"/>
          <w:szCs w:val="21"/>
        </w:rPr>
        <w:t xml:space="preserve">All six POC channels are internet-reachable, so the Raspberry Pi and RTL-SDR node described in the concept note is unnecessary for Phase 1. It becomes necessary the moment the target list includes stations that do not stream — which is most county-level vernacular FM in Turkana, Mandera, Kisii and the wider North. The capture layer must therefore present a single uniform interface to the rest of the pipeline, so that an SDR node and a web-stream puller are interchangeable sources feeding identical segment records. Building that interface during the POC costs almost nothing; retrofitting it later means rewriting ingest.</w:t>
      </w:r>
    </w:p>
    <w:p>
      <w:r>
        <w:br w:type="page"/>
      </w:r>
    </w:p>
    <w:p>
      <w:pPr>
        <w:pStyle w:val="Heading1"/>
        <w:spacing w:after="160" w:before="320"/>
      </w:pPr>
      <w:r>
        <w:t xml:space="preserve">7. Content Filtering — Removing Advertisements, Music and Non-Intelligence Programming</w:t>
      </w:r>
    </w:p>
    <w:p>
      <w:pPr>
        <w:spacing w:after="120" w:line="276"/>
      </w:pPr>
      <w:r>
        <w:rPr>
          <w:rFonts w:ascii="Calibri" w:cs="Calibri" w:eastAsia="Calibri" w:hAnsi="Calibri"/>
          <w:sz w:val="21"/>
          <w:szCs w:val="21"/>
        </w:rPr>
        <w:t xml:space="preserve">Vernacular FM is typically 30–50% music, jingles and advertising. Vernacular TV carries advertising blocks, imported drama and religious programming. Passing this material to an ASR model is worse than wasteful: Whisper-family models hallucinate confidently and fluently on music and non-speech, injecting fabricated text into intelligence reporting. Filtering is therefore a correctness control, not an optimisation.</w:t>
      </w:r>
    </w:p>
    <w:p>
      <w:pPr>
        <w:pStyle w:val="Heading2"/>
        <w:spacing w:after="120" w:before="260"/>
      </w:pPr>
      <w:r>
        <w:t xml:space="preserve">7.1 Layer 0 — Schedule-driven capture windows</w:t>
      </w:r>
    </w:p>
    <w:p>
      <w:pPr>
        <w:spacing w:after="120" w:line="276"/>
      </w:pPr>
      <w:r>
        <w:rPr>
          <w:rFonts w:ascii="Calibri" w:cs="Calibri" w:eastAsia="Calibri" w:hAnsi="Calibri"/>
          <w:sz w:val="21"/>
          <w:szCs w:val="21"/>
        </w:rPr>
        <w:t xml:space="preserve">The cheapest filter is not listening. Each station has a predictable schedule: main bulletins, morning drive, mid-morning talk, call-in shows. The registry stores a per-station daypart table marking each window as high, medium or low intelligence value.</w:t>
      </w:r>
    </w:p>
    <w:p>
      <w:pPr>
        <w:pStyle w:val="ListParagraph"/>
        <w:numPr>
          <w:ilvl w:val="0"/>
          <w:numId w:val="2"/>
        </w:numPr>
        <w:spacing w:after="70" w:line="276"/>
      </w:pPr>
      <w:r>
        <w:rPr>
          <w:rFonts w:ascii="Calibri" w:cs="Calibri" w:eastAsia="Calibri" w:hAnsi="Calibri"/>
          <w:sz w:val="21"/>
          <w:szCs w:val="21"/>
        </w:rPr>
        <w:t xml:space="preserve">Capture runs 24/7 on all six channels — storage is cheap and retrospective search has value.</w:t>
      </w:r>
    </w:p>
    <w:p>
      <w:pPr>
        <w:pStyle w:val="ListParagraph"/>
        <w:numPr>
          <w:ilvl w:val="0"/>
          <w:numId w:val="2"/>
        </w:numPr>
        <w:spacing w:after="70" w:line="276"/>
      </w:pPr>
      <w:r>
        <w:rPr>
          <w:rFonts w:ascii="Calibri" w:cs="Calibri" w:eastAsia="Calibri" w:hAnsi="Calibri"/>
          <w:sz w:val="21"/>
          <w:szCs w:val="21"/>
        </w:rPr>
        <w:t xml:space="preserve">Transcription is queued by priority. The POC target is approximately five audio-hours per day across all six stations, which fits the machine's throughput ceiling with margin.</w:t>
      </w:r>
    </w:p>
    <w:p>
      <w:pPr>
        <w:pStyle w:val="ListParagraph"/>
        <w:numPr>
          <w:ilvl w:val="0"/>
          <w:numId w:val="2"/>
        </w:numPr>
        <w:spacing w:after="70" w:line="276"/>
      </w:pPr>
      <w:r>
        <w:rPr>
          <w:rFonts w:ascii="Calibri" w:cs="Calibri" w:eastAsia="Calibri" w:hAnsi="Calibri"/>
          <w:sz w:val="21"/>
          <w:szCs w:val="21"/>
        </w:rPr>
        <w:t xml:space="preserve">Low-value windows are transcribed opportunistically when the queue is idle, or on analyst demand for a specific time range.</w:t>
      </w:r>
    </w:p>
    <w:p>
      <w:pPr>
        <w:pStyle w:val="ListParagraph"/>
        <w:numPr>
          <w:ilvl w:val="0"/>
          <w:numId w:val="2"/>
        </w:numPr>
        <w:spacing w:after="70" w:line="276"/>
      </w:pPr>
      <w:r>
        <w:rPr>
          <w:rFonts w:ascii="Calibri" w:cs="Calibri" w:eastAsia="Calibri" w:hAnsi="Calibri"/>
          <w:sz w:val="21"/>
          <w:szCs w:val="21"/>
        </w:rPr>
        <w:t xml:space="preserve">The daypart table is learned and refined from Step 1 data rather than guessed — after two weeks of capture the system can report which windows actually produced reportable content.</w:t>
      </w:r>
    </w:p>
    <w:p>
      <w:pPr>
        <w:pStyle w:val="Heading2"/>
        <w:spacing w:after="120" w:before="260"/>
      </w:pPr>
      <w:r>
        <w:t xml:space="preserve">7.2 Layer 1 — Music and speech discrimination</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2300"/>
        <w:gridCol w:w="6720"/>
      </w:tblGrid>
      <w:tr>
        <w:trPr>
          <w:tblHeader/>
        </w:trPr>
        <w:tc>
          <w:tcPr>
            <w:tcW w:type="dxa" w:w="23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Approach</w:t>
            </w:r>
          </w:p>
        </w:tc>
        <w:tc>
          <w:tcPr>
            <w:tcW w:type="dxa" w:w="67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Detail</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POC implementation</w:t>
            </w:r>
          </w:p>
        </w:tc>
        <w:tc>
          <w:tcPr>
            <w:tcW w:type="dxa" w:w="6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Spectral features — spectral flatness, zero-crossing rate, RMS energy stability, harmonic-percussive separation ratio — over 1-second frames, with a small classifier trained on a few hours of hand-labelled station audio. Cheap, fast, transparent and debuggable.</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Upgrade path</w:t>
            </w:r>
          </w:p>
        </w:tc>
        <w:tc>
          <w:tcPr>
            <w:tcW w:type="dxa" w:w="67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 pretrained audio event classifier (YAMNet/AST class) gives finer categories — speech, music, singing, applause, telephone — and enables richer filtering rules.</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Hysteresis</w:t>
            </w:r>
          </w:p>
        </w:tc>
        <w:tc>
          <w:tcPr>
            <w:tcW w:type="dxa" w:w="6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Music and speech occur in blocks. Smooth the frame-level decision over a 5–10 second window so a spoken word over a music bed does not flip the classifier every frame.</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Music bed handling</w:t>
            </w:r>
          </w:p>
        </w:tc>
        <w:tc>
          <w:tcPr>
            <w:tcW w:type="dxa" w:w="67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Speech over a music bed (very common in vernacular radio presentation) must be retained, not discarded. The classifier must distinguish "music only" from "speech with music", and this distinction must appear in the labelled training data.</w:t>
            </w:r>
          </w:p>
        </w:tc>
      </w:tr>
    </w:tbl>
    <w:p>
      <w:pPr>
        <w:pStyle w:val="Heading2"/>
        <w:spacing w:after="120" w:before="260"/>
      </w:pPr>
      <w:r>
        <w:t xml:space="preserve">7.3 Layer 2 — Advertisement fingerprinting</w:t>
      </w:r>
    </w:p>
    <w:p>
      <w:pPr>
        <w:spacing w:after="120" w:line="276"/>
      </w:pPr>
      <w:r>
        <w:rPr>
          <w:rFonts w:ascii="Calibri" w:cs="Calibri" w:eastAsia="Calibri" w:hAnsi="Calibri"/>
          <w:sz w:val="21"/>
          <w:szCs w:val="21"/>
        </w:rPr>
        <w:t xml:space="preserve">Advertisements and station jingles are broadcast identically, many times per day, for weeks. This makes them trivially detectable by audio fingerprinting and is the single highest-leverage filter in the system.</w:t>
      </w:r>
    </w:p>
    <w:p>
      <w:pPr>
        <w:pStyle w:val="ListParagraph"/>
        <w:numPr>
          <w:ilvl w:val="0"/>
          <w:numId w:val="3"/>
        </w:numPr>
        <w:spacing w:after="70" w:line="276"/>
      </w:pPr>
      <w:r>
        <w:rPr>
          <w:rFonts w:ascii="Calibri" w:cs="Calibri" w:eastAsia="Calibri" w:hAnsi="Calibri"/>
          <w:sz w:val="21"/>
          <w:szCs w:val="21"/>
        </w:rPr>
        <w:t xml:space="preserve">Compute a Chromaprint-style acoustic fingerprint for every retained audio segment.</w:t>
      </w:r>
    </w:p>
    <w:p>
      <w:pPr>
        <w:pStyle w:val="ListParagraph"/>
        <w:numPr>
          <w:ilvl w:val="0"/>
          <w:numId w:val="3"/>
        </w:numPr>
        <w:spacing w:after="70" w:line="276"/>
      </w:pPr>
      <w:r>
        <w:rPr>
          <w:rFonts w:ascii="Calibri" w:cs="Calibri" w:eastAsia="Calibri" w:hAnsi="Calibri"/>
          <w:sz w:val="21"/>
          <w:szCs w:val="21"/>
        </w:rPr>
        <w:t xml:space="preserve">Detect repeats automatically: any 10–60 second audio block recurring more than three times within 48 hours across the same or different stations is an advertisement, jingle, promo or station ident with very high confidence.</w:t>
      </w:r>
    </w:p>
    <w:p>
      <w:pPr>
        <w:pStyle w:val="ListParagraph"/>
        <w:numPr>
          <w:ilvl w:val="0"/>
          <w:numId w:val="3"/>
        </w:numPr>
        <w:spacing w:after="70" w:line="276"/>
      </w:pPr>
      <w:r>
        <w:rPr>
          <w:rFonts w:ascii="Calibri" w:cs="Calibri" w:eastAsia="Calibri" w:hAnsi="Calibri"/>
          <w:sz w:val="21"/>
          <w:szCs w:val="21"/>
        </w:rPr>
        <w:t xml:space="preserve">Promote confirmed repeats into a fingerprint library with a human confirmation step for the first instance of each.</w:t>
      </w:r>
    </w:p>
    <w:p>
      <w:pPr>
        <w:pStyle w:val="ListParagraph"/>
        <w:numPr>
          <w:ilvl w:val="0"/>
          <w:numId w:val="3"/>
        </w:numPr>
        <w:spacing w:after="70" w:line="276"/>
      </w:pPr>
      <w:r>
        <w:rPr>
          <w:rFonts w:ascii="Calibri" w:cs="Calibri" w:eastAsia="Calibri" w:hAnsi="Calibri"/>
          <w:sz w:val="21"/>
          <w:szCs w:val="21"/>
        </w:rPr>
        <w:t xml:space="preserve">All subsequent airings match the library and are dropped before transcription at near-zero cost.</w:t>
      </w:r>
    </w:p>
    <w:p>
      <w:pPr>
        <w:pStyle w:val="ListParagraph"/>
        <w:numPr>
          <w:ilvl w:val="0"/>
          <w:numId w:val="3"/>
        </w:numPr>
        <w:spacing w:after="70" w:line="276"/>
      </w:pPr>
      <w:r>
        <w:rPr>
          <w:rFonts w:ascii="Calibri" w:cs="Calibri" w:eastAsia="Calibri" w:hAnsi="Calibri"/>
          <w:sz w:val="21"/>
          <w:szCs w:val="21"/>
        </w:rPr>
        <w:t xml:space="preserve">The library is self-populating: it needs no manual seeding and improves automatically the longer the system runs.</w:t>
      </w:r>
    </w:p>
    <w:tbl>
      <w:tblPr>
        <w:tblW w:type="dxa" w:w="9020"/>
        <w:tblBorders>
          <w:top w:val="single" w:color="2E74B5" w:sz="4"/>
          <w:left w:val="single" w:color="2E74B5" w:sz="18"/>
          <w:bottom w:val="single" w:color="2E74B5" w:sz="4"/>
          <w:right w:val="single" w:color="2E74B5" w:sz="4"/>
          <w:insideH w:val="none"/>
          <w:insideV w:val="none"/>
        </w:tblBorders>
      </w:tblPr>
      <w:tblGrid>
        <w:gridCol w:w="9020"/>
      </w:tblGrid>
      <w:tr>
        <w:tc>
          <w:tcPr>
            <w:tcW w:type="dxa" w:w="9020"/>
            <w:shd w:fill="EEF4FB" w:color="auto" w:val="clear"/>
            <w:tcMar>
              <w:top w:type="dxa" w:w="130"/>
              <w:left w:type="dxa" w:w="170"/>
              <w:bottom w:type="dxa" w:w="130"/>
              <w:right w:type="dxa" w:w="140"/>
            </w:tcMar>
          </w:tcPr>
          <w:p>
            <w:pPr>
              <w:spacing w:after="60"/>
            </w:pPr>
            <w:r>
              <w:rPr>
                <w:rFonts w:ascii="Calibri" w:cs="Calibri" w:eastAsia="Calibri" w:hAnsi="Calibri"/>
                <w:b/>
                <w:bCs/>
                <w:color w:val="1F4E79"/>
                <w:sz w:val="20"/>
                <w:szCs w:val="20"/>
              </w:rPr>
              <w:t xml:space="preserve">A filter that pays for itself twice</w:t>
            </w:r>
          </w:p>
          <w:p>
            <w:pPr>
              <w:spacing w:after="50" w:line="264"/>
            </w:pPr>
            <w:r>
              <w:rPr>
                <w:rFonts w:ascii="Calibri" w:cs="Calibri" w:eastAsia="Calibri" w:hAnsi="Calibri"/>
                <w:sz w:val="20"/>
                <w:szCs w:val="20"/>
              </w:rPr>
              <w:t xml:space="preserve">The same fingerprint library that suppresses advertisements is, viewed from the other side, a complete advertisement airing log: which advertiser ran on which station, at what time, how many times, for how long.</w:t>
            </w:r>
          </w:p>
          <w:p>
            <w:pPr>
              <w:spacing w:after="50" w:line="264"/>
            </w:pPr>
            <w:r>
              <w:rPr>
                <w:rFonts w:ascii="Calibri" w:cs="Calibri" w:eastAsia="Calibri" w:hAnsi="Calibri"/>
                <w:sz w:val="20"/>
                <w:szCs w:val="20"/>
              </w:rPr>
              <w:t xml:space="preserve">That is a commercially and analytically valuable product in its own right — political advertising monitoring during an election cycle, for instance — obtained as a free by-product of a filter you had to build anyway. Design the library schema so this data is queryable rather than discarded.</w:t>
            </w:r>
          </w:p>
        </w:tc>
      </w:tr>
    </w:tbl>
    <w:p>
      <w:pPr>
        <w:pStyle w:val="Heading2"/>
        <w:spacing w:after="120" w:before="260"/>
      </w:pPr>
      <w:r>
        <w:t xml:space="preserve">7.4 Layer 3 — Programme-type classification</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2000"/>
        <w:gridCol w:w="3200"/>
        <w:gridCol w:w="3820"/>
      </w:tblGrid>
      <w:tr>
        <w:trPr>
          <w:tblHeader/>
        </w:trPr>
        <w:tc>
          <w:tcPr>
            <w:tcW w:type="dxa" w:w="20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Content type</w:t>
            </w:r>
          </w:p>
        </w:tc>
        <w:tc>
          <w:tcPr>
            <w:tcW w:type="dxa" w:w="32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Signature</w:t>
            </w:r>
          </w:p>
        </w:tc>
        <w:tc>
          <w:tcPr>
            <w:tcW w:type="dxa" w:w="38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Action</w:t>
            </w:r>
          </w:p>
        </w:tc>
      </w:tr>
      <w:tr>
        <w:trPr>
          <w:tblHeader w:val="false"/>
        </w:trPr>
        <w:tc>
          <w:tcPr>
            <w:tcW w:type="dxa" w:w="20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News bulletin</w:t>
            </w:r>
          </w:p>
        </w:tc>
        <w:tc>
          <w:tcPr>
            <w:tcW w:type="dxa" w:w="32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Studio acoustics, single/dual anchor, signature music at open and close, dense named entities</w:t>
            </w:r>
          </w:p>
        </w:tc>
        <w:tc>
          <w:tcPr>
            <w:tcW w:type="dxa" w:w="38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Highest priority — transcribe, translate, report</w:t>
            </w:r>
          </w:p>
        </w:tc>
      </w:tr>
      <w:tr>
        <w:trPr>
          <w:tblHeader w:val="false"/>
        </w:trPr>
        <w:tc>
          <w:tcPr>
            <w:tcW w:type="dxa" w:w="20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Talk show / call-in</w:t>
            </w:r>
          </w:p>
        </w:tc>
        <w:tc>
          <w:tcPr>
            <w:tcW w:type="dxa" w:w="32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Multiple speakers, telephone-bandwidth callers, overlapping speech, heavy Sheng</w:t>
            </w:r>
          </w:p>
        </w:tc>
        <w:tc>
          <w:tcPr>
            <w:tcW w:type="dxa" w:w="38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High priority — highest sentiment value, hardest to transcribe</w:t>
            </w:r>
          </w:p>
        </w:tc>
      </w:tr>
      <w:tr>
        <w:trPr>
          <w:tblHeader w:val="false"/>
        </w:trPr>
        <w:tc>
          <w:tcPr>
            <w:tcW w:type="dxa" w:w="20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Advertisement</w:t>
            </w:r>
          </w:p>
        </w:tc>
        <w:tc>
          <w:tcPr>
            <w:tcW w:type="dxa" w:w="32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Fingerprint match; short; music bed; rapid delivery</w:t>
            </w:r>
          </w:p>
        </w:tc>
        <w:tc>
          <w:tcPr>
            <w:tcW w:type="dxa" w:w="38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Drop; log to advertisement register</w:t>
            </w:r>
          </w:p>
        </w:tc>
      </w:tr>
      <w:tr>
        <w:trPr>
          <w:tblHeader w:val="false"/>
        </w:trPr>
        <w:tc>
          <w:tcPr>
            <w:tcW w:type="dxa" w:w="20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Music</w:t>
            </w:r>
          </w:p>
        </w:tc>
        <w:tc>
          <w:tcPr>
            <w:tcW w:type="dxa" w:w="32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Layer 1 classifier</w:t>
            </w:r>
          </w:p>
        </w:tc>
        <w:tc>
          <w:tcPr>
            <w:tcW w:type="dxa" w:w="38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Drop; optionally log track identity</w:t>
            </w:r>
          </w:p>
        </w:tc>
      </w:tr>
      <w:tr>
        <w:trPr>
          <w:tblHeader w:val="false"/>
        </w:trPr>
        <w:tc>
          <w:tcPr>
            <w:tcW w:type="dxa" w:w="20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Imported drama / soap</w:t>
            </w:r>
          </w:p>
        </w:tc>
        <w:tc>
          <w:tcPr>
            <w:tcW w:type="dxa" w:w="32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Dubbed or foreign-language audio, continuous music bed, long non-Kenyan runs, scheduled slots</w:t>
            </w:r>
          </w:p>
        </w:tc>
        <w:tc>
          <w:tcPr>
            <w:tcW w:type="dxa" w:w="38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Drop; caught by schedule table plus language routing returning an unexpected language with high confidence</w:t>
            </w:r>
          </w:p>
        </w:tc>
      </w:tr>
      <w:tr>
        <w:trPr>
          <w:tblHeader w:val="false"/>
        </w:trPr>
        <w:tc>
          <w:tcPr>
            <w:tcW w:type="dxa" w:w="20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Religious programming</w:t>
            </w:r>
          </w:p>
        </w:tc>
        <w:tc>
          <w:tcPr>
            <w:tcW w:type="dxa" w:w="32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Distinctive register and lexicon; predictable slots</w:t>
            </w:r>
          </w:p>
        </w:tc>
        <w:tc>
          <w:tcPr>
            <w:tcW w:type="dxa" w:w="38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Configurable — retain by default, since it carries political content in Kenya, but tag so analysts can exclude it</w:t>
            </w:r>
          </w:p>
        </w:tc>
      </w:tr>
      <w:tr>
        <w:trPr>
          <w:tblHeader w:val="false"/>
        </w:trPr>
        <w:tc>
          <w:tcPr>
            <w:tcW w:type="dxa" w:w="20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Sports commentary</w:t>
            </w:r>
          </w:p>
        </w:tc>
        <w:tc>
          <w:tcPr>
            <w:tcW w:type="dxa" w:w="32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Distinctive prosody, crowd noise, dense unmodelled proper nouns</w:t>
            </w:r>
          </w:p>
        </w:tc>
        <w:tc>
          <w:tcPr>
            <w:tcW w:type="dxa" w:w="38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Low priority — high WER, low intelligence value</w:t>
            </w:r>
          </w:p>
        </w:tc>
      </w:tr>
    </w:tbl>
    <w:p>
      <w:pPr>
        <w:pStyle w:val="Heading2"/>
        <w:spacing w:after="120" w:before="260"/>
      </w:pPr>
      <w:r>
        <w:t xml:space="preserve">7.5 Layer 4 — Post-transcription hallucination filter</w:t>
      </w:r>
    </w:p>
    <w:p>
      <w:pPr>
        <w:spacing w:after="120" w:line="276"/>
      </w:pPr>
      <w:r>
        <w:rPr>
          <w:rFonts w:ascii="Calibri" w:cs="Calibri" w:eastAsia="Calibri" w:hAnsi="Calibri"/>
          <w:sz w:val="21"/>
          <w:szCs w:val="21"/>
        </w:rPr>
        <w:t xml:space="preserve">Whatever survives the audio filters reaches the ASR model, and some of it will produce hallucinations. Every transcript segment is scored and quarantined if it fails any of:</w:t>
      </w:r>
    </w:p>
    <w:p>
      <w:pPr>
        <w:pStyle w:val="ListParagraph"/>
        <w:numPr>
          <w:ilvl w:val="0"/>
          <w:numId w:val="2"/>
        </w:numPr>
        <w:spacing w:after="70" w:line="276"/>
      </w:pPr>
      <w:r>
        <w:rPr>
          <w:rFonts w:ascii="Calibri" w:cs="Calibri" w:eastAsia="Calibri" w:hAnsi="Calibri"/>
          <w:sz w:val="21"/>
          <w:szCs w:val="21"/>
        </w:rPr>
        <w:t xml:space="preserve">Average token log-probability below the pack threshold.</w:t>
      </w:r>
    </w:p>
    <w:p>
      <w:pPr>
        <w:pStyle w:val="ListParagraph"/>
        <w:numPr>
          <w:ilvl w:val="0"/>
          <w:numId w:val="2"/>
        </w:numPr>
        <w:spacing w:after="70" w:line="276"/>
      </w:pPr>
      <w:r>
        <w:rPr>
          <w:rFonts w:ascii="Calibri" w:cs="Calibri" w:eastAsia="Calibri" w:hAnsi="Calibri"/>
          <w:sz w:val="21"/>
          <w:szCs w:val="21"/>
        </w:rPr>
        <w:t xml:space="preserve">Whisper no-speech probability above threshold.</w:t>
      </w:r>
    </w:p>
    <w:p>
      <w:pPr>
        <w:pStyle w:val="ListParagraph"/>
        <w:numPr>
          <w:ilvl w:val="0"/>
          <w:numId w:val="2"/>
        </w:numPr>
        <w:spacing w:after="70" w:line="276"/>
      </w:pPr>
      <w:r>
        <w:rPr>
          <w:rFonts w:ascii="Calibri" w:cs="Calibri" w:eastAsia="Calibri" w:hAnsi="Calibri"/>
          <w:sz w:val="21"/>
          <w:szCs w:val="21"/>
        </w:rPr>
        <w:t xml:space="preserve">Repetition ratio above threshold — the classic Whisper failure mode is a phrase repeated many times.</w:t>
      </w:r>
    </w:p>
    <w:p>
      <w:pPr>
        <w:pStyle w:val="ListParagraph"/>
        <w:numPr>
          <w:ilvl w:val="0"/>
          <w:numId w:val="2"/>
        </w:numPr>
        <w:spacing w:after="70" w:line="276"/>
      </w:pPr>
      <w:r>
        <w:rPr>
          <w:rFonts w:ascii="Calibri" w:cs="Calibri" w:eastAsia="Calibri" w:hAnsi="Calibri"/>
          <w:sz w:val="21"/>
          <w:szCs w:val="21"/>
        </w:rPr>
        <w:t xml:space="preserve">Compression-ratio heuristic indicating degenerate output.</w:t>
      </w:r>
    </w:p>
    <w:p>
      <w:pPr>
        <w:pStyle w:val="ListParagraph"/>
        <w:numPr>
          <w:ilvl w:val="0"/>
          <w:numId w:val="2"/>
        </w:numPr>
        <w:spacing w:after="70" w:line="276"/>
      </w:pPr>
      <w:r>
        <w:rPr>
          <w:rFonts w:ascii="Calibri" w:cs="Calibri" w:eastAsia="Calibri" w:hAnsi="Calibri"/>
          <w:sz w:val="21"/>
          <w:szCs w:val="21"/>
        </w:rPr>
        <w:t xml:space="preserve">Exact-match against the known hallucination phrase list, which Whisper-family models emit on silence and music (subtitle credits, channel sign-offs and similar).</w:t>
      </w:r>
    </w:p>
    <w:p>
      <w:pPr>
        <w:pStyle w:val="ListParagraph"/>
        <w:numPr>
          <w:ilvl w:val="0"/>
          <w:numId w:val="2"/>
        </w:numPr>
        <w:spacing w:after="70" w:line="276"/>
      </w:pPr>
      <w:r>
        <w:rPr>
          <w:rFonts w:ascii="Calibri" w:cs="Calibri" w:eastAsia="Calibri" w:hAnsi="Calibri"/>
          <w:sz w:val="21"/>
          <w:szCs w:val="21"/>
        </w:rPr>
        <w:t xml:space="preserve">Text in an unexpected language for that station and pack.</w:t>
      </w:r>
    </w:p>
    <w:p>
      <w:pPr>
        <w:spacing w:after="120" w:line="276"/>
      </w:pPr>
      <w:r>
        <w:rPr>
          <w:rFonts w:ascii="Calibri" w:cs="Calibri" w:eastAsia="Calibri" w:hAnsi="Calibri"/>
          <w:sz w:val="21"/>
          <w:szCs w:val="21"/>
        </w:rPr>
        <w:t xml:space="preserve">Quarantined segments are not deleted. They are flagged, excluded from reports, and surfaced in the UI review queue, where a reviewer either corrects them (producing training data) or confirms them as noise (producing filter training data). Both outcomes improve the system.</w:t>
      </w:r>
    </w:p>
    <w:p>
      <w:pPr>
        <w:pStyle w:val="Heading2"/>
        <w:spacing w:after="120" w:before="260"/>
      </w:pPr>
      <w:r>
        <w:t xml:space="preserve">7.6 Filter evaluation</w:t>
      </w:r>
    </w:p>
    <w:p>
      <w:pPr>
        <w:spacing w:after="120" w:line="276"/>
      </w:pPr>
      <w:r>
        <w:rPr>
          <w:rFonts w:ascii="Calibri" w:cs="Calibri" w:eastAsia="Calibri" w:hAnsi="Calibri"/>
          <w:sz w:val="21"/>
          <w:szCs w:val="21"/>
        </w:rPr>
        <w:t xml:space="preserve">The filter chain needs its own measured accuracy, reported separately from WER. Hand-label four hours per station covering all dayparts, then report: advertisement and music airtime correctly removed (recall), genuine speech incorrectly discarded (the critical metric — a false negative here loses intelligence permanently), and transcription compute saved. The target is at least 90% removal with under 2% speech loss.</w:t>
      </w:r>
    </w:p>
    <w:p>
      <w:r>
        <w:br w:type="page"/>
      </w:r>
    </w:p>
    <w:p>
      <w:pPr>
        <w:pStyle w:val="Heading1"/>
        <w:spacing w:after="160" w:before="320"/>
      </w:pPr>
      <w:r>
        <w:t xml:space="preserve">8. Language Routing Without Language Detection</w:t>
      </w:r>
    </w:p>
    <w:p>
      <w:pPr>
        <w:pStyle w:val="Heading2"/>
        <w:spacing w:after="120" w:before="260"/>
      </w:pPr>
      <w:r>
        <w:t xml:space="preserve">8.1 Two different problems that must not be conflated</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2300"/>
        <w:gridCol w:w="6720"/>
      </w:tblGrid>
      <w:tr>
        <w:trPr>
          <w:tblHeader/>
        </w:trPr>
        <w:tc>
          <w:tcPr>
            <w:tcW w:type="dxa" w:w="23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Problem</w:t>
            </w:r>
          </w:p>
        </w:tc>
        <w:tc>
          <w:tcPr>
            <w:tcW w:type="dxa" w:w="67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Resolution</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Segment-level language blocks — a Kiswahili headline read, an English advertisement, a twenty-minute Kikuyu bulletin</w:t>
            </w:r>
          </w:p>
        </w:tc>
        <w:tc>
          <w:tcPr>
            <w:tcW w:type="dxa" w:w="6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Solved by routing. This is what Sections 8.2–8.5 describe.</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Intra-sentence code-switching — "nĩ kũrĩ budget allocation ya county"</w:t>
            </w:r>
          </w:p>
        </w:tc>
        <w:tc>
          <w:tcPr>
            <w:tcW w:type="dxa" w:w="67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Not solvable by routing at all. The language changes mid-utterance, so there is no segment boundary to route on. This is fixed only by the vernacular model itself learning to emit English and Kiswahili words — which is exactly what the code-switched training share in the concept note (30%, 40 hours) buys. The existence of a router is not a reason to reduce that allocation.</w:t>
            </w:r>
          </w:p>
        </w:tc>
      </w:tr>
    </w:tbl>
    <w:p>
      <w:pPr>
        <w:pStyle w:val="Heading2"/>
        <w:spacing w:after="120" w:before="260"/>
      </w:pPr>
      <w:r>
        <w:t xml:space="preserve">8.2 The routing chain</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700"/>
        <w:gridCol w:w="2000"/>
        <w:gridCol w:w="4000"/>
        <w:gridCol w:w="2320"/>
      </w:tblGrid>
      <w:tr>
        <w:trPr>
          <w:tblHeader/>
        </w:trPr>
        <w:tc>
          <w:tcPr>
            <w:tcW w:type="dxa" w:w="7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Step</w:t>
            </w:r>
          </w:p>
        </w:tc>
        <w:tc>
          <w:tcPr>
            <w:tcW w:type="dxa" w:w="20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Mechanism</w:t>
            </w:r>
          </w:p>
        </w:tc>
        <w:tc>
          <w:tcPr>
            <w:tcW w:type="dxa" w:w="40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Detail</w:t>
            </w:r>
          </w:p>
        </w:tc>
        <w:tc>
          <w:tcPr>
            <w:tcW w:type="dxa" w:w="23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Cost</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R0</w:t>
            </w:r>
          </w:p>
        </w:tc>
        <w:tc>
          <w:tcPr>
            <w:tcW w:type="dxa" w:w="20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Station prior</w:t>
            </w:r>
          </w:p>
        </w:tc>
        <w:tc>
          <w:tcPr>
            <w:tcW w:type="dxa" w:w="40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Each station carries a prior vector from the registry: Inooro and Kameme approximately 0.80 kik / 0.12 swh / 0.08 eng; Ramogi approximately 0.80 luo / 0.12 swh / 0.08 eng. Daypart-adjusted — news hours skew more Kiswahili. Priors are measured from Step 1 data, not assumed.</w:t>
            </w:r>
          </w:p>
        </w:tc>
        <w:tc>
          <w:tcPr>
            <w:tcW w:type="dxa" w:w="23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Free</w:t>
            </w:r>
          </w:p>
        </w:tc>
      </w:tr>
      <w:tr>
        <w:trPr>
          <w:tblHeader w:val="false"/>
        </w:trPr>
        <w:tc>
          <w:tcPr>
            <w:tcW w:type="dxa" w:w="7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R1</w:t>
            </w:r>
          </w:p>
        </w:tc>
        <w:tc>
          <w:tcPr>
            <w:tcW w:type="dxa" w:w="20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Candidate restriction</w:t>
            </w:r>
          </w:p>
        </w:tc>
        <w:tc>
          <w:tcPr>
            <w:tcW w:type="dxa" w:w="40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Only three language tokens are ever considered for a given station, instead of Whisper's ninety-nine. This is the main accuracy gain, and it is the formal expression of "we know Ramogi broadcasts in Luo" — a prior, not a hard assumption, so a Kiswahili insert is still caught.</w:t>
            </w:r>
          </w:p>
        </w:tc>
        <w:tc>
          <w:tcPr>
            <w:tcW w:type="dxa" w:w="23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Free</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R2</w:t>
            </w:r>
          </w:p>
        </w:tc>
        <w:tc>
          <w:tcPr>
            <w:tcW w:type="dxa" w:w="20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Constrained token scoring</w:t>
            </w:r>
          </w:p>
        </w:tc>
        <w:tc>
          <w:tcPr>
            <w:tcW w:type="dxa" w:w="40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Run the Whisper encoder once per segment (needed anyway), then score only the candidate language tokens at the first decoder position. No separate language-ID model is introduced, and no extra encoder pass is incurred.</w:t>
            </w:r>
          </w:p>
        </w:tc>
        <w:tc>
          <w:tcPr>
            <w:tcW w:type="dxa" w:w="23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Negligible</w:t>
            </w:r>
          </w:p>
        </w:tc>
      </w:tr>
      <w:tr>
        <w:trPr>
          <w:tblHeader w:val="false"/>
        </w:trPr>
        <w:tc>
          <w:tcPr>
            <w:tcW w:type="dxa" w:w="7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R3</w:t>
            </w:r>
          </w:p>
        </w:tc>
        <w:tc>
          <w:tcPr>
            <w:tcW w:type="dxa" w:w="20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Temporal smoothing</w:t>
            </w:r>
          </w:p>
        </w:tc>
        <w:tc>
          <w:tcPr>
            <w:tcW w:type="dxa" w:w="40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Broadcast language blocks last minutes, not seconds. Pass per-segment posteriors through a two-state-transition HMM with high self-transition probability, or a five-segment median filter. This eliminates the flapping that otherwise dominates segment-level routing error.</w:t>
            </w:r>
          </w:p>
        </w:tc>
        <w:tc>
          <w:tcPr>
            <w:tcW w:type="dxa" w:w="23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Free</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R4</w:t>
            </w:r>
          </w:p>
        </w:tc>
        <w:tc>
          <w:tcPr>
            <w:tcW w:type="dxa" w:w="20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Dual-decode arbitration</w:t>
            </w:r>
          </w:p>
        </w:tc>
        <w:tc>
          <w:tcPr>
            <w:tcW w:type="dxa" w:w="40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For the small fraction of segments where the top two posteriors fall within a margin, decode with both packs and keep the transcript with the higher length-normalised average log-probability.</w:t>
            </w:r>
          </w:p>
        </w:tc>
        <w:tc>
          <w:tcPr>
            <w:tcW w:type="dxa" w:w="23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Expensive per segment, but applied to roughly 5% of traffic</w:t>
            </w:r>
          </w:p>
        </w:tc>
      </w:tr>
    </w:tbl>
    <w:p>
      <w:pPr>
        <w:pStyle w:val="Heading2"/>
        <w:spacing w:after="120" w:before="260"/>
      </w:pPr>
      <w:r>
        <w:t xml:space="preserve">8.3 Why no separate language-ID model is used</w:t>
      </w:r>
    </w:p>
    <w:p>
      <w:pPr>
        <w:spacing w:after="120" w:line="276"/>
      </w:pPr>
      <w:r>
        <w:rPr>
          <w:rFonts w:ascii="Calibri" w:cs="Calibri" w:eastAsia="Calibri" w:hAnsi="Calibri"/>
          <w:sz w:val="21"/>
          <w:szCs w:val="21"/>
        </w:rPr>
        <w:t xml:space="preserve">A dedicated audio LID model (MMS-LID and similar) would work and does cover kik, luo, swh and eng. It is nevertheless rejected for the POC for three reasons: it adds a second large model to a 13.7 GB memory budget; it duplicates a capability Whisper already exposes; and it scores across its full label inventory rather than the three languages a given station can plausibly carry, which is precisely where the accuracy comes from. It remains a documented fallback if R2 underperforms in Step 1 measurement.</w:t>
      </w:r>
    </w:p>
    <w:p>
      <w:pPr>
        <w:pStyle w:val="Heading2"/>
        <w:spacing w:after="120" w:before="260"/>
      </w:pPr>
      <w:r>
        <w:t xml:space="preserve">8.4 Routing evaluation</w:t>
      </w:r>
    </w:p>
    <w:p>
      <w:pPr>
        <w:spacing w:after="120" w:line="276"/>
      </w:pPr>
      <w:r>
        <w:rPr>
          <w:rFonts w:ascii="Calibri" w:cs="Calibri" w:eastAsia="Calibri" w:hAnsi="Calibri"/>
          <w:sz w:val="21"/>
          <w:szCs w:val="21"/>
        </w:rPr>
        <w:t xml:space="preserve">Hand-label the language of every segment in two hours of audio per station, covering news, talk and advertisement blocks. Report routing accuracy overall and per language pair, and report it separately from WER. Conflating the two hides which component is failing: a Kikuyu segment misrouted to the Kiswahili pack produces a catastrophic WER that is a routing failure, not a model failure, and fixing the wrong one wastes weeks.</w:t>
      </w:r>
    </w:p>
    <w:p>
      <w:pPr>
        <w:pStyle w:val="Heading2"/>
        <w:spacing w:after="120" w:before="260"/>
      </w:pPr>
      <w:r>
        <w:t xml:space="preserve">8.5 Routing overrides</w:t>
      </w:r>
    </w:p>
    <w:p>
      <w:pPr>
        <w:pStyle w:val="ListParagraph"/>
        <w:numPr>
          <w:ilvl w:val="0"/>
          <w:numId w:val="2"/>
        </w:numPr>
        <w:spacing w:after="70" w:line="276"/>
      </w:pPr>
      <w:r>
        <w:rPr>
          <w:rFonts w:ascii="Calibri" w:cs="Calibri" w:eastAsia="Calibri" w:hAnsi="Calibri"/>
          <w:sz w:val="21"/>
          <w:szCs w:val="21"/>
        </w:rPr>
        <w:t xml:space="preserve">Analysts can force a segment or time range to a specific pack from the UI and trigger re-transcription.</w:t>
      </w:r>
    </w:p>
    <w:p>
      <w:pPr>
        <w:pStyle w:val="ListParagraph"/>
        <w:numPr>
          <w:ilvl w:val="0"/>
          <w:numId w:val="2"/>
        </w:numPr>
        <w:spacing w:after="70" w:line="276"/>
      </w:pPr>
      <w:r>
        <w:rPr>
          <w:rFonts w:ascii="Calibri" w:cs="Calibri" w:eastAsia="Calibri" w:hAnsi="Calibri"/>
          <w:sz w:val="21"/>
          <w:szCs w:val="21"/>
        </w:rPr>
        <w:t xml:space="preserve">Every override is logged as labelled routing training data.</w:t>
      </w:r>
    </w:p>
    <w:p>
      <w:pPr>
        <w:pStyle w:val="ListParagraph"/>
        <w:numPr>
          <w:ilvl w:val="0"/>
          <w:numId w:val="2"/>
        </w:numPr>
        <w:spacing w:after="70" w:line="276"/>
      </w:pPr>
      <w:r>
        <w:rPr>
          <w:rFonts w:ascii="Calibri" w:cs="Calibri" w:eastAsia="Calibri" w:hAnsi="Calibri"/>
          <w:sz w:val="21"/>
          <w:szCs w:val="21"/>
        </w:rPr>
        <w:t xml:space="preserve">Persistent override patterns for a station and daypart automatically propose a prior update for approval.</w:t>
      </w:r>
    </w:p>
    <w:p>
      <w:r>
        <w:br w:type="page"/>
      </w:r>
    </w:p>
    <w:p>
      <w:pPr>
        <w:pStyle w:val="Heading1"/>
        <w:spacing w:after="160" w:before="320"/>
      </w:pPr>
      <w:r>
        <w:t xml:space="preserve">9. Evaluation Methodology</w:t>
      </w:r>
    </w:p>
    <w:p>
      <w:pPr>
        <w:spacing w:after="120" w:line="276"/>
      </w:pPr>
      <w:r>
        <w:rPr>
          <w:rFonts w:ascii="Calibri" w:cs="Calibri" w:eastAsia="Calibri" w:hAnsi="Calibri"/>
          <w:sz w:val="21"/>
          <w:szCs w:val="21"/>
        </w:rPr>
        <w:t xml:space="preserve">The POC is a measurement exercise. If the measurement is not trustworthy, the POC produces nothing of value regardless of how well the pipeline runs.</w:t>
      </w:r>
    </w:p>
    <w:p>
      <w:pPr>
        <w:pStyle w:val="Heading2"/>
        <w:spacing w:after="120" w:before="260"/>
      </w:pPr>
      <w:r>
        <w:t xml:space="preserve">9.1 The reference sets</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2100"/>
        <w:gridCol w:w="2200"/>
        <w:gridCol w:w="2400"/>
        <w:gridCol w:w="2320"/>
      </w:tblGrid>
      <w:tr>
        <w:trPr>
          <w:tblHeader/>
        </w:trPr>
        <w:tc>
          <w:tcPr>
            <w:tcW w:type="dxa" w:w="21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Set</w:t>
            </w:r>
          </w:p>
        </w:tc>
        <w:tc>
          <w:tcPr>
            <w:tcW w:type="dxa" w:w="22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Content</w:t>
            </w:r>
          </w:p>
        </w:tc>
        <w:tc>
          <w:tcPr>
            <w:tcW w:type="dxa" w:w="24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Size</w:t>
            </w:r>
          </w:p>
        </w:tc>
        <w:tc>
          <w:tcPr>
            <w:tcW w:type="dxa" w:w="23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Purpose</w:t>
            </w:r>
          </w:p>
        </w:tc>
      </w:tr>
      <w:tr>
        <w:trPr>
          <w:tblHeader w:val="false"/>
        </w:trPr>
        <w:tc>
          <w:tcPr>
            <w:tcW w:type="dxa" w:w="21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BCAST-KIK</w:t>
            </w:r>
          </w:p>
        </w:tc>
        <w:tc>
          <w:tcPr>
            <w:tcW w:type="dxa" w:w="22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Inooro and Kameme, TV and FM, across dayparts</w:t>
            </w:r>
          </w:p>
        </w:tc>
        <w:tc>
          <w:tcPr>
            <w:tcW w:type="dxa" w:w="2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2 h transcribed, 2 h language-labelled</w:t>
            </w:r>
          </w:p>
        </w:tc>
        <w:tc>
          <w:tcPr>
            <w:tcW w:type="dxa" w:w="23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The number that matters — real operating conditions</w:t>
            </w:r>
          </w:p>
        </w:tc>
      </w:tr>
      <w:tr>
        <w:trPr>
          <w:tblHeader w:val="false"/>
        </w:trPr>
        <w:tc>
          <w:tcPr>
            <w:tcW w:type="dxa" w:w="21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BCAST-LUO</w:t>
            </w:r>
          </w:p>
        </w:tc>
        <w:tc>
          <w:tcPr>
            <w:tcW w:type="dxa" w:w="22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Ramogi TV and FM, across dayparts</w:t>
            </w:r>
          </w:p>
        </w:tc>
        <w:tc>
          <w:tcPr>
            <w:tcW w:type="dxa" w:w="24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2 h transcribed, 2 h language-labelled</w:t>
            </w:r>
          </w:p>
        </w:tc>
        <w:tc>
          <w:tcPr>
            <w:tcW w:type="dxa" w:w="23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As above for Dholuo</w:t>
            </w:r>
          </w:p>
        </w:tc>
      </w:tr>
      <w:tr>
        <w:trPr>
          <w:tblHeader w:val="false"/>
        </w:trPr>
        <w:tc>
          <w:tcPr>
            <w:tcW w:type="dxa" w:w="21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BCAST-SWH/ENG</w:t>
            </w:r>
          </w:p>
        </w:tc>
        <w:tc>
          <w:tcPr>
            <w:tcW w:type="dxa" w:w="22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Kiswahili and English segments from all six stations</w:t>
            </w:r>
          </w:p>
        </w:tc>
        <w:tc>
          <w:tcPr>
            <w:tcW w:type="dxa" w:w="2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1 h transcribed</w:t>
            </w:r>
          </w:p>
        </w:tc>
        <w:tc>
          <w:tcPr>
            <w:tcW w:type="dxa" w:w="23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Validates Pack A in broadcast conditions</w:t>
            </w:r>
          </w:p>
        </w:tc>
      </w:tr>
      <w:tr>
        <w:trPr>
          <w:tblHeader w:val="false"/>
        </w:trPr>
        <w:tc>
          <w:tcPr>
            <w:tcW w:type="dxa" w:w="21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CLEAN-KIK / CLEAN-LUO</w:t>
            </w:r>
          </w:p>
        </w:tc>
        <w:tc>
          <w:tcPr>
            <w:tcW w:type="dxa" w:w="22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Held-out ANV test split plus WAXAL TTS</w:t>
            </w:r>
          </w:p>
        </w:tc>
        <w:tc>
          <w:tcPr>
            <w:tcW w:type="dxa" w:w="24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Publisher-defined</w:t>
            </w:r>
          </w:p>
        </w:tc>
        <w:tc>
          <w:tcPr>
            <w:tcW w:type="dxa" w:w="23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Comparability with published results and with Paza</w:t>
            </w:r>
          </w:p>
        </w:tc>
      </w:tr>
      <w:tr>
        <w:trPr>
          <w:tblHeader w:val="false"/>
        </w:trPr>
        <w:tc>
          <w:tcPr>
            <w:tcW w:type="dxa" w:w="21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FILTER-REF</w:t>
            </w:r>
          </w:p>
        </w:tc>
        <w:tc>
          <w:tcPr>
            <w:tcW w:type="dxa" w:w="22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Four hours per station, all content types labelled</w:t>
            </w:r>
          </w:p>
        </w:tc>
        <w:tc>
          <w:tcPr>
            <w:tcW w:type="dxa" w:w="2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24 h total</w:t>
            </w:r>
          </w:p>
        </w:tc>
        <w:tc>
          <w:tcPr>
            <w:tcW w:type="dxa" w:w="23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Filter precision and recall</w:t>
            </w:r>
          </w:p>
        </w:tc>
      </w:tr>
    </w:tbl>
    <w:tbl>
      <w:tblPr>
        <w:tblW w:type="dxa" w:w="9020"/>
        <w:tblBorders>
          <w:top w:val="single" w:color="2E74B5" w:sz="4"/>
          <w:left w:val="single" w:color="2E74B5" w:sz="18"/>
          <w:bottom w:val="single" w:color="2E74B5" w:sz="4"/>
          <w:right w:val="single" w:color="2E74B5" w:sz="4"/>
          <w:insideH w:val="none"/>
          <w:insideV w:val="none"/>
        </w:tblBorders>
      </w:tblPr>
      <w:tblGrid>
        <w:gridCol w:w="9020"/>
      </w:tblGrid>
      <w:tr>
        <w:tc>
          <w:tcPr>
            <w:tcW w:type="dxa" w:w="9020"/>
            <w:shd w:fill="EEF4FB" w:color="auto" w:val="clear"/>
            <w:tcMar>
              <w:top w:type="dxa" w:w="130"/>
              <w:left w:type="dxa" w:w="170"/>
              <w:bottom w:type="dxa" w:w="130"/>
              <w:right w:type="dxa" w:w="140"/>
            </w:tcMar>
          </w:tcPr>
          <w:p>
            <w:pPr>
              <w:spacing w:after="60"/>
            </w:pPr>
            <w:r>
              <w:rPr>
                <w:rFonts w:ascii="Calibri" w:cs="Calibri" w:eastAsia="Calibri" w:hAnsi="Calibri"/>
                <w:b/>
                <w:bCs/>
                <w:color w:val="1F4E79"/>
                <w:sz w:val="20"/>
                <w:szCs w:val="20"/>
              </w:rPr>
              <w:t xml:space="preserve">Rules that make the numbers mean something</w:t>
            </w:r>
          </w:p>
          <w:p>
            <w:pPr>
              <w:spacing w:after="50" w:line="264"/>
            </w:pPr>
            <w:r>
              <w:rPr>
                <w:rFonts w:ascii="Calibri" w:cs="Calibri" w:eastAsia="Calibri" w:hAnsi="Calibri"/>
                <w:sz w:val="20"/>
                <w:szCs w:val="20"/>
              </w:rPr>
              <w:t xml:space="preserve">The broadcast reference sets are frozen before Step 2 training begins, and are never trained on, augmented from, or tuned against in any step.</w:t>
            </w:r>
          </w:p>
          <w:p>
            <w:pPr>
              <w:spacing w:after="50" w:line="264"/>
            </w:pPr>
            <w:r>
              <w:rPr>
                <w:rFonts w:ascii="Calibri" w:cs="Calibri" w:eastAsia="Calibri" w:hAnsi="Calibri"/>
                <w:sz w:val="20"/>
                <w:szCs w:val="20"/>
              </w:rPr>
              <w:t xml:space="preserve">Transcription of the reference sets is the one place where a native-speaker contribution is unavoidable even without hiring respondents. Four to six hours of expert transcription per language is a small, bounded engagement — commission it early, because everything downstream waits on it.</w:t>
            </w:r>
          </w:p>
          <w:p>
            <w:pPr>
              <w:spacing w:after="50" w:line="264"/>
            </w:pPr>
            <w:r>
              <w:rPr>
                <w:rFonts w:ascii="Calibri" w:cs="Calibri" w:eastAsia="Calibri" w:hAnsi="Calibri"/>
                <w:sz w:val="20"/>
                <w:szCs w:val="20"/>
              </w:rPr>
              <w:t xml:space="preserve">Report WER on normalised text with the rule set published alongside the number (casing, punctuation, diacritics, number formatting, disfluencies). An unstated normalisation policy can move WER by ten points or more and makes cross-run comparison meaningless.</w:t>
            </w:r>
          </w:p>
          <w:p>
            <w:pPr>
              <w:spacing w:after="50" w:line="264"/>
            </w:pPr>
            <w:r>
              <w:rPr>
                <w:rFonts w:ascii="Calibri" w:cs="Calibri" w:eastAsia="Calibri" w:hAnsi="Calibri"/>
                <w:sz w:val="20"/>
                <w:szCs w:val="20"/>
              </w:rPr>
              <w:t xml:space="preserve">Report per-station and per-daypart breakdowns, not one aggregate figure. Studio bulletin WER and telephone call-in WER differ enormously, and an average conceals both.</w:t>
            </w:r>
          </w:p>
        </w:tc>
      </w:tr>
    </w:tbl>
    <w:p>
      <w:pPr>
        <w:pStyle w:val="Heading2"/>
        <w:spacing w:after="120" w:before="260"/>
      </w:pPr>
      <w:r>
        <w:t xml:space="preserve">9.2 Metrics reported</w:t>
      </w:r>
    </w:p>
    <w:p>
      <w:pPr>
        <w:pStyle w:val="ListParagraph"/>
        <w:numPr>
          <w:ilvl w:val="0"/>
          <w:numId w:val="2"/>
        </w:numPr>
        <w:spacing w:after="70" w:line="276"/>
      </w:pPr>
      <w:r>
        <w:rPr>
          <w:rFonts w:ascii="Calibri" w:cs="Calibri" w:eastAsia="Calibri" w:hAnsi="Calibri"/>
          <w:sz w:val="21"/>
          <w:szCs w:val="21"/>
        </w:rPr>
        <w:t xml:space="preserve">WER and CER per language, per station, per programme type. CER matters for Kikuyu and Dholuo where morphology makes word-level scoring harsh.</w:t>
      </w:r>
    </w:p>
    <w:p>
      <w:pPr>
        <w:pStyle w:val="ListParagraph"/>
        <w:numPr>
          <w:ilvl w:val="0"/>
          <w:numId w:val="2"/>
        </w:numPr>
        <w:spacing w:after="70" w:line="276"/>
      </w:pPr>
      <w:r>
        <w:rPr>
          <w:rFonts w:ascii="Calibri" w:cs="Calibri" w:eastAsia="Calibri" w:hAnsi="Calibri"/>
          <w:sz w:val="21"/>
          <w:szCs w:val="21"/>
        </w:rPr>
        <w:t xml:space="preserve">Routing accuracy and the confusion matrix across packs.</w:t>
      </w:r>
    </w:p>
    <w:p>
      <w:pPr>
        <w:pStyle w:val="ListParagraph"/>
        <w:numPr>
          <w:ilvl w:val="0"/>
          <w:numId w:val="2"/>
        </w:numPr>
        <w:spacing w:after="70" w:line="276"/>
      </w:pPr>
      <w:r>
        <w:rPr>
          <w:rFonts w:ascii="Calibri" w:cs="Calibri" w:eastAsia="Calibri" w:hAnsi="Calibri"/>
          <w:sz w:val="21"/>
          <w:szCs w:val="21"/>
        </w:rPr>
        <w:t xml:space="preserve">Filter recall on advertisement/music, and speech-loss rate.</w:t>
      </w:r>
    </w:p>
    <w:p>
      <w:pPr>
        <w:pStyle w:val="ListParagraph"/>
        <w:numPr>
          <w:ilvl w:val="0"/>
          <w:numId w:val="2"/>
        </w:numPr>
        <w:spacing w:after="70" w:line="276"/>
      </w:pPr>
      <w:r>
        <w:rPr>
          <w:rFonts w:ascii="Calibri" w:cs="Calibri" w:eastAsia="Calibri" w:hAnsi="Calibri"/>
          <w:sz w:val="21"/>
          <w:szCs w:val="21"/>
        </w:rPr>
        <w:t xml:space="preserve">Hallucination rate — quarantined segments as a share of total.</w:t>
      </w:r>
    </w:p>
    <w:p>
      <w:pPr>
        <w:pStyle w:val="ListParagraph"/>
        <w:numPr>
          <w:ilvl w:val="0"/>
          <w:numId w:val="2"/>
        </w:numPr>
        <w:spacing w:after="70" w:line="276"/>
      </w:pPr>
      <w:r>
        <w:rPr>
          <w:rFonts w:ascii="Calibri" w:cs="Calibri" w:eastAsia="Calibri" w:hAnsi="Calibri"/>
          <w:sz w:val="21"/>
          <w:szCs w:val="21"/>
        </w:rPr>
        <w:t xml:space="preserve">Translation adequacy on a sampled basis, human-rated on a simple adequacy/fluency scale; automatic MT metrics are unreliable for these language pairs.</w:t>
      </w:r>
    </w:p>
    <w:p>
      <w:pPr>
        <w:pStyle w:val="ListParagraph"/>
        <w:numPr>
          <w:ilvl w:val="0"/>
          <w:numId w:val="2"/>
        </w:numPr>
        <w:spacing w:after="70" w:line="276"/>
      </w:pPr>
      <w:r>
        <w:rPr>
          <w:rFonts w:ascii="Calibri" w:cs="Calibri" w:eastAsia="Calibri" w:hAnsi="Calibri"/>
          <w:sz w:val="21"/>
          <w:szCs w:val="21"/>
        </w:rPr>
        <w:t xml:space="preserve">End-to-end latency from broadcast to searchable transcript, and realtime factor per pack.</w:t>
      </w:r>
    </w:p>
    <w:p>
      <w:r>
        <w:br w:type="page"/>
      </w:r>
    </w:p>
    <w:p>
      <w:pPr>
        <w:pStyle w:val="Heading1"/>
        <w:spacing w:after="160" w:before="320"/>
      </w:pPr>
      <w:r>
        <w:t xml:space="preserve">10. User Interface and System Considerations</w:t>
      </w:r>
    </w:p>
    <w:p>
      <w:pPr>
        <w:spacing w:after="120" w:line="276"/>
      </w:pPr>
      <w:r>
        <w:rPr>
          <w:rFonts w:ascii="Calibri" w:cs="Calibri" w:eastAsia="Calibri" w:hAnsi="Calibri"/>
          <w:sz w:val="21"/>
          <w:szCs w:val="21"/>
        </w:rPr>
        <w:t xml:space="preserve">The UI is not presentation over a finished pipeline. It is the mechanism by which the pipeline improves, because it is where corrections are captured — and corrections are the training data that replaces paid respondents.</w:t>
      </w:r>
    </w:p>
    <w:p>
      <w:pPr>
        <w:pStyle w:val="Heading2"/>
        <w:spacing w:after="120" w:before="260"/>
      </w:pPr>
      <w:r>
        <w:t xml:space="preserve">10.1 Ingest monitor</w:t>
      </w:r>
    </w:p>
    <w:p>
      <w:pPr>
        <w:pStyle w:val="ListParagraph"/>
        <w:numPr>
          <w:ilvl w:val="0"/>
          <w:numId w:val="2"/>
        </w:numPr>
        <w:spacing w:after="70" w:line="276"/>
      </w:pPr>
      <w:r>
        <w:rPr>
          <w:rFonts w:ascii="Calibri" w:cs="Calibri" w:eastAsia="Calibri" w:hAnsi="Calibri"/>
          <w:sz w:val="21"/>
          <w:szCs w:val="21"/>
        </w:rPr>
        <w:t xml:space="preserve">Live status for all six channels: connected, buffering, disconnected, with uptime over 24 hours and 7 days.</w:t>
      </w:r>
    </w:p>
    <w:p>
      <w:pPr>
        <w:pStyle w:val="ListParagraph"/>
        <w:numPr>
          <w:ilvl w:val="0"/>
          <w:numId w:val="2"/>
        </w:numPr>
        <w:spacing w:after="70" w:line="276"/>
      </w:pPr>
      <w:r>
        <w:rPr>
          <w:rFonts w:ascii="Calibri" w:cs="Calibri" w:eastAsia="Calibri" w:hAnsi="Calibri"/>
          <w:sz w:val="21"/>
          <w:szCs w:val="21"/>
        </w:rPr>
        <w:t xml:space="preserve">Explicit gap register — every capture interruption listed with cause and duration, never silently absorbed.</w:t>
      </w:r>
    </w:p>
    <w:p>
      <w:pPr>
        <w:pStyle w:val="ListParagraph"/>
        <w:numPr>
          <w:ilvl w:val="0"/>
          <w:numId w:val="2"/>
        </w:numPr>
        <w:spacing w:after="70" w:line="276"/>
      </w:pPr>
      <w:r>
        <w:rPr>
          <w:rFonts w:ascii="Calibri" w:cs="Calibri" w:eastAsia="Calibri" w:hAnsi="Calibri"/>
          <w:sz w:val="21"/>
          <w:szCs w:val="21"/>
        </w:rPr>
        <w:t xml:space="preserve">Disk usage, retention horizon and projected exhaustion date.</w:t>
      </w:r>
    </w:p>
    <w:p>
      <w:pPr>
        <w:pStyle w:val="ListParagraph"/>
        <w:numPr>
          <w:ilvl w:val="0"/>
          <w:numId w:val="2"/>
        </w:numPr>
        <w:spacing w:after="70" w:line="276"/>
      </w:pPr>
      <w:r>
        <w:rPr>
          <w:rFonts w:ascii="Calibri" w:cs="Calibri" w:eastAsia="Calibri" w:hAnsi="Calibri"/>
          <w:sz w:val="21"/>
          <w:szCs w:val="21"/>
        </w:rPr>
        <w:t xml:space="preserve">Transcription queue depth, throughput and backlog by station and priority.</w:t>
      </w:r>
    </w:p>
    <w:p>
      <w:pPr>
        <w:pStyle w:val="Heading2"/>
        <w:spacing w:after="120" w:before="260"/>
      </w:pPr>
      <w:r>
        <w:t xml:space="preserve">10.2 Media library and original-data preservation</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2300"/>
        <w:gridCol w:w="6720"/>
      </w:tblGrid>
      <w:tr>
        <w:trPr>
          <w:tblHeader/>
        </w:trPr>
        <w:tc>
          <w:tcPr>
            <w:tcW w:type="dxa" w:w="23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Requirement</w:t>
            </w:r>
          </w:p>
        </w:tc>
        <w:tc>
          <w:tcPr>
            <w:tcW w:type="dxa" w:w="67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Implementation</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Immutability</w:t>
            </w:r>
          </w:p>
        </w:tc>
        <w:tc>
          <w:tcPr>
            <w:tcW w:type="dxa" w:w="6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Captured audio is write-once. No pipeline stage ever modifies a source file; derived audio is written to separate paths.</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Integrity</w:t>
            </w:r>
          </w:p>
        </w:tc>
        <w:tc>
          <w:tcPr>
            <w:tcW w:type="dxa" w:w="67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SHA-256 recorded at capture and verifiable on demand. Any report can be traced to a verified source file.</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Provenance</w:t>
            </w:r>
          </w:p>
        </w:tc>
        <w:tc>
          <w:tcPr>
            <w:tcW w:type="dxa" w:w="6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Every segment carries station, stream URL, capture host, software version, UTC timestamp and duration.</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Chain of custody</w:t>
            </w:r>
          </w:p>
        </w:tc>
        <w:tc>
          <w:tcPr>
            <w:tcW w:type="dxa" w:w="67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An append-only audit log of every access, export and edit, with user and timestamp. This is what makes reporting defensible if it is ever challenged.</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Retention</w:t>
            </w:r>
          </w:p>
        </w:tc>
        <w:tc>
          <w:tcPr>
            <w:tcW w:type="dxa" w:w="6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Configurable per station and content class. Advertisement and music audio can be discarded after fingerprinting; speech audio is retained for the full POC.</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Search over raw media</w:t>
            </w:r>
          </w:p>
        </w:tc>
        <w:tc>
          <w:tcPr>
            <w:tcW w:type="dxa" w:w="67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Browse and play by station, date, time and content type independently of whether a transcript exists.</w:t>
            </w:r>
          </w:p>
        </w:tc>
      </w:tr>
    </w:tbl>
    <w:p>
      <w:pPr>
        <w:pStyle w:val="Heading2"/>
        <w:spacing w:after="120" w:before="260"/>
      </w:pPr>
      <w:r>
        <w:t xml:space="preserve">10.3 Transcript workspace</w:t>
      </w:r>
    </w:p>
    <w:p>
      <w:pPr>
        <w:pStyle w:val="ListParagraph"/>
        <w:numPr>
          <w:ilvl w:val="0"/>
          <w:numId w:val="2"/>
        </w:numPr>
        <w:spacing w:after="70" w:line="276"/>
      </w:pPr>
      <w:r>
        <w:rPr>
          <w:rFonts w:ascii="Calibri" w:cs="Calibri" w:eastAsia="Calibri" w:hAnsi="Calibri"/>
          <w:sz w:val="21"/>
          <w:szCs w:val="21"/>
        </w:rPr>
        <w:t xml:space="preserve">Synchronised waveform and transcript: clicking any word seeks the audio to that word, using the forced-alignment timestamps.</w:t>
      </w:r>
    </w:p>
    <w:p>
      <w:pPr>
        <w:pStyle w:val="ListParagraph"/>
        <w:numPr>
          <w:ilvl w:val="0"/>
          <w:numId w:val="2"/>
        </w:numPr>
        <w:spacing w:after="70" w:line="276"/>
      </w:pPr>
      <w:r>
        <w:rPr>
          <w:rFonts w:ascii="Calibri" w:cs="Calibri" w:eastAsia="Calibri" w:hAnsi="Calibri"/>
          <w:sz w:val="21"/>
          <w:szCs w:val="21"/>
        </w:rPr>
        <w:t xml:space="preserve">Dual-pane vernacular and English display, always visible together — never English alone.</w:t>
      </w:r>
    </w:p>
    <w:p>
      <w:pPr>
        <w:pStyle w:val="ListParagraph"/>
        <w:numPr>
          <w:ilvl w:val="0"/>
          <w:numId w:val="2"/>
        </w:numPr>
        <w:spacing w:after="70" w:line="276"/>
      </w:pPr>
      <w:r>
        <w:rPr>
          <w:rFonts w:ascii="Calibri" w:cs="Calibri" w:eastAsia="Calibri" w:hAnsi="Calibri"/>
          <w:sz w:val="21"/>
          <w:szCs w:val="21"/>
        </w:rPr>
        <w:t xml:space="preserve">Per-segment language badge showing the assigned pack and routing confidence, with a colour-coded confidence heat map over the transcript so low-confidence passages are visually obvious.</w:t>
      </w:r>
    </w:p>
    <w:p>
      <w:pPr>
        <w:pStyle w:val="ListParagraph"/>
        <w:numPr>
          <w:ilvl w:val="0"/>
          <w:numId w:val="2"/>
        </w:numPr>
        <w:spacing w:after="70" w:line="276"/>
      </w:pPr>
      <w:r>
        <w:rPr>
          <w:rFonts w:ascii="Calibri" w:cs="Calibri" w:eastAsia="Calibri" w:hAnsi="Calibri"/>
          <w:sz w:val="21"/>
          <w:szCs w:val="21"/>
        </w:rPr>
        <w:t xml:space="preserve">Sheng and code-switch spans visibly tagged inline, per the annotation standard.</w:t>
      </w:r>
    </w:p>
    <w:p>
      <w:pPr>
        <w:pStyle w:val="ListParagraph"/>
        <w:numPr>
          <w:ilvl w:val="0"/>
          <w:numId w:val="2"/>
        </w:numPr>
        <w:spacing w:after="70" w:line="276"/>
      </w:pPr>
      <w:r>
        <w:rPr>
          <w:rFonts w:ascii="Calibri" w:cs="Calibri" w:eastAsia="Calibri" w:hAnsi="Calibri"/>
          <w:sz w:val="21"/>
          <w:szCs w:val="21"/>
        </w:rPr>
        <w:t xml:space="preserve">Quarantine queue for segments that failed the hallucination filter.</w:t>
      </w:r>
    </w:p>
    <w:p>
      <w:pPr>
        <w:pStyle w:val="ListParagraph"/>
        <w:numPr>
          <w:ilvl w:val="0"/>
          <w:numId w:val="2"/>
        </w:numPr>
        <w:spacing w:after="70" w:line="276"/>
      </w:pPr>
      <w:r>
        <w:rPr>
          <w:rFonts w:ascii="Calibri" w:cs="Calibri" w:eastAsia="Calibri" w:hAnsi="Calibri"/>
          <w:sz w:val="21"/>
          <w:szCs w:val="21"/>
        </w:rPr>
        <w:t xml:space="preserve">Speaker turn display from diarization, with generic labels (Speaker 1, Caller 2) — not identity.</w:t>
      </w:r>
    </w:p>
    <w:p>
      <w:pPr>
        <w:pStyle w:val="Heading2"/>
        <w:spacing w:after="120" w:before="260"/>
      </w:pPr>
      <w:r>
        <w:t xml:space="preserve">10.4 Correction workflow — the flywheel</w:t>
      </w:r>
    </w:p>
    <w:tbl>
      <w:tblPr>
        <w:tblW w:type="dxa" w:w="9020"/>
        <w:tblBorders>
          <w:top w:val="single" w:color="2E74B5" w:sz="4"/>
          <w:left w:val="single" w:color="2E74B5" w:sz="18"/>
          <w:bottom w:val="single" w:color="2E74B5" w:sz="4"/>
          <w:right w:val="single" w:color="2E74B5" w:sz="4"/>
          <w:insideH w:val="none"/>
          <w:insideV w:val="none"/>
        </w:tblBorders>
      </w:tblPr>
      <w:tblGrid>
        <w:gridCol w:w="9020"/>
      </w:tblGrid>
      <w:tr>
        <w:tc>
          <w:tcPr>
            <w:tcW w:type="dxa" w:w="9020"/>
            <w:shd w:fill="EEF4FB" w:color="auto" w:val="clear"/>
            <w:tcMar>
              <w:top w:type="dxa" w:w="130"/>
              <w:left w:type="dxa" w:w="170"/>
              <w:bottom w:type="dxa" w:w="130"/>
              <w:right w:type="dxa" w:w="140"/>
            </w:tcMar>
          </w:tcPr>
          <w:p>
            <w:pPr>
              <w:spacing w:after="60"/>
            </w:pPr>
            <w:r>
              <w:rPr>
                <w:rFonts w:ascii="Calibri" w:cs="Calibri" w:eastAsia="Calibri" w:hAnsi="Calibri"/>
                <w:b/>
                <w:bCs/>
                <w:color w:val="1F4E79"/>
                <w:sz w:val="20"/>
                <w:szCs w:val="20"/>
              </w:rPr>
              <w:t xml:space="preserve">This is how the system improves without hiring respondents</w:t>
            </w:r>
          </w:p>
          <w:p>
            <w:pPr>
              <w:spacing w:after="50" w:line="264"/>
            </w:pPr>
            <w:r>
              <w:rPr>
                <w:rFonts w:ascii="Calibri" w:cs="Calibri" w:eastAsia="Calibri" w:hAnsi="Calibri"/>
                <w:sz w:val="20"/>
                <w:szCs w:val="20"/>
              </w:rPr>
              <w:t xml:space="preserve">Every correction an analyst makes in the course of normal work is a perfectly labelled, perfectly in-domain training pair: real broadcast audio with a verified transcript. This is strictly more valuable per hour than studio-read data, because it comes from the exact acoustic conditions and exact vocabulary the deployed model must handle.</w:t>
            </w:r>
          </w:p>
          <w:p>
            <w:pPr>
              <w:spacing w:after="50" w:line="264"/>
            </w:pPr>
            <w:r>
              <w:rPr>
                <w:rFonts w:ascii="Calibri" w:cs="Calibri" w:eastAsia="Calibri" w:hAnsi="Calibri"/>
                <w:sz w:val="20"/>
                <w:szCs w:val="20"/>
              </w:rPr>
              <w:t xml:space="preserve">An analyst correcting transcripts as part of their job therefore generates the in-domain corpus that Section 4.4 identifies as the dominant factor in broadcast WER. Capture it deliberately: store every correction with the audio span, the original hypothesis, the corrected text, the corrector and the timestamp, and make export to a training manifest a one-click operation.</w:t>
            </w:r>
          </w:p>
          <w:p>
            <w:pPr>
              <w:spacing w:after="50" w:line="264"/>
            </w:pPr>
            <w:r>
              <w:rPr>
                <w:rFonts w:ascii="Calibri" w:cs="Calibri" w:eastAsia="Calibri" w:hAnsi="Calibri"/>
                <w:sz w:val="20"/>
                <w:szCs w:val="20"/>
              </w:rPr>
              <w:t xml:space="preserve">Build this in Step 1, not Step 3. Corrections made during baseline evaluation are the highest-value data in the whole POC, and they are lost forever if the mechanism does not exist when the baseline is run.</w:t>
            </w:r>
          </w:p>
        </w:tc>
      </w:tr>
    </w:tbl>
    <w:p>
      <w:pPr>
        <w:pStyle w:val="Heading2"/>
        <w:spacing w:after="120" w:before="260"/>
      </w:pPr>
      <w:r>
        <w:t xml:space="preserve">10.5 User recordings and ad-hoc media</w:t>
      </w:r>
    </w:p>
    <w:p>
      <w:pPr>
        <w:pStyle w:val="ListParagraph"/>
        <w:numPr>
          <w:ilvl w:val="0"/>
          <w:numId w:val="2"/>
        </w:numPr>
        <w:spacing w:after="70" w:line="276"/>
      </w:pPr>
      <w:r>
        <w:rPr>
          <w:rFonts w:ascii="Calibri" w:cs="Calibri" w:eastAsia="Calibri" w:hAnsi="Calibri"/>
          <w:sz w:val="21"/>
          <w:szCs w:val="21"/>
        </w:rPr>
        <w:t xml:space="preserve">Analysts can upload their own audio or video — a field recording, a WhatsApp voice note, a clip from another source — and run it through the same pipeline with a chosen or auto-routed pack.</w:t>
      </w:r>
    </w:p>
    <w:p>
      <w:pPr>
        <w:pStyle w:val="ListParagraph"/>
        <w:numPr>
          <w:ilvl w:val="0"/>
          <w:numId w:val="2"/>
        </w:numPr>
        <w:spacing w:after="70" w:line="276"/>
      </w:pPr>
      <w:r>
        <w:rPr>
          <w:rFonts w:ascii="Calibri" w:cs="Calibri" w:eastAsia="Calibri" w:hAnsi="Calibri"/>
          <w:sz w:val="21"/>
          <w:szCs w:val="21"/>
        </w:rPr>
        <w:t xml:space="preserve">Uploaded media enters the same immutable store with the same provenance fields, marked with source type "user upload" and the uploading user.</w:t>
      </w:r>
    </w:p>
    <w:p>
      <w:pPr>
        <w:pStyle w:val="ListParagraph"/>
        <w:numPr>
          <w:ilvl w:val="0"/>
          <w:numId w:val="2"/>
        </w:numPr>
        <w:spacing w:after="70" w:line="276"/>
      </w:pPr>
      <w:r>
        <w:rPr>
          <w:rFonts w:ascii="Calibri" w:cs="Calibri" w:eastAsia="Calibri" w:hAnsi="Calibri"/>
          <w:sz w:val="21"/>
          <w:szCs w:val="21"/>
        </w:rPr>
        <w:t xml:space="preserve">Format tolerance via ffmpeg: any container, any codec, any sample rate, normalised on ingest.</w:t>
      </w:r>
    </w:p>
    <w:p>
      <w:pPr>
        <w:pStyle w:val="ListParagraph"/>
        <w:numPr>
          <w:ilvl w:val="0"/>
          <w:numId w:val="2"/>
        </w:numPr>
        <w:spacing w:after="70" w:line="276"/>
      </w:pPr>
      <w:r>
        <w:rPr>
          <w:rFonts w:ascii="Calibri" w:cs="Calibri" w:eastAsia="Calibri" w:hAnsi="Calibri"/>
          <w:sz w:val="21"/>
          <w:szCs w:val="21"/>
        </w:rPr>
        <w:t xml:space="preserve">Same correction workflow, so ad-hoc uploads also feed the training flywheel.</w:t>
      </w:r>
    </w:p>
    <w:p>
      <w:pPr>
        <w:pStyle w:val="ListParagraph"/>
        <w:numPr>
          <w:ilvl w:val="0"/>
          <w:numId w:val="2"/>
        </w:numPr>
        <w:spacing w:after="70" w:line="276"/>
      </w:pPr>
      <w:r>
        <w:rPr>
          <w:rFonts w:ascii="Calibri" w:cs="Calibri" w:eastAsia="Calibri" w:hAnsi="Calibri"/>
          <w:sz w:val="21"/>
          <w:szCs w:val="21"/>
        </w:rPr>
        <w:t xml:space="preserve">Clear separation in search and reporting between broadcast-monitored content and user-supplied content — they have different evidential weight.</w:t>
      </w:r>
    </w:p>
    <w:p>
      <w:pPr>
        <w:pStyle w:val="Heading2"/>
        <w:spacing w:after="120" w:before="260"/>
      </w:pPr>
      <w:r>
        <w:t xml:space="preserve">10.6 Search, alerting and reporting</w:t>
      </w:r>
    </w:p>
    <w:p>
      <w:pPr>
        <w:pStyle w:val="ListParagraph"/>
        <w:numPr>
          <w:ilvl w:val="0"/>
          <w:numId w:val="2"/>
        </w:numPr>
        <w:spacing w:after="70" w:line="276"/>
      </w:pPr>
      <w:r>
        <w:rPr>
          <w:rFonts w:ascii="Calibri" w:cs="Calibri" w:eastAsia="Calibri" w:hAnsi="Calibri"/>
          <w:sz w:val="21"/>
          <w:szCs w:val="21"/>
        </w:rPr>
        <w:t xml:space="preserve">Full-text search across vernacular and English simultaneously, with hit highlighting in both panes.</w:t>
      </w:r>
    </w:p>
    <w:p>
      <w:pPr>
        <w:pStyle w:val="ListParagraph"/>
        <w:numPr>
          <w:ilvl w:val="0"/>
          <w:numId w:val="2"/>
        </w:numPr>
        <w:spacing w:after="70" w:line="276"/>
      </w:pPr>
      <w:r>
        <w:rPr>
          <w:rFonts w:ascii="Calibri" w:cs="Calibri" w:eastAsia="Calibri" w:hAnsi="Calibri"/>
          <w:sz w:val="21"/>
          <w:szCs w:val="21"/>
        </w:rPr>
        <w:t xml:space="preserve">Watchlists of names, places, organisations and phrases, matched in both languages with vernacular spelling variants, generating alerts.</w:t>
      </w:r>
    </w:p>
    <w:p>
      <w:pPr>
        <w:pStyle w:val="ListParagraph"/>
        <w:numPr>
          <w:ilvl w:val="0"/>
          <w:numId w:val="2"/>
        </w:numPr>
        <w:spacing w:after="70" w:line="276"/>
      </w:pPr>
      <w:r>
        <w:rPr>
          <w:rFonts w:ascii="Calibri" w:cs="Calibri" w:eastAsia="Calibri" w:hAnsi="Calibri"/>
          <w:sz w:val="21"/>
          <w:szCs w:val="21"/>
        </w:rPr>
        <w:t xml:space="preserve">Saved queries running continuously against the incoming stream.</w:t>
      </w:r>
    </w:p>
    <w:p>
      <w:pPr>
        <w:pStyle w:val="ListParagraph"/>
        <w:numPr>
          <w:ilvl w:val="0"/>
          <w:numId w:val="2"/>
        </w:numPr>
        <w:spacing w:after="70" w:line="276"/>
      </w:pPr>
      <w:r>
        <w:rPr>
          <w:rFonts w:ascii="Calibri" w:cs="Calibri" w:eastAsia="Calibri" w:hAnsi="Calibri"/>
          <w:sz w:val="21"/>
          <w:szCs w:val="21"/>
        </w:rPr>
        <w:t xml:space="preserve">Report builder producing periodic (daily, weekly) and on-demand reports, with every assertion linked to a transcript segment and through it to an audio timestamp.</w:t>
      </w:r>
    </w:p>
    <w:p>
      <w:pPr>
        <w:pStyle w:val="ListParagraph"/>
        <w:numPr>
          <w:ilvl w:val="0"/>
          <w:numId w:val="2"/>
        </w:numPr>
        <w:spacing w:after="70" w:line="276"/>
      </w:pPr>
      <w:r>
        <w:rPr>
          <w:rFonts w:ascii="Calibri" w:cs="Calibri" w:eastAsia="Calibri" w:hAnsi="Calibri"/>
          <w:sz w:val="21"/>
          <w:szCs w:val="21"/>
        </w:rPr>
        <w:t xml:space="preserve">Export to DOCX and PDF with the source-attribution and dataset-licence acknowledgements required by Section 5.2.</w:t>
      </w:r>
    </w:p>
    <w:p>
      <w:pPr>
        <w:pStyle w:val="ListParagraph"/>
        <w:numPr>
          <w:ilvl w:val="0"/>
          <w:numId w:val="2"/>
        </w:numPr>
        <w:spacing w:after="70" w:line="276"/>
      </w:pPr>
      <w:r>
        <w:rPr>
          <w:rFonts w:ascii="Calibri" w:cs="Calibri" w:eastAsia="Calibri" w:hAnsi="Calibri"/>
          <w:sz w:val="21"/>
          <w:szCs w:val="21"/>
        </w:rPr>
        <w:t xml:space="preserve">A confidence indicator on every reported item, so an analyst can see when a claim rests on a low-confidence transcription or a weak translation.</w:t>
      </w:r>
    </w:p>
    <w:p>
      <w:pPr>
        <w:pStyle w:val="Heading2"/>
        <w:spacing w:after="120" w:before="260"/>
      </w:pPr>
      <w:r>
        <w:t xml:space="preserve">10.7 Technical stance for the POC</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2300"/>
        <w:gridCol w:w="6720"/>
      </w:tblGrid>
      <w:tr>
        <w:trPr>
          <w:tblHeader/>
        </w:trPr>
        <w:tc>
          <w:tcPr>
            <w:tcW w:type="dxa" w:w="23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Concern</w:t>
            </w:r>
          </w:p>
        </w:tc>
        <w:tc>
          <w:tcPr>
            <w:tcW w:type="dxa" w:w="67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POC decision</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Deployment</w:t>
            </w:r>
          </w:p>
        </w:tc>
        <w:tc>
          <w:tcPr>
            <w:tcW w:type="dxa" w:w="6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Single-node, local. Docker Desktop is already installed and is the natural packaging choice, which also makes the eventual move to a server or to GCP a repackaging rather than a rewrite.</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UI technology</w:t>
            </w:r>
          </w:p>
        </w:tc>
        <w:tc>
          <w:tcPr>
            <w:tcW w:type="dxa" w:w="67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Local web application. Browser-based from day one avoids a desktop-to-web migration later.</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Database</w:t>
            </w:r>
          </w:p>
        </w:tc>
        <w:tc>
          <w:tcPr>
            <w:tcW w:type="dxa" w:w="6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SQLite or PostgreSQL for metadata and transcripts, plus a full-text index. Audio stays on the filesystem, never in the database.</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Encoding</w:t>
            </w:r>
          </w:p>
        </w:tc>
        <w:tc>
          <w:tcPr>
            <w:tcW w:type="dxa" w:w="67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UTF-8 end to end, verified at every boundary. Kikuyu ĩ and ũ must survive capture, database, model, translation, UI and DOCX export. Test this explicitly with a fixture string — it is the single most common silent failure in multilingual systems.</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Time</w:t>
            </w:r>
          </w:p>
        </w:tc>
        <w:tc>
          <w:tcPr>
            <w:tcW w:type="dxa" w:w="6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UTC in storage, East Africa Time in the interface, both recorded. Broadcast analysis is time-sensitive and off-by-three-hours errors are easy to make and hard to notice.</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Access control</w:t>
            </w:r>
          </w:p>
        </w:tc>
        <w:tc>
          <w:tcPr>
            <w:tcW w:type="dxa" w:w="67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Role separation between analyst, reviewer and administrator, even in a single-user POC, so the production model is exercised rather than retrofitted.</w:t>
            </w:r>
          </w:p>
        </w:tc>
      </w:tr>
    </w:tbl>
    <w:p>
      <w:r>
        <w:br w:type="page"/>
      </w:r>
    </w:p>
    <w:p>
      <w:pPr>
        <w:pStyle w:val="Heading1"/>
        <w:spacing w:after="160" w:before="320"/>
      </w:pPr>
      <w:r>
        <w:t xml:space="preserve">11. Downloads, Dependencies and Blockers</w:t>
      </w:r>
    </w:p>
    <w:p>
      <w:pPr>
        <w:spacing w:after="120" w:line="276"/>
      </w:pPr>
      <w:r>
        <w:rPr>
          <w:rFonts w:ascii="Calibri" w:cs="Calibri" w:eastAsia="Calibri" w:hAnsi="Calibri"/>
          <w:sz w:val="21"/>
          <w:szCs w:val="21"/>
        </w:rPr>
        <w:t xml:space="preserve">Everything the POC needs, with an explicit statement of what can be obtained autonomously on this machine and what requires human action. Items marked "Blocked" cannot be progressed without the named human step.</w:t>
      </w:r>
    </w:p>
    <w:p>
      <w:pPr>
        <w:pStyle w:val="Heading2"/>
        <w:spacing w:after="120" w:before="260"/>
      </w:pPr>
      <w:r>
        <w:t xml:space="preserve">11.1 Models</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2500"/>
        <w:gridCol w:w="2600"/>
        <w:gridCol w:w="1400"/>
        <w:gridCol w:w="2520"/>
      </w:tblGrid>
      <w:tr>
        <w:trPr>
          <w:tblHeader/>
        </w:trPr>
        <w:tc>
          <w:tcPr>
            <w:tcW w:type="dxa" w:w="25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Item</w:t>
            </w:r>
          </w:p>
        </w:tc>
        <w:tc>
          <w:tcPr>
            <w:tcW w:type="dxa" w:w="26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Source</w:t>
            </w:r>
          </w:p>
        </w:tc>
        <w:tc>
          <w:tcPr>
            <w:tcW w:type="dxa" w:w="14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Status</w:t>
            </w:r>
          </w:p>
        </w:tc>
        <w:tc>
          <w:tcPr>
            <w:tcW w:type="dxa" w:w="25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Note / blocker</w:t>
            </w:r>
          </w:p>
        </w:tc>
      </w:tr>
      <w:tr>
        <w:trPr>
          <w:tblHeader w:val="false"/>
        </w:trPr>
        <w:tc>
          <w:tcPr>
            <w:tcW w:type="dxa" w:w="25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openai/whisper-large-v3-turbo</w:t>
            </w:r>
          </w:p>
        </w:tc>
        <w:tc>
          <w:tcPr>
            <w:tcW w:type="dxa" w:w="26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Hugging Face</w:t>
            </w:r>
          </w:p>
        </w:tc>
        <w:tc>
          <w:tcPr>
            <w:tcW w:type="dxa" w:w="1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Downloadable</w:t>
            </w:r>
          </w:p>
        </w:tc>
        <w:tc>
          <w:tcPr>
            <w:tcW w:type="dxa" w:w="25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MIT. ~1.6 GB. The shared backbone.</w:t>
            </w:r>
          </w:p>
        </w:tc>
      </w:tr>
      <w:tr>
        <w:trPr>
          <w:tblHeader w:val="false"/>
        </w:trPr>
        <w:tc>
          <w:tcPr>
            <w:tcW w:type="dxa" w:w="25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microsoft/paza-whisper-large-v3-turbo</w:t>
            </w:r>
          </w:p>
        </w:tc>
        <w:tc>
          <w:tcPr>
            <w:tcW w:type="dxa" w:w="26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Hugging Face</w:t>
            </w:r>
          </w:p>
        </w:tc>
        <w:tc>
          <w:tcPr>
            <w:tcW w:type="dxa" w:w="14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Downloadable</w:t>
            </w:r>
          </w:p>
        </w:tc>
        <w:tc>
          <w:tcPr>
            <w:tcW w:type="dxa" w:w="25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MIT. ~1.6 GB. The Step 1 baseline for kik, luo and swh.</w:t>
            </w:r>
          </w:p>
        </w:tc>
      </w:tr>
      <w:tr>
        <w:trPr>
          <w:tblHeader w:val="false"/>
        </w:trPr>
        <w:tc>
          <w:tcPr>
            <w:tcW w:type="dxa" w:w="25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openchs/asr-whisper-largev3-finetuned</w:t>
            </w:r>
          </w:p>
        </w:tc>
        <w:tc>
          <w:tcPr>
            <w:tcW w:type="dxa" w:w="26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Hugging Face</w:t>
            </w:r>
          </w:p>
        </w:tc>
        <w:tc>
          <w:tcPr>
            <w:tcW w:type="dxa" w:w="1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Downloadable</w:t>
            </w:r>
          </w:p>
        </w:tc>
        <w:tc>
          <w:tcPr>
            <w:tcW w:type="dxa" w:w="25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Swahili candidate. Licence and provenance to be verified before use in training.</w:t>
            </w:r>
          </w:p>
        </w:tc>
      </w:tr>
      <w:tr>
        <w:trPr>
          <w:tblHeader w:val="false"/>
        </w:trPr>
        <w:tc>
          <w:tcPr>
            <w:tcW w:type="dxa" w:w="25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Sunbird/asr-whisper-51-african-languages</w:t>
            </w:r>
          </w:p>
        </w:tc>
        <w:tc>
          <w:tcPr>
            <w:tcW w:type="dxa" w:w="26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Hugging Face</w:t>
            </w:r>
          </w:p>
        </w:tc>
        <w:tc>
          <w:tcPr>
            <w:tcW w:type="dxa" w:w="14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Downloadable</w:t>
            </w:r>
          </w:p>
        </w:tc>
        <w:tc>
          <w:tcPr>
            <w:tcW w:type="dxa" w:w="25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Comparison point for Swahili and accented English.</w:t>
            </w:r>
          </w:p>
        </w:tc>
      </w:tr>
      <w:tr>
        <w:trPr>
          <w:tblHeader w:val="false"/>
        </w:trPr>
        <w:tc>
          <w:tcPr>
            <w:tcW w:type="dxa" w:w="25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NLLB-200 distilled 600M</w:t>
            </w:r>
          </w:p>
        </w:tc>
        <w:tc>
          <w:tcPr>
            <w:tcW w:type="dxa" w:w="26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Hugging Face</w:t>
            </w:r>
          </w:p>
        </w:tc>
        <w:tc>
          <w:tcPr>
            <w:tcW w:type="dxa" w:w="1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Downloadable</w:t>
            </w:r>
          </w:p>
        </w:tc>
        <w:tc>
          <w:tcPr>
            <w:tcW w:type="dxa" w:w="25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CC-BY-NC — non-commercial. Confirm this is compatible with the intended use of the system before it becomes load-bearing.</w:t>
            </w:r>
          </w:p>
        </w:tc>
      </w:tr>
      <w:tr>
        <w:trPr>
          <w:tblHeader w:val="false"/>
        </w:trPr>
        <w:tc>
          <w:tcPr>
            <w:tcW w:type="dxa" w:w="25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Silero VAD</w:t>
            </w:r>
          </w:p>
        </w:tc>
        <w:tc>
          <w:tcPr>
            <w:tcW w:type="dxa" w:w="26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GitHub / torch.hub</w:t>
            </w:r>
          </w:p>
        </w:tc>
        <w:tc>
          <w:tcPr>
            <w:tcW w:type="dxa" w:w="14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Downloadable</w:t>
            </w:r>
          </w:p>
        </w:tc>
        <w:tc>
          <w:tcPr>
            <w:tcW w:type="dxa" w:w="25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Small, permissive, CPU-friendly.</w:t>
            </w:r>
          </w:p>
        </w:tc>
      </w:tr>
      <w:tr>
        <w:trPr>
          <w:tblHeader w:val="false"/>
        </w:trPr>
        <w:tc>
          <w:tcPr>
            <w:tcW w:type="dxa" w:w="25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Diarization model</w:t>
            </w:r>
          </w:p>
        </w:tc>
        <w:tc>
          <w:tcPr>
            <w:tcW w:type="dxa" w:w="26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Hugging Face</w:t>
            </w:r>
          </w:p>
        </w:tc>
        <w:tc>
          <w:tcPr>
            <w:tcW w:type="dxa" w:w="1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Blocked</w:t>
            </w:r>
          </w:p>
        </w:tc>
        <w:tc>
          <w:tcPr>
            <w:tcW w:type="dxa" w:w="25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pyannote models are gated: require a Hugging Face account and acceptance of per-model terms. A human must accept them.</w:t>
            </w:r>
          </w:p>
        </w:tc>
      </w:tr>
    </w:tbl>
    <w:p>
      <w:pPr>
        <w:pStyle w:val="Heading2"/>
        <w:spacing w:after="120" w:before="260"/>
      </w:pPr>
      <w:r>
        <w:t xml:space="preserve">11.2 Datasets</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2500"/>
        <w:gridCol w:w="2600"/>
        <w:gridCol w:w="1400"/>
        <w:gridCol w:w="2520"/>
      </w:tblGrid>
      <w:tr>
        <w:trPr>
          <w:tblHeader/>
        </w:trPr>
        <w:tc>
          <w:tcPr>
            <w:tcW w:type="dxa" w:w="25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Item</w:t>
            </w:r>
          </w:p>
        </w:tc>
        <w:tc>
          <w:tcPr>
            <w:tcW w:type="dxa" w:w="26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Source</w:t>
            </w:r>
          </w:p>
        </w:tc>
        <w:tc>
          <w:tcPr>
            <w:tcW w:type="dxa" w:w="14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Status</w:t>
            </w:r>
          </w:p>
        </w:tc>
        <w:tc>
          <w:tcPr>
            <w:tcW w:type="dxa" w:w="25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Note / blocker</w:t>
            </w:r>
          </w:p>
        </w:tc>
      </w:tr>
      <w:tr>
        <w:trPr>
          <w:tblHeader w:val="false"/>
        </w:trPr>
        <w:tc>
          <w:tcPr>
            <w:tcW w:type="dxa" w:w="25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Africa Next Voices Kenya (kik 754 h, luo 723 h)</w:t>
            </w:r>
          </w:p>
        </w:tc>
        <w:tc>
          <w:tcPr>
            <w:tcW w:type="dxa" w:w="26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MCAA1-MSU/anv_data_ke</w:t>
            </w:r>
          </w:p>
        </w:tc>
        <w:tc>
          <w:tcPr>
            <w:tcW w:type="dxa" w:w="1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Blocked</w:t>
            </w:r>
          </w:p>
        </w:tc>
        <w:tc>
          <w:tcPr>
            <w:tcW w:type="dxa" w:w="25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Gated. Requires a Hugging Face account and agreement to share name and institution. A human must create the account, accept the terms, and issue a read token. This is the single most important blocker in the plan — it is on the critical path for Step 2 and should be actioned today.</w:t>
            </w:r>
          </w:p>
        </w:tc>
      </w:tr>
      <w:tr>
        <w:trPr>
          <w:tblHeader w:val="false"/>
        </w:trPr>
        <w:tc>
          <w:tcPr>
            <w:tcW w:type="dxa" w:w="25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WAXAL (kik_tts, luo_tts, ASR pool)</w:t>
            </w:r>
          </w:p>
        </w:tc>
        <w:tc>
          <w:tcPr>
            <w:tcW w:type="dxa" w:w="26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google/WaxalNLP</w:t>
            </w:r>
          </w:p>
        </w:tc>
        <w:tc>
          <w:tcPr>
            <w:tcW w:type="dxa" w:w="14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Downloadable</w:t>
            </w:r>
          </w:p>
        </w:tc>
        <w:tc>
          <w:tcPr>
            <w:tcW w:type="dxa" w:w="25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Not gated. Per-provider licence matrix must be reviewed before any CC-BY-SA portion is used in training (Section 5.2).</w:t>
            </w:r>
          </w:p>
        </w:tc>
      </w:tr>
      <w:tr>
        <w:trPr>
          <w:tblHeader w:val="false"/>
        </w:trPr>
        <w:tc>
          <w:tcPr>
            <w:tcW w:type="dxa" w:w="25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Common Voice Swahili</w:t>
            </w:r>
          </w:p>
        </w:tc>
        <w:tc>
          <w:tcPr>
            <w:tcW w:type="dxa" w:w="26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mozilla-foundation/common_voice_*</w:t>
            </w:r>
          </w:p>
        </w:tc>
        <w:tc>
          <w:tcPr>
            <w:tcW w:type="dxa" w:w="1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Partially blocked</w:t>
            </w:r>
          </w:p>
        </w:tc>
        <w:tc>
          <w:tcPr>
            <w:tcW w:type="dxa" w:w="25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Recent Common Voice releases on Hugging Face require accepting terms. A human accepts once; downloads are automatic thereafter.</w:t>
            </w:r>
          </w:p>
        </w:tc>
      </w:tr>
      <w:tr>
        <w:trPr>
          <w:tblHeader w:val="false"/>
        </w:trPr>
        <w:tc>
          <w:tcPr>
            <w:tcW w:type="dxa" w:w="25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DigiGreen Kikuyu ASR</w:t>
            </w:r>
          </w:p>
        </w:tc>
        <w:tc>
          <w:tcPr>
            <w:tcW w:type="dxa" w:w="26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Digital Green</w:t>
            </w:r>
          </w:p>
        </w:tc>
        <w:tc>
          <w:tcPr>
            <w:tcW w:type="dxa" w:w="14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Blocked</w:t>
            </w:r>
          </w:p>
        </w:tc>
        <w:tc>
          <w:tcPr>
            <w:tcW w:type="dxa" w:w="25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Distribution channel and licence to be confirmed; may require direct contact with the publisher.</w:t>
            </w:r>
          </w:p>
        </w:tc>
      </w:tr>
      <w:tr>
        <w:trPr>
          <w:tblHeader w:val="false"/>
        </w:trPr>
        <w:tc>
          <w:tcPr>
            <w:tcW w:type="dxa" w:w="25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Community Kikuyu sets</w:t>
            </w:r>
          </w:p>
        </w:tc>
        <w:tc>
          <w:tcPr>
            <w:tcW w:type="dxa" w:w="26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Hugging Face</w:t>
            </w:r>
          </w:p>
        </w:tc>
        <w:tc>
          <w:tcPr>
            <w:tcW w:type="dxa" w:w="1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Downloadable</w:t>
            </w:r>
          </w:p>
        </w:tc>
        <w:tc>
          <w:tcPr>
            <w:tcW w:type="dxa" w:w="25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Small; provenance must be checked individually before training use.</w:t>
            </w:r>
          </w:p>
        </w:tc>
      </w:tr>
    </w:tbl>
    <w:p>
      <w:pPr>
        <w:pStyle w:val="Heading2"/>
        <w:spacing w:after="120" w:before="260"/>
      </w:pPr>
      <w:r>
        <w:t xml:space="preserve">11.3 Software</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2500"/>
        <w:gridCol w:w="2600"/>
        <w:gridCol w:w="1400"/>
        <w:gridCol w:w="2520"/>
      </w:tblGrid>
      <w:tr>
        <w:trPr>
          <w:tblHeader/>
        </w:trPr>
        <w:tc>
          <w:tcPr>
            <w:tcW w:type="dxa" w:w="25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Item</w:t>
            </w:r>
          </w:p>
        </w:tc>
        <w:tc>
          <w:tcPr>
            <w:tcW w:type="dxa" w:w="26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Purpose</w:t>
            </w:r>
          </w:p>
        </w:tc>
        <w:tc>
          <w:tcPr>
            <w:tcW w:type="dxa" w:w="14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Status</w:t>
            </w:r>
          </w:p>
        </w:tc>
        <w:tc>
          <w:tcPr>
            <w:tcW w:type="dxa" w:w="25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Note</w:t>
            </w:r>
          </w:p>
        </w:tc>
      </w:tr>
      <w:tr>
        <w:trPr>
          <w:tblHeader w:val="false"/>
        </w:trPr>
        <w:tc>
          <w:tcPr>
            <w:tcW w:type="dxa" w:w="25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ffmpeg 9.0</w:t>
            </w:r>
          </w:p>
        </w:tc>
        <w:tc>
          <w:tcPr>
            <w:tcW w:type="dxa" w:w="26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Capture, demux, resample</w:t>
            </w:r>
          </w:p>
        </w:tc>
        <w:tc>
          <w:tcPr>
            <w:tcW w:type="dxa" w:w="1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Present</w:t>
            </w:r>
          </w:p>
        </w:tc>
        <w:tc>
          <w:tcPr>
            <w:tcW w:type="dxa" w:w="25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Already installed on this machine.</w:t>
            </w:r>
          </w:p>
        </w:tc>
      </w:tr>
      <w:tr>
        <w:trPr>
          <w:tblHeader w:val="false"/>
        </w:trPr>
        <w:tc>
          <w:tcPr>
            <w:tcW w:type="dxa" w:w="25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Python 3.11 or 3.12 virtual environment</w:t>
            </w:r>
          </w:p>
        </w:tc>
        <w:tc>
          <w:tcPr>
            <w:tcW w:type="dxa" w:w="26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Runtime</w:t>
            </w:r>
          </w:p>
        </w:tc>
        <w:tc>
          <w:tcPr>
            <w:tcW w:type="dxa" w:w="14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Installable</w:t>
            </w:r>
          </w:p>
        </w:tc>
        <w:tc>
          <w:tcPr>
            <w:tcW w:type="dxa" w:w="25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The system Python is 3.13; some ASR and audio packages still lag on 3.13. Create a dedicated 3.11 or 3.12 venv rather than fighting wheel availability.</w:t>
            </w:r>
          </w:p>
        </w:tc>
      </w:tr>
      <w:tr>
        <w:trPr>
          <w:tblHeader w:val="false"/>
        </w:trPr>
        <w:tc>
          <w:tcPr>
            <w:tcW w:type="dxa" w:w="25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faster-whisper + CTranslate2</w:t>
            </w:r>
          </w:p>
        </w:tc>
        <w:tc>
          <w:tcPr>
            <w:tcW w:type="dxa" w:w="26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CPU inference, int8</w:t>
            </w:r>
          </w:p>
        </w:tc>
        <w:tc>
          <w:tcPr>
            <w:tcW w:type="dxa" w:w="1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Installable</w:t>
            </w:r>
          </w:p>
        </w:tc>
        <w:tc>
          <w:tcPr>
            <w:tcW w:type="dxa" w:w="25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The correct inference stack for a machine with no CUDA device — several times faster than plain transformers on CPU.</w:t>
            </w:r>
          </w:p>
        </w:tc>
      </w:tr>
      <w:tr>
        <w:trPr>
          <w:tblHeader w:val="false"/>
        </w:trPr>
        <w:tc>
          <w:tcPr>
            <w:tcW w:type="dxa" w:w="25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transformers, datasets, accelerate, peft</w:t>
            </w:r>
          </w:p>
        </w:tc>
        <w:tc>
          <w:tcPr>
            <w:tcW w:type="dxa" w:w="26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Data prep, LoRA training</w:t>
            </w:r>
          </w:p>
        </w:tc>
        <w:tc>
          <w:tcPr>
            <w:tcW w:type="dxa" w:w="14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Installable</w:t>
            </w:r>
          </w:p>
        </w:tc>
        <w:tc>
          <w:tcPr>
            <w:tcW w:type="dxa" w:w="25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peft provides the LoRA adapters described in Section 4.2.</w:t>
            </w:r>
          </w:p>
        </w:tc>
      </w:tr>
      <w:tr>
        <w:trPr>
          <w:tblHeader w:val="false"/>
        </w:trPr>
        <w:tc>
          <w:tcPr>
            <w:tcW w:type="dxa" w:w="25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torch (CPU build)</w:t>
            </w:r>
          </w:p>
        </w:tc>
        <w:tc>
          <w:tcPr>
            <w:tcW w:type="dxa" w:w="26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Framework</w:t>
            </w:r>
          </w:p>
        </w:tc>
        <w:tc>
          <w:tcPr>
            <w:tcW w:type="dxa" w:w="1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Installable</w:t>
            </w:r>
          </w:p>
        </w:tc>
        <w:tc>
          <w:tcPr>
            <w:tcW w:type="dxa" w:w="25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CPU wheel only on this machine. The GPU build belongs on the rented training node.</w:t>
            </w:r>
          </w:p>
        </w:tc>
      </w:tr>
      <w:tr>
        <w:trPr>
          <w:tblHeader w:val="false"/>
        </w:trPr>
        <w:tc>
          <w:tcPr>
            <w:tcW w:type="dxa" w:w="25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yt-dlp, streamlink</w:t>
            </w:r>
          </w:p>
        </w:tc>
        <w:tc>
          <w:tcPr>
            <w:tcW w:type="dxa" w:w="26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Stream capture</w:t>
            </w:r>
          </w:p>
        </w:tc>
        <w:tc>
          <w:tcPr>
            <w:tcW w:type="dxa" w:w="14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Installable</w:t>
            </w:r>
          </w:p>
        </w:tc>
        <w:tc>
          <w:tcPr>
            <w:tcW w:type="dxa" w:w="25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Not currently present.</w:t>
            </w:r>
          </w:p>
        </w:tc>
      </w:tr>
      <w:tr>
        <w:trPr>
          <w:tblHeader w:val="false"/>
        </w:trPr>
        <w:tc>
          <w:tcPr>
            <w:tcW w:type="dxa" w:w="25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librosa, soundfile, webrtcvad, pyloudnorm</w:t>
            </w:r>
          </w:p>
        </w:tc>
        <w:tc>
          <w:tcPr>
            <w:tcW w:type="dxa" w:w="26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Audio processing and filtering</w:t>
            </w:r>
          </w:p>
        </w:tc>
        <w:tc>
          <w:tcPr>
            <w:tcW w:type="dxa" w:w="1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Installable</w:t>
            </w:r>
          </w:p>
        </w:tc>
        <w:tc>
          <w:tcPr>
            <w:tcW w:type="dxa" w:w="25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
            </w:r>
          </w:p>
        </w:tc>
      </w:tr>
      <w:tr>
        <w:trPr>
          <w:tblHeader w:val="false"/>
        </w:trPr>
        <w:tc>
          <w:tcPr>
            <w:tcW w:type="dxa" w:w="25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Chromaprint / pyacoustid</w:t>
            </w:r>
          </w:p>
        </w:tc>
        <w:tc>
          <w:tcPr>
            <w:tcW w:type="dxa" w:w="26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Advertisement fingerprinting</w:t>
            </w:r>
          </w:p>
        </w:tc>
        <w:tc>
          <w:tcPr>
            <w:tcW w:type="dxa" w:w="14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Installable</w:t>
            </w:r>
          </w:p>
        </w:tc>
        <w:tc>
          <w:tcPr>
            <w:tcW w:type="dxa" w:w="25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Native binary plus Python binding.</w:t>
            </w:r>
          </w:p>
        </w:tc>
      </w:tr>
      <w:tr>
        <w:trPr>
          <w:tblHeader w:val="false"/>
        </w:trPr>
        <w:tc>
          <w:tcPr>
            <w:tcW w:type="dxa" w:w="25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jiwer</w:t>
            </w:r>
          </w:p>
        </w:tc>
        <w:tc>
          <w:tcPr>
            <w:tcW w:type="dxa" w:w="26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WER and CER scoring</w:t>
            </w:r>
          </w:p>
        </w:tc>
        <w:tc>
          <w:tcPr>
            <w:tcW w:type="dxa" w:w="1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Installable</w:t>
            </w:r>
          </w:p>
        </w:tc>
        <w:tc>
          <w:tcPr>
            <w:tcW w:type="dxa" w:w="25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
            </w:r>
          </w:p>
        </w:tc>
      </w:tr>
      <w:tr>
        <w:trPr>
          <w:tblHeader w:val="false"/>
        </w:trPr>
        <w:tc>
          <w:tcPr>
            <w:tcW w:type="dxa" w:w="25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Docker Desktop, gcloud SDK, git</w:t>
            </w:r>
          </w:p>
        </w:tc>
        <w:tc>
          <w:tcPr>
            <w:tcW w:type="dxa" w:w="26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Packaging, cloud, version control</w:t>
            </w:r>
          </w:p>
        </w:tc>
        <w:tc>
          <w:tcPr>
            <w:tcW w:type="dxa" w:w="14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Present</w:t>
            </w:r>
          </w:p>
        </w:tc>
        <w:tc>
          <w:tcPr>
            <w:tcW w:type="dxa" w:w="25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Already installed — gcloud makes Vertex AI or a GCE spot instance the natural training host.</w:t>
            </w:r>
          </w:p>
        </w:tc>
      </w:tr>
    </w:tbl>
    <w:p>
      <w:pPr>
        <w:pStyle w:val="Heading2"/>
        <w:spacing w:after="120" w:before="260"/>
      </w:pPr>
      <w:r>
        <w:t xml:space="preserve">11.4 Infrastructure</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2500"/>
        <w:gridCol w:w="2600"/>
        <w:gridCol w:w="1400"/>
        <w:gridCol w:w="2520"/>
      </w:tblGrid>
      <w:tr>
        <w:trPr>
          <w:tblHeader/>
        </w:trPr>
        <w:tc>
          <w:tcPr>
            <w:tcW w:type="dxa" w:w="25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Item</w:t>
            </w:r>
          </w:p>
        </w:tc>
        <w:tc>
          <w:tcPr>
            <w:tcW w:type="dxa" w:w="26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Purpose</w:t>
            </w:r>
          </w:p>
        </w:tc>
        <w:tc>
          <w:tcPr>
            <w:tcW w:type="dxa" w:w="14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Status</w:t>
            </w:r>
          </w:p>
        </w:tc>
        <w:tc>
          <w:tcPr>
            <w:tcW w:type="dxa" w:w="25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Note / blocker</w:t>
            </w:r>
          </w:p>
        </w:tc>
      </w:tr>
      <w:tr>
        <w:trPr>
          <w:tblHeader w:val="false"/>
        </w:trPr>
        <w:tc>
          <w:tcPr>
            <w:tcW w:type="dxa" w:w="25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Rented GPU (24 GB: L4, A10 or equivalent)</w:t>
            </w:r>
          </w:p>
        </w:tc>
        <w:tc>
          <w:tcPr>
            <w:tcW w:type="dxa" w:w="26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Steps 2 and 3 training runs</w:t>
            </w:r>
          </w:p>
        </w:tc>
        <w:tc>
          <w:tcPr>
            <w:tcW w:type="dxa" w:w="1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Blocked</w:t>
            </w:r>
          </w:p>
        </w:tc>
        <w:tc>
          <w:tcPr>
            <w:tcW w:type="dxa" w:w="25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Requires a cloud account with billing enabled. A human must authorise the account and spend. Expect hours of GPU time per language, not days, for LoRA fine-tuning on a subsampled corpus.</w:t>
            </w:r>
          </w:p>
        </w:tc>
      </w:tr>
      <w:tr>
        <w:trPr>
          <w:tblHeader w:val="false"/>
        </w:trPr>
        <w:tc>
          <w:tcPr>
            <w:tcW w:type="dxa" w:w="25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Object storage for dataset staging</w:t>
            </w:r>
          </w:p>
        </w:tc>
        <w:tc>
          <w:tcPr>
            <w:tcW w:type="dxa" w:w="26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Moving datasets to the training node</w:t>
            </w:r>
          </w:p>
        </w:tc>
        <w:tc>
          <w:tcPr>
            <w:tcW w:type="dxa" w:w="14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Blocked</w:t>
            </w:r>
          </w:p>
        </w:tc>
        <w:tc>
          <w:tcPr>
            <w:tcW w:type="dxa" w:w="25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Same billing dependency.</w:t>
            </w:r>
          </w:p>
        </w:tc>
      </w:tr>
      <w:tr>
        <w:trPr>
          <w:tblHeader w:val="false"/>
        </w:trPr>
        <w:tc>
          <w:tcPr>
            <w:tcW w:type="dxa" w:w="25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Local disk</w:t>
            </w:r>
          </w:p>
        </w:tc>
        <w:tc>
          <w:tcPr>
            <w:tcW w:type="dxa" w:w="26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Capture archive</w:t>
            </w:r>
          </w:p>
        </w:tc>
        <w:tc>
          <w:tcPr>
            <w:tcW w:type="dxa" w:w="1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Available</w:t>
            </w:r>
          </w:p>
        </w:tc>
        <w:tc>
          <w:tcPr>
            <w:tcW w:type="dxa" w:w="25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288 GB free against ~1.6 GB per day of capture — approximately six months of headroom before any pruning is needed.</w:t>
            </w:r>
          </w:p>
        </w:tc>
      </w:tr>
    </w:tbl>
    <w:p>
      <w:pPr>
        <w:pStyle w:val="Heading2"/>
        <w:spacing w:after="120" w:before="260"/>
      </w:pPr>
      <w:r>
        <w:t xml:space="preserve">11.5 Critical path — the three actions to take first</w:t>
      </w:r>
    </w:p>
    <w:p>
      <w:pPr>
        <w:pStyle w:val="ListParagraph"/>
        <w:numPr>
          <w:ilvl w:val="0"/>
          <w:numId w:val="3"/>
        </w:numPr>
        <w:spacing w:after="70" w:line="276"/>
      </w:pPr>
      <w:r>
        <w:rPr>
          <w:rFonts w:ascii="Calibri" w:cs="Calibri" w:eastAsia="Calibri" w:hAnsi="Calibri"/>
          <w:sz w:val="21"/>
          <w:szCs w:val="21"/>
        </w:rPr>
        <w:t xml:space="preserve">Create a Hugging Face account and accept the Africa Next Voices gate. Everything in Step 2 waits on this, and it takes minutes.</w:t>
      </w:r>
    </w:p>
    <w:p>
      <w:pPr>
        <w:pStyle w:val="ListParagraph"/>
        <w:numPr>
          <w:ilvl w:val="0"/>
          <w:numId w:val="3"/>
        </w:numPr>
        <w:spacing w:after="70" w:line="276"/>
      </w:pPr>
      <w:r>
        <w:rPr>
          <w:rFonts w:ascii="Calibri" w:cs="Calibri" w:eastAsia="Calibri" w:hAnsi="Calibri"/>
          <w:sz w:val="21"/>
          <w:szCs w:val="21"/>
        </w:rPr>
        <w:t xml:space="preserve">Authorise a cloud account with billing for the GPU training node. Steps 2 and 3 cannot complete without it.</w:t>
      </w:r>
    </w:p>
    <w:p>
      <w:pPr>
        <w:pStyle w:val="ListParagraph"/>
        <w:numPr>
          <w:ilvl w:val="0"/>
          <w:numId w:val="3"/>
        </w:numPr>
        <w:spacing w:after="70" w:line="276"/>
      </w:pPr>
      <w:r>
        <w:rPr>
          <w:rFonts w:ascii="Calibri" w:cs="Calibri" w:eastAsia="Calibri" w:hAnsi="Calibri"/>
          <w:sz w:val="21"/>
          <w:szCs w:val="21"/>
        </w:rPr>
        <w:t xml:space="preserve">Commission four to six hours of expert native-speaker transcription per language for the broadcast reference sets. This is the only unavoidable human-labour item in the POC and everything measurable depends on it.</w:t>
      </w:r>
    </w:p>
    <w:p>
      <w:pPr>
        <w:spacing w:after="120" w:line="276"/>
      </w:pPr>
      <w:r>
        <w:rPr>
          <w:rFonts w:ascii="Calibri" w:cs="Calibri" w:eastAsia="Calibri" w:hAnsi="Calibri"/>
          <w:b/>
          <w:bCs/>
          <w:sz w:val="21"/>
          <w:szCs w:val="21"/>
        </w:rPr>
        <w:t xml:space="preserve">Nothing else blocks a start. </w:t>
      </w:r>
      <w:r>
        <w:rPr>
          <w:rFonts w:ascii="Calibri" w:cs="Calibri" w:eastAsia="Calibri" w:hAnsi="Calibri"/>
          <w:sz w:val="21"/>
          <w:szCs w:val="21"/>
        </w:rPr>
        <w:t xml:space="preserve">Model downloads, package installation, stream capture, the filter chain, the routing layer and the UI can all begin immediately on this machine with no external dependency.</w:t>
      </w:r>
    </w:p>
    <w:p>
      <w:r>
        <w:br w:type="page"/>
      </w:r>
    </w:p>
    <w:p>
      <w:pPr>
        <w:pStyle w:val="Heading1"/>
        <w:spacing w:after="160" w:before="320"/>
      </w:pPr>
      <w:r>
        <w:t xml:space="preserve">12. Execution Plan</w:t>
      </w:r>
    </w:p>
    <w:p>
      <w:pPr>
        <w:pStyle w:val="Heading2"/>
        <w:spacing w:after="120" w:before="260"/>
      </w:pPr>
      <w:r>
        <w:t xml:space="preserve">12.1 Step 1 — Baseline on this machine</w:t>
      </w:r>
    </w:p>
    <w:p>
      <w:pPr>
        <w:spacing w:after="120" w:line="276"/>
      </w:pPr>
      <w:r>
        <w:rPr>
          <w:rFonts w:ascii="Calibri" w:cs="Calibri" w:eastAsia="Calibri" w:hAnsi="Calibri"/>
          <w:sz w:val="21"/>
          <w:szCs w:val="21"/>
        </w:rPr>
        <w:t xml:space="preserve">Objective: establish what off-the-shelf models achieve on real Inooro, Kameme and Ramogi audio, and stand up the full pipeline end to end. Nothing is trained in this step.</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700"/>
        <w:gridCol w:w="3300"/>
        <w:gridCol w:w="2500"/>
        <w:gridCol w:w="2520"/>
      </w:tblGrid>
      <w:tr>
        <w:trPr>
          <w:tblHeader/>
        </w:trPr>
        <w:tc>
          <w:tcPr>
            <w:tcW w:type="dxa" w:w="7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w:t>
            </w:r>
          </w:p>
        </w:tc>
        <w:tc>
          <w:tcPr>
            <w:tcW w:type="dxa" w:w="33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Task</w:t>
            </w:r>
          </w:p>
        </w:tc>
        <w:tc>
          <w:tcPr>
            <w:tcW w:type="dxa" w:w="25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Output</w:t>
            </w:r>
          </w:p>
        </w:tc>
        <w:tc>
          <w:tcPr>
            <w:tcW w:type="dxa" w:w="25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Depends on</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1.1</w:t>
            </w:r>
          </w:p>
        </w:tc>
        <w:tc>
          <w:tcPr>
            <w:tcW w:type="dxa" w:w="3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Create the Python environment; install the inference and audio stack</w:t>
            </w:r>
          </w:p>
        </w:tc>
        <w:tc>
          <w:tcPr>
            <w:tcW w:type="dxa" w:w="25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Reproducible environment specification</w:t>
            </w:r>
          </w:p>
        </w:tc>
        <w:tc>
          <w:tcPr>
            <w:tcW w:type="dxa" w:w="25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t>
            </w:r>
          </w:p>
        </w:tc>
      </w:tr>
      <w:tr>
        <w:trPr>
          <w:tblHeader w:val="false"/>
        </w:trPr>
        <w:tc>
          <w:tcPr>
            <w:tcW w:type="dxa" w:w="7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1.2</w:t>
            </w:r>
          </w:p>
        </w:tc>
        <w:tc>
          <w:tcPr>
            <w:tcW w:type="dxa" w:w="3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Download whisper-large-v3-turbo, Paza, the Swahili candidates, Silero VAD, NLLB</w:t>
            </w:r>
          </w:p>
        </w:tc>
        <w:tc>
          <w:tcPr>
            <w:tcW w:type="dxa" w:w="25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Local model store</w:t>
            </w:r>
          </w:p>
        </w:tc>
        <w:tc>
          <w:tcPr>
            <w:tcW w:type="dxa" w:w="25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1.3</w:t>
            </w:r>
          </w:p>
        </w:tc>
        <w:tc>
          <w:tcPr>
            <w:tcW w:type="dxa" w:w="3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Resolve the six stream endpoints; build the capture agent with reconnect and gap logging</w:t>
            </w:r>
          </w:p>
        </w:tc>
        <w:tc>
          <w:tcPr>
            <w:tcW w:type="dxa" w:w="25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Continuous capture running on all six channels</w:t>
            </w:r>
          </w:p>
        </w:tc>
        <w:tc>
          <w:tcPr>
            <w:tcW w:type="dxa" w:w="25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t>
            </w:r>
          </w:p>
        </w:tc>
      </w:tr>
      <w:tr>
        <w:trPr>
          <w:tblHeader w:val="false"/>
        </w:trPr>
        <w:tc>
          <w:tcPr>
            <w:tcW w:type="dxa" w:w="7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1.4</w:t>
            </w:r>
          </w:p>
        </w:tc>
        <w:tc>
          <w:tcPr>
            <w:tcW w:type="dxa" w:w="3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Build segmentation, normalisation and the immutable store with provenance metadata</w:t>
            </w:r>
          </w:p>
        </w:tc>
        <w:tc>
          <w:tcPr>
            <w:tcW w:type="dxa" w:w="25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Segment records with sidecar metadata</w:t>
            </w:r>
          </w:p>
        </w:tc>
        <w:tc>
          <w:tcPr>
            <w:tcW w:type="dxa" w:w="25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1.3</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1.5</w:t>
            </w:r>
          </w:p>
        </w:tc>
        <w:tc>
          <w:tcPr>
            <w:tcW w:type="dxa" w:w="3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Build the content filter, Layers 0–2 (schedule, music/speech, fingerprinting)</w:t>
            </w:r>
          </w:p>
        </w:tc>
        <w:tc>
          <w:tcPr>
            <w:tcW w:type="dxa" w:w="25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Measured filter recall and speech-loss rate</w:t>
            </w:r>
          </w:p>
        </w:tc>
        <w:tc>
          <w:tcPr>
            <w:tcW w:type="dxa" w:w="25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1.4</w:t>
            </w:r>
          </w:p>
        </w:tc>
      </w:tr>
      <w:tr>
        <w:trPr>
          <w:tblHeader w:val="false"/>
        </w:trPr>
        <w:tc>
          <w:tcPr>
            <w:tcW w:type="dxa" w:w="7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1.6</w:t>
            </w:r>
          </w:p>
        </w:tc>
        <w:tc>
          <w:tcPr>
            <w:tcW w:type="dxa" w:w="3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Build the routing chain R0–R4</w:t>
            </w:r>
          </w:p>
        </w:tc>
        <w:tc>
          <w:tcPr>
            <w:tcW w:type="dxa" w:w="25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Routing decisions with confidence per segment</w:t>
            </w:r>
          </w:p>
        </w:tc>
        <w:tc>
          <w:tcPr>
            <w:tcW w:type="dxa" w:w="25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1.4</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1.7</w:t>
            </w:r>
          </w:p>
        </w:tc>
        <w:tc>
          <w:tcPr>
            <w:tcW w:type="dxa" w:w="3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Commission and receive expert transcription of the broadcast reference sets</w:t>
            </w:r>
          </w:p>
        </w:tc>
        <w:tc>
          <w:tcPr>
            <w:tcW w:type="dxa" w:w="25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BCAST-KIK, BCAST-LUO, BCAST-SWH/ENG frozen</w:t>
            </w:r>
          </w:p>
        </w:tc>
        <w:tc>
          <w:tcPr>
            <w:tcW w:type="dxa" w:w="25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1.3</w:t>
            </w:r>
          </w:p>
        </w:tc>
      </w:tr>
      <w:tr>
        <w:trPr>
          <w:tblHeader w:val="false"/>
        </w:trPr>
        <w:tc>
          <w:tcPr>
            <w:tcW w:type="dxa" w:w="7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1.8</w:t>
            </w:r>
          </w:p>
        </w:tc>
        <w:tc>
          <w:tcPr>
            <w:tcW w:type="dxa" w:w="3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Run the model bake-off across all candidates on the reference sets</w:t>
            </w:r>
          </w:p>
        </w:tc>
        <w:tc>
          <w:tcPr>
            <w:tcW w:type="dxa" w:w="25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Baseline WER table by model, language, station and daypart</w:t>
            </w:r>
          </w:p>
        </w:tc>
        <w:tc>
          <w:tcPr>
            <w:tcW w:type="dxa" w:w="25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1.2, 1.7</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1.9</w:t>
            </w:r>
          </w:p>
        </w:tc>
        <w:tc>
          <w:tcPr>
            <w:tcW w:type="dxa" w:w="3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Build the UI: ingest monitor, media library, transcript workspace, correction workflow</w:t>
            </w:r>
          </w:p>
        </w:tc>
        <w:tc>
          <w:tcPr>
            <w:tcW w:type="dxa" w:w="25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Working analyst interface capturing corrections</w:t>
            </w:r>
          </w:p>
        </w:tc>
        <w:tc>
          <w:tcPr>
            <w:tcW w:type="dxa" w:w="25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1.4, 1.8</w:t>
            </w:r>
          </w:p>
        </w:tc>
      </w:tr>
      <w:tr>
        <w:trPr>
          <w:tblHeader w:val="false"/>
        </w:trPr>
        <w:tc>
          <w:tcPr>
            <w:tcW w:type="dxa" w:w="7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1.10</w:t>
            </w:r>
          </w:p>
        </w:tc>
        <w:tc>
          <w:tcPr>
            <w:tcW w:type="dxa" w:w="3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Wire translation, enrichment and the report builder</w:t>
            </w:r>
          </w:p>
        </w:tc>
        <w:tc>
          <w:tcPr>
            <w:tcW w:type="dxa" w:w="25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End-to-end demonstrable pipeline</w:t>
            </w:r>
          </w:p>
        </w:tc>
        <w:tc>
          <w:tcPr>
            <w:tcW w:type="dxa" w:w="25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1.8</w:t>
            </w:r>
          </w:p>
        </w:tc>
      </w:tr>
    </w:tbl>
    <w:p>
      <w:pPr>
        <w:spacing w:after="120" w:line="276"/>
      </w:pPr>
      <w:r>
        <w:rPr>
          <w:rFonts w:ascii="Calibri" w:cs="Calibri" w:eastAsia="Calibri" w:hAnsi="Calibri"/>
          <w:b/>
          <w:bCs/>
          <w:sz w:val="21"/>
          <w:szCs w:val="21"/>
        </w:rPr>
        <w:t xml:space="preserve">Step 1 exit criteria. </w:t>
      </w:r>
      <w:r>
        <w:rPr>
          <w:rFonts w:ascii="Calibri" w:cs="Calibri" w:eastAsia="Calibri" w:hAnsi="Calibri"/>
          <w:sz w:val="21"/>
          <w:szCs w:val="21"/>
        </w:rPr>
        <w:t xml:space="preserve">A published baseline WER table; measured routing accuracy; measured filter performance; fourteen days of continuous capture with a completeness report; and an analyst able to run a topic from audio to report in the UI.</w:t>
      </w:r>
    </w:p>
    <w:p>
      <w:pPr>
        <w:pStyle w:val="Heading2"/>
        <w:spacing w:after="120" w:before="260"/>
      </w:pPr>
      <w:r>
        <w:t xml:space="preserve">12.2 Step 2 — Train per-language models</w:t>
      </w:r>
    </w:p>
    <w:p>
      <w:pPr>
        <w:spacing w:after="120" w:line="276"/>
      </w:pPr>
      <w:r>
        <w:rPr>
          <w:rFonts w:ascii="Calibri" w:cs="Calibri" w:eastAsia="Calibri" w:hAnsi="Calibri"/>
          <w:sz w:val="21"/>
          <w:szCs w:val="21"/>
        </w:rPr>
        <w:t xml:space="preserve">Objective: produce kik and luo packs that measurably beat the Paza baseline on the frozen broadcast reference sets.</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700"/>
        <w:gridCol w:w="3300"/>
        <w:gridCol w:w="2500"/>
        <w:gridCol w:w="2520"/>
      </w:tblGrid>
      <w:tr>
        <w:trPr>
          <w:tblHeader/>
        </w:trPr>
        <w:tc>
          <w:tcPr>
            <w:tcW w:type="dxa" w:w="7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w:t>
            </w:r>
          </w:p>
        </w:tc>
        <w:tc>
          <w:tcPr>
            <w:tcW w:type="dxa" w:w="33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Task</w:t>
            </w:r>
          </w:p>
        </w:tc>
        <w:tc>
          <w:tcPr>
            <w:tcW w:type="dxa" w:w="25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Output</w:t>
            </w:r>
          </w:p>
        </w:tc>
        <w:tc>
          <w:tcPr>
            <w:tcW w:type="dxa" w:w="25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Depends on</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2.1</w:t>
            </w:r>
          </w:p>
        </w:tc>
        <w:tc>
          <w:tcPr>
            <w:tcW w:type="dxa" w:w="3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Obtain Africa Next Voices; pin the revision; run the data preparation pipeline</w:t>
            </w:r>
          </w:p>
        </w:tc>
        <w:tc>
          <w:tcPr>
            <w:tcW w:type="dxa" w:w="25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Prepared kik and luo training manifests with dataset cards</w:t>
            </w:r>
          </w:p>
        </w:tc>
        <w:tc>
          <w:tcPr>
            <w:tcW w:type="dxa" w:w="25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HF gate accepted</w:t>
            </w:r>
          </w:p>
        </w:tc>
      </w:tr>
      <w:tr>
        <w:trPr>
          <w:tblHeader w:val="false"/>
        </w:trPr>
        <w:tc>
          <w:tcPr>
            <w:tcW w:type="dxa" w:w="7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2.2</w:t>
            </w:r>
          </w:p>
        </w:tc>
        <w:tc>
          <w:tcPr>
            <w:tcW w:type="dxa" w:w="3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Prepare WAXAL kik_tts and luo_tts for lexicon work and clean-condition evaluation</w:t>
            </w:r>
          </w:p>
        </w:tc>
        <w:tc>
          <w:tcPr>
            <w:tcW w:type="dxa" w:w="25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CLEAN-KIK, CLEAN-LUO sets</w:t>
            </w:r>
          </w:p>
        </w:tc>
        <w:tc>
          <w:tcPr>
            <w:tcW w:type="dxa" w:w="25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2.3</w:t>
            </w:r>
          </w:p>
        </w:tc>
        <w:tc>
          <w:tcPr>
            <w:tcW w:type="dxa" w:w="3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Export corrected broadcast transcripts from the Step 1 UI as in-domain training data</w:t>
            </w:r>
          </w:p>
        </w:tc>
        <w:tc>
          <w:tcPr>
            <w:tcW w:type="dxa" w:w="25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In-domain manifest — small but disproportionately valuable</w:t>
            </w:r>
          </w:p>
        </w:tc>
        <w:tc>
          <w:tcPr>
            <w:tcW w:type="dxa" w:w="25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1.9</w:t>
            </w:r>
          </w:p>
        </w:tc>
      </w:tr>
      <w:tr>
        <w:trPr>
          <w:tblHeader w:val="false"/>
        </w:trPr>
        <w:tc>
          <w:tcPr>
            <w:tcW w:type="dxa" w:w="7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2.4</w:t>
            </w:r>
          </w:p>
        </w:tc>
        <w:tc>
          <w:tcPr>
            <w:tcW w:type="dxa" w:w="3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Define the LoRA training recipe and validate it on a 10-hour subset</w:t>
            </w:r>
          </w:p>
        </w:tc>
        <w:tc>
          <w:tcPr>
            <w:tcW w:type="dxa" w:w="25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Validated recipe; cost and time estimate</w:t>
            </w:r>
          </w:p>
        </w:tc>
        <w:tc>
          <w:tcPr>
            <w:tcW w:type="dxa" w:w="25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2.1</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2.5</w:t>
            </w:r>
          </w:p>
        </w:tc>
        <w:tc>
          <w:tcPr>
            <w:tcW w:type="dxa" w:w="3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Train the kik adapter on the rented GPU (subsampled corpus for the first pass)</w:t>
            </w:r>
          </w:p>
        </w:tc>
        <w:tc>
          <w:tcPr>
            <w:tcW w:type="dxa" w:w="25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kik adapter v1</w:t>
            </w:r>
          </w:p>
        </w:tc>
        <w:tc>
          <w:tcPr>
            <w:tcW w:type="dxa" w:w="25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2.4, GPU access</w:t>
            </w:r>
          </w:p>
        </w:tc>
      </w:tr>
      <w:tr>
        <w:trPr>
          <w:tblHeader w:val="false"/>
        </w:trPr>
        <w:tc>
          <w:tcPr>
            <w:tcW w:type="dxa" w:w="7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2.6</w:t>
            </w:r>
          </w:p>
        </w:tc>
        <w:tc>
          <w:tcPr>
            <w:tcW w:type="dxa" w:w="3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Train the luo adapter on the rented GPU</w:t>
            </w:r>
          </w:p>
        </w:tc>
        <w:tc>
          <w:tcPr>
            <w:tcW w:type="dxa" w:w="25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luo adapter v1</w:t>
            </w:r>
          </w:p>
        </w:tc>
        <w:tc>
          <w:tcPr>
            <w:tcW w:type="dxa" w:w="25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2.4, GPU access</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2.7</w:t>
            </w:r>
          </w:p>
        </w:tc>
        <w:tc>
          <w:tcPr>
            <w:tcW w:type="dxa" w:w="3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Train or select the swh adapter for Pack A</w:t>
            </w:r>
          </w:p>
        </w:tc>
        <w:tc>
          <w:tcPr>
            <w:tcW w:type="dxa" w:w="25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swh pack v1</w:t>
            </w:r>
          </w:p>
        </w:tc>
        <w:tc>
          <w:tcPr>
            <w:tcW w:type="dxa" w:w="25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2.4</w:t>
            </w:r>
          </w:p>
        </w:tc>
      </w:tr>
      <w:tr>
        <w:trPr>
          <w:tblHeader w:val="false"/>
        </w:trPr>
        <w:tc>
          <w:tcPr>
            <w:tcW w:type="dxa" w:w="7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2.8</w:t>
            </w:r>
          </w:p>
        </w:tc>
        <w:tc>
          <w:tcPr>
            <w:tcW w:type="dxa" w:w="3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Evaluate all packs locally against the frozen reference sets; compare to the Step 1 baseline</w:t>
            </w:r>
          </w:p>
        </w:tc>
        <w:tc>
          <w:tcPr>
            <w:tcW w:type="dxa" w:w="25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Step 2 results table with the delta over baseline</w:t>
            </w:r>
          </w:p>
        </w:tc>
        <w:tc>
          <w:tcPr>
            <w:tcW w:type="dxa" w:w="25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2.5, 2.6, 2.7</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2.9</w:t>
            </w:r>
          </w:p>
        </w:tc>
        <w:tc>
          <w:tcPr>
            <w:tcW w:type="dxa" w:w="3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Error analysis by station, daypart and programme type</w:t>
            </w:r>
          </w:p>
        </w:tc>
        <w:tc>
          <w:tcPr>
            <w:tcW w:type="dxa" w:w="25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Prioritised list of what Step 3 must fix</w:t>
            </w:r>
          </w:p>
        </w:tc>
        <w:tc>
          <w:tcPr>
            <w:tcW w:type="dxa" w:w="25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2.8</w:t>
            </w:r>
          </w:p>
        </w:tc>
      </w:tr>
    </w:tbl>
    <w:p>
      <w:pPr>
        <w:spacing w:after="120" w:line="276"/>
      </w:pPr>
      <w:r>
        <w:rPr>
          <w:rFonts w:ascii="Calibri" w:cs="Calibri" w:eastAsia="Calibri" w:hAnsi="Calibri"/>
          <w:b/>
          <w:bCs/>
          <w:sz w:val="21"/>
          <w:szCs w:val="21"/>
        </w:rPr>
        <w:t xml:space="preserve">Step 2 exit criteria. </w:t>
      </w:r>
      <w:r>
        <w:rPr>
          <w:rFonts w:ascii="Calibri" w:cs="Calibri" w:eastAsia="Calibri" w:hAnsi="Calibri"/>
          <w:sz w:val="21"/>
          <w:szCs w:val="21"/>
        </w:rPr>
        <w:t xml:space="preserve">Kikuyu and Luo packs with independent weights, independent evaluation and a documented improvement over Paza on broadcast audio; plus a clear statement of where the remaining errors come from.</w:t>
      </w:r>
    </w:p>
    <w:p>
      <w:pPr>
        <w:pStyle w:val="Heading2"/>
        <w:spacing w:after="120" w:before="260"/>
      </w:pPr>
      <w:r>
        <w:t xml:space="preserve">12.3 Step 3 — Third-party data and off-machine fine-tuning</w:t>
      </w:r>
    </w:p>
    <w:p>
      <w:pPr>
        <w:spacing w:after="120" w:line="276"/>
      </w:pPr>
      <w:r>
        <w:rPr>
          <w:rFonts w:ascii="Calibri" w:cs="Calibri" w:eastAsia="Calibri" w:hAnsi="Calibri"/>
          <w:sz w:val="21"/>
          <w:szCs w:val="21"/>
        </w:rPr>
        <w:t xml:space="preserve">Objective: close whatever gap Step 2 leaves, driven by the Step 2.9 error analysis rather than by assumption. This step is conditional — if Step 2 already meets the operating threshold, it reduces to a consolidation pass.</w:t>
      </w:r>
    </w:p>
    <w:p>
      <w:pPr>
        <w:pStyle w:val="ListParagraph"/>
        <w:numPr>
          <w:ilvl w:val="0"/>
          <w:numId w:val="2"/>
        </w:numPr>
        <w:spacing w:after="70" w:line="276"/>
      </w:pPr>
      <w:r>
        <w:rPr>
          <w:rFonts w:ascii="Calibri" w:cs="Calibri" w:eastAsia="Calibri" w:hAnsi="Calibri"/>
          <w:sz w:val="21"/>
          <w:szCs w:val="21"/>
        </w:rPr>
        <w:t xml:space="preserve">Acquire additional third-party data targeting the specific weaknesses found: telephone-bandwidth speech for call-in shows, sports and religious register, dialect coverage.</w:t>
      </w:r>
    </w:p>
    <w:p>
      <w:pPr>
        <w:pStyle w:val="ListParagraph"/>
        <w:numPr>
          <w:ilvl w:val="0"/>
          <w:numId w:val="2"/>
        </w:numPr>
        <w:spacing w:after="70" w:line="276"/>
      </w:pPr>
      <w:r>
        <w:rPr>
          <w:rFonts w:ascii="Calibri" w:cs="Calibri" w:eastAsia="Calibri" w:hAnsi="Calibri"/>
          <w:sz w:val="21"/>
          <w:szCs w:val="21"/>
        </w:rPr>
        <w:t xml:space="preserve">Scale up in-domain broadcast data through the correction workflow — this is where the analyst flywheel compounds.</w:t>
      </w:r>
    </w:p>
    <w:p>
      <w:pPr>
        <w:pStyle w:val="ListParagraph"/>
        <w:numPr>
          <w:ilvl w:val="0"/>
          <w:numId w:val="2"/>
        </w:numPr>
        <w:spacing w:after="70" w:line="276"/>
      </w:pPr>
      <w:r>
        <w:rPr>
          <w:rFonts w:ascii="Calibri" w:cs="Calibri" w:eastAsia="Calibri" w:hAnsi="Calibri"/>
          <w:sz w:val="21"/>
          <w:szCs w:val="21"/>
        </w:rPr>
        <w:t xml:space="preserve">Consider promoting a language from adapter to full fine-tune if the shared backbone proves limiting.</w:t>
      </w:r>
    </w:p>
    <w:p>
      <w:pPr>
        <w:pStyle w:val="ListParagraph"/>
        <w:numPr>
          <w:ilvl w:val="0"/>
          <w:numId w:val="2"/>
        </w:numPr>
        <w:spacing w:after="70" w:line="276"/>
      </w:pPr>
      <w:r>
        <w:rPr>
          <w:rFonts w:ascii="Calibri" w:cs="Calibri" w:eastAsia="Calibri" w:hAnsi="Calibri"/>
          <w:sz w:val="21"/>
          <w:szCs w:val="21"/>
        </w:rPr>
        <w:t xml:space="preserve">Evaluate whether Pack A should split into separate English and Kiswahili packs, which becomes likely once Sheng data exists.</w:t>
      </w:r>
    </w:p>
    <w:p>
      <w:pPr>
        <w:pStyle w:val="ListParagraph"/>
        <w:numPr>
          <w:ilvl w:val="0"/>
          <w:numId w:val="2"/>
        </w:numPr>
        <w:spacing w:after="70" w:line="276"/>
      </w:pPr>
      <w:r>
        <w:rPr>
          <w:rFonts w:ascii="Calibri" w:cs="Calibri" w:eastAsia="Calibri" w:hAnsi="Calibri"/>
          <w:sz w:val="21"/>
          <w:szCs w:val="21"/>
        </w:rPr>
        <w:t xml:space="preserve">Re-run the complete evaluation and produce the Phase 1 final report.</w:t>
      </w:r>
    </w:p>
    <w:p>
      <w:pPr>
        <w:pStyle w:val="Heading2"/>
        <w:spacing w:after="120" w:before="260"/>
      </w:pPr>
      <w:r>
        <w:t xml:space="preserve">12.4 Step 4 — Decision gate and Phase 2 entry</w:t>
      </w:r>
    </w:p>
    <w:p>
      <w:pPr>
        <w:spacing w:after="120" w:line="276"/>
      </w:pPr>
      <w:r>
        <w:rPr>
          <w:rFonts w:ascii="Calibri" w:cs="Calibri" w:eastAsia="Calibri" w:hAnsi="Calibri"/>
          <w:sz w:val="21"/>
          <w:szCs w:val="21"/>
        </w:rPr>
        <w:t xml:space="preserve">The POC concludes with an explicit go/no-go on Phase 2, supported by: the final WER table against operating thresholds; the cost per language in effort, GPU time and data; the Language Pack procedure validated by having been executed twice; and a Phase 2 plan for Luhya, Kalenjin, Kamba, Somali, Kisii and Maasai. Note that Africa Next Voices already provides Somali, Kalenjin and Maasai — three of those six languages have their primary corpus in hand the moment the gate is accepted, so Phase 2 is substantially cheaper than Phase 1 was.</w:t>
      </w:r>
    </w:p>
    <w:p>
      <w:r>
        <w:br w:type="page"/>
      </w:r>
    </w:p>
    <w:p>
      <w:pPr>
        <w:pStyle w:val="Heading1"/>
        <w:spacing w:after="160" w:before="320"/>
      </w:pPr>
      <w:r>
        <w:t xml:space="preserve">13. Risks and Mitigations</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2300"/>
        <w:gridCol w:w="800"/>
        <w:gridCol w:w="800"/>
        <w:gridCol w:w="5120"/>
      </w:tblGrid>
      <w:tr>
        <w:trPr>
          <w:tblHeader/>
        </w:trPr>
        <w:tc>
          <w:tcPr>
            <w:tcW w:type="dxa" w:w="23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Risk</w:t>
            </w:r>
          </w:p>
        </w:tc>
        <w:tc>
          <w:tcPr>
            <w:tcW w:type="dxa" w:w="8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Likely</w:t>
            </w:r>
          </w:p>
        </w:tc>
        <w:tc>
          <w:tcPr>
            <w:tcW w:type="dxa" w:w="8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Impact</w:t>
            </w:r>
          </w:p>
        </w:tc>
        <w:tc>
          <w:tcPr>
            <w:tcW w:type="dxa" w:w="51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Mitigation</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Studio-to-broadcast domain gap dominates WER; trained models barely beat the baseline</w:t>
            </w:r>
          </w:p>
        </w:tc>
        <w:tc>
          <w:tcPr>
            <w:tcW w:type="dxa" w:w="8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High</w:t>
            </w:r>
          </w:p>
        </w:tc>
        <w:tc>
          <w:tcPr>
            <w:tcW w:type="dxa" w:w="8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High</w:t>
            </w:r>
          </w:p>
        </w:tc>
        <w:tc>
          <w:tcPr>
            <w:tcW w:type="dxa" w:w="51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Capture from day one; build the correction workflow in Step 1; treat in-domain data as the primary lever rather than corpus size. Set expectations now that the first trained model may show a modest gain.</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Africa Next Voices gate is not accepted promptly</w:t>
            </w:r>
          </w:p>
        </w:tc>
        <w:tc>
          <w:tcPr>
            <w:tcW w:type="dxa" w:w="8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Medium</w:t>
            </w:r>
          </w:p>
        </w:tc>
        <w:tc>
          <w:tcPr>
            <w:tcW w:type="dxa" w:w="8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High</w:t>
            </w:r>
          </w:p>
        </w:tc>
        <w:tc>
          <w:tcPr>
            <w:tcW w:type="dxa" w:w="51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Action on day one. It is a minutes-long task on the critical path of the entire programme.</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Paza already trained on Africa Next Voices, so fine-tuning on it adds little</w:t>
            </w:r>
          </w:p>
        </w:tc>
        <w:tc>
          <w:tcPr>
            <w:tcW w:type="dxa" w:w="8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High</w:t>
            </w:r>
          </w:p>
        </w:tc>
        <w:tc>
          <w:tcPr>
            <w:tcW w:type="dxa" w:w="8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Medium</w:t>
            </w:r>
          </w:p>
        </w:tc>
        <w:tc>
          <w:tcPr>
            <w:tcW w:type="dxa" w:w="51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Expected and planned for. The differentiators are language-exclusive capacity, broadcast in-domain data and independent evaluation — not simply re-running the same corpus.</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CC-BY-SA obligations force disclosure of trained weights</w:t>
            </w:r>
          </w:p>
        </w:tc>
        <w:tc>
          <w:tcPr>
            <w:tcW w:type="dxa" w:w="8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Medium</w:t>
            </w:r>
          </w:p>
        </w:tc>
        <w:tc>
          <w:tcPr>
            <w:tcW w:type="dxa" w:w="8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High</w:t>
            </w:r>
          </w:p>
        </w:tc>
        <w:tc>
          <w:tcPr>
            <w:tcW w:type="dxa" w:w="51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Legal review before Step 2. Fall back to CC-BY-4.0 and CC-0 training data only; Africa Next Voices alone is sufficient.</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NLLB non-commercial licence conflicts with the intended deployment</w:t>
            </w:r>
          </w:p>
        </w:tc>
        <w:tc>
          <w:tcPr>
            <w:tcW w:type="dxa" w:w="8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Medium</w:t>
            </w:r>
          </w:p>
        </w:tc>
        <w:tc>
          <w:tcPr>
            <w:tcW w:type="dxa" w:w="8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Medium</w:t>
            </w:r>
          </w:p>
        </w:tc>
        <w:tc>
          <w:tcPr>
            <w:tcW w:type="dxa" w:w="51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Confirm the licensing position before the translation layer becomes load-bearing. Identify a permissively licensed or commercial alternative in parallel.</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Whisper hallucination injects fabricated content into intelligence reports</w:t>
            </w:r>
          </w:p>
        </w:tc>
        <w:tc>
          <w:tcPr>
            <w:tcW w:type="dxa" w:w="8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High</w:t>
            </w:r>
          </w:p>
        </w:tc>
        <w:tc>
          <w:tcPr>
            <w:tcW w:type="dxa" w:w="8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Very high</w:t>
            </w:r>
          </w:p>
        </w:tc>
        <w:tc>
          <w:tcPr>
            <w:tcW w:type="dxa" w:w="51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The Layer 4 filter is mandatory, not optional. Quarantine rather than publish. Every report item carries a confidence indicator and a link to source audio.</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Dholuo tone is unwritten, capping achievable WER</w:t>
            </w:r>
          </w:p>
        </w:tc>
        <w:tc>
          <w:tcPr>
            <w:tcW w:type="dxa" w:w="8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High</w:t>
            </w:r>
          </w:p>
        </w:tc>
        <w:tc>
          <w:tcPr>
            <w:tcW w:type="dxa" w:w="8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Medium</w:t>
            </w:r>
          </w:p>
        </w:tc>
        <w:tc>
          <w:tcPr>
            <w:tcW w:type="dxa" w:w="51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Document as a known language property in the evaluation. Compensate with language-model context rather than treating it as a model defect.</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Stream URLs rotate or streams are withdrawn</w:t>
            </w:r>
          </w:p>
        </w:tc>
        <w:tc>
          <w:tcPr>
            <w:tcW w:type="dxa" w:w="8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Medium</w:t>
            </w:r>
          </w:p>
        </w:tc>
        <w:tc>
          <w:tcPr>
            <w:tcW w:type="dxa" w:w="8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Medium</w:t>
            </w:r>
          </w:p>
        </w:tc>
        <w:tc>
          <w:tcPr>
            <w:tcW w:type="dxa" w:w="51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Resolve channels dynamically; alarm on failure; record fallback URLs in the registry; keep the SDR path viable for Phase 2.</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Local machine throughput constrains the POC</w:t>
            </w:r>
          </w:p>
        </w:tc>
        <w:tc>
          <w:tcPr>
            <w:tcW w:type="dxa" w:w="8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High</w:t>
            </w:r>
          </w:p>
        </w:tc>
        <w:tc>
          <w:tcPr>
            <w:tcW w:type="dxa" w:w="8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Low</w:t>
            </w:r>
          </w:p>
        </w:tc>
        <w:tc>
          <w:tcPr>
            <w:tcW w:type="dxa" w:w="51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Already designed around: continuous capture, selective transcription, roughly five audio-hours per day.</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Sheng has no training corpus</w:t>
            </w:r>
          </w:p>
        </w:tc>
        <w:tc>
          <w:tcPr>
            <w:tcW w:type="dxa" w:w="8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Certain</w:t>
            </w:r>
          </w:p>
        </w:tc>
        <w:tc>
          <w:tcPr>
            <w:tcW w:type="dxa" w:w="8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Medium</w:t>
            </w:r>
          </w:p>
        </w:tc>
        <w:tc>
          <w:tcPr>
            <w:tcW w:type="dxa" w:w="51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Lexicon and normaliser approach for the POC; targeted collection budgeted for Phase 2.</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Architecture ossifies around two languages</w:t>
            </w:r>
          </w:p>
        </w:tc>
        <w:tc>
          <w:tcPr>
            <w:tcW w:type="dxa" w:w="8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Medium</w:t>
            </w:r>
          </w:p>
        </w:tc>
        <w:tc>
          <w:tcPr>
            <w:tcW w:type="dxa" w:w="8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Very high</w:t>
            </w:r>
          </w:p>
        </w:tc>
        <w:tc>
          <w:tcPr>
            <w:tcW w:type="dxa" w:w="51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The Language Pack registry is a Step 1 deliverable and is reviewed at the Step 4 gate specifically against the 44-language requirement.</w:t>
            </w:r>
          </w:p>
        </w:tc>
      </w:tr>
    </w:tbl>
    <w:p>
      <w:r>
        <w:br w:type="page"/>
      </w:r>
    </w:p>
    <w:p>
      <w:pPr>
        <w:pStyle w:val="Heading1"/>
        <w:spacing w:after="160" w:before="320"/>
      </w:pPr>
      <w:r>
        <w:t xml:space="preserve">14. Scaling to the Remaining Languages</w:t>
      </w:r>
    </w:p>
    <w:p>
      <w:pPr>
        <w:pStyle w:val="Heading2"/>
        <w:spacing w:after="120" w:before="260"/>
      </w:pPr>
      <w:r>
        <w:t xml:space="preserve">14.1 The standard procedure for adding a language</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700"/>
        <w:gridCol w:w="2600"/>
        <w:gridCol w:w="3200"/>
        <w:gridCol w:w="2520"/>
      </w:tblGrid>
      <w:tr>
        <w:trPr>
          <w:tblHeader/>
        </w:trPr>
        <w:tc>
          <w:tcPr>
            <w:tcW w:type="dxa" w:w="7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w:t>
            </w:r>
          </w:p>
        </w:tc>
        <w:tc>
          <w:tcPr>
            <w:tcW w:type="dxa" w:w="26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Action</w:t>
            </w:r>
          </w:p>
        </w:tc>
        <w:tc>
          <w:tcPr>
            <w:tcW w:type="dxa" w:w="32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Detail</w:t>
            </w:r>
          </w:p>
        </w:tc>
        <w:tc>
          <w:tcPr>
            <w:tcW w:type="dxa" w:w="25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Typical effort</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1</w:t>
            </w:r>
          </w:p>
        </w:tc>
        <w:tc>
          <w:tcPr>
            <w:tcW w:type="dxa" w:w="26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Register</w:t>
            </w:r>
          </w:p>
        </w:tc>
        <w:tc>
          <w:tcPr>
            <w:tcW w:type="dxa" w:w="32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Add the Language Pack entry: ISO code, stations, priors, orthography rules. The system immediately begins capturing and flagging that language even with no model.</w:t>
            </w:r>
          </w:p>
        </w:tc>
        <w:tc>
          <w:tcPr>
            <w:tcW w:type="dxa" w:w="25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Hours</w:t>
            </w:r>
          </w:p>
        </w:tc>
      </w:tr>
      <w:tr>
        <w:trPr>
          <w:tblHeader w:val="false"/>
        </w:trPr>
        <w:tc>
          <w:tcPr>
            <w:tcW w:type="dxa" w:w="7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2</w:t>
            </w:r>
          </w:p>
        </w:tc>
        <w:tc>
          <w:tcPr>
            <w:tcW w:type="dxa" w:w="26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Assess data</w:t>
            </w:r>
          </w:p>
        </w:tc>
        <w:tc>
          <w:tcPr>
            <w:tcW w:type="dxa" w:w="32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Check Africa Next Voices, WAXAL and community sources. Record hours, licence and quality.</w:t>
            </w:r>
          </w:p>
        </w:tc>
        <w:tc>
          <w:tcPr>
            <w:tcW w:type="dxa" w:w="25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Hours</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3</w:t>
            </w:r>
          </w:p>
        </w:tc>
        <w:tc>
          <w:tcPr>
            <w:tcW w:type="dxa" w:w="26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Baseline</w:t>
            </w:r>
          </w:p>
        </w:tc>
        <w:tc>
          <w:tcPr>
            <w:tcW w:type="dxa" w:w="32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Score existing multilingual models (Paza, Sunbird, MMS) on a small reference set. Some languages may be adequately served with no training at all.</w:t>
            </w:r>
          </w:p>
        </w:tc>
        <w:tc>
          <w:tcPr>
            <w:tcW w:type="dxa" w:w="25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Days</w:t>
            </w:r>
          </w:p>
        </w:tc>
      </w:tr>
      <w:tr>
        <w:trPr>
          <w:tblHeader w:val="false"/>
        </w:trPr>
        <w:tc>
          <w:tcPr>
            <w:tcW w:type="dxa" w:w="7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4</w:t>
            </w:r>
          </w:p>
        </w:tc>
        <w:tc>
          <w:tcPr>
            <w:tcW w:type="dxa" w:w="26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Reference set</w:t>
            </w:r>
          </w:p>
        </w:tc>
        <w:tc>
          <w:tcPr>
            <w:tcW w:type="dxa" w:w="32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Commission expert transcription of broadcast audio. Unavoidable and on the critical path.</w:t>
            </w:r>
          </w:p>
        </w:tc>
        <w:tc>
          <w:tcPr>
            <w:tcW w:type="dxa" w:w="25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Days</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5</w:t>
            </w:r>
          </w:p>
        </w:tc>
        <w:tc>
          <w:tcPr>
            <w:tcW w:type="dxa" w:w="26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Collect if needed</w:t>
            </w:r>
          </w:p>
        </w:tc>
        <w:tc>
          <w:tcPr>
            <w:tcW w:type="dxa" w:w="32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Only where open data is insufficient. This is where paid respondents belong — deliberately, not by default.</w:t>
            </w:r>
          </w:p>
        </w:tc>
        <w:tc>
          <w:tcPr>
            <w:tcW w:type="dxa" w:w="25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Weeks</w:t>
            </w:r>
          </w:p>
        </w:tc>
      </w:tr>
      <w:tr>
        <w:trPr>
          <w:tblHeader w:val="false"/>
        </w:trPr>
        <w:tc>
          <w:tcPr>
            <w:tcW w:type="dxa" w:w="7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6</w:t>
            </w:r>
          </w:p>
        </w:tc>
        <w:tc>
          <w:tcPr>
            <w:tcW w:type="dxa" w:w="26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Train</w:t>
            </w:r>
          </w:p>
        </w:tc>
        <w:tc>
          <w:tcPr>
            <w:tcW w:type="dxa" w:w="32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LoRA adapter on the shared backbone, language-exclusive data.</w:t>
            </w:r>
          </w:p>
        </w:tc>
        <w:tc>
          <w:tcPr>
            <w:tcW w:type="dxa" w:w="25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Hours of GPU time</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7</w:t>
            </w:r>
          </w:p>
        </w:tc>
        <w:tc>
          <w:tcPr>
            <w:tcW w:type="dxa" w:w="26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Evaluate &amp; gate</w:t>
            </w:r>
          </w:p>
        </w:tc>
        <w:tc>
          <w:tcPr>
            <w:tcW w:type="dxa" w:w="32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Against the frozen reference set, with a published service tier: full translation, transcript plus entities, or detect-and-flag only.</w:t>
            </w:r>
          </w:p>
        </w:tc>
        <w:tc>
          <w:tcPr>
            <w:tcW w:type="dxa" w:w="25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Days</w:t>
            </w:r>
          </w:p>
        </w:tc>
      </w:tr>
      <w:tr>
        <w:trPr>
          <w:tblHeader w:val="false"/>
        </w:trPr>
        <w:tc>
          <w:tcPr>
            <w:tcW w:type="dxa" w:w="7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8</w:t>
            </w:r>
          </w:p>
        </w:tc>
        <w:tc>
          <w:tcPr>
            <w:tcW w:type="dxa" w:w="26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Deploy</w:t>
            </w:r>
          </w:p>
        </w:tc>
        <w:tc>
          <w:tcPr>
            <w:tcW w:type="dxa" w:w="32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Adapter published to the pack registry; no pipeline code changes.</w:t>
            </w:r>
          </w:p>
        </w:tc>
        <w:tc>
          <w:tcPr>
            <w:tcW w:type="dxa" w:w="25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Hours</w:t>
            </w:r>
          </w:p>
        </w:tc>
      </w:tr>
    </w:tbl>
    <w:p>
      <w:pPr>
        <w:pStyle w:val="Heading2"/>
        <w:spacing w:after="120" w:before="260"/>
      </w:pPr>
      <w:r>
        <w:t xml:space="preserve">14.2 Service tiers — every language is covered from day one</w:t>
      </w:r>
    </w:p>
    <w:p>
      <w:pPr>
        <w:spacing w:after="120" w:line="276"/>
      </w:pPr>
      <w:r>
        <w:rPr>
          <w:rFonts w:ascii="Calibri" w:cs="Calibri" w:eastAsia="Calibri" w:hAnsi="Calibri"/>
          <w:sz w:val="21"/>
          <w:szCs w:val="21"/>
        </w:rPr>
        <w:t xml:space="preserve">A language does not need a trained model to be useful. Declaring an explicit tier per language lets coverage extend to all 44 immediately while quality arrives progressively, and it sets honest analyst expectations.</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1600"/>
        <w:gridCol w:w="3200"/>
        <w:gridCol w:w="4220"/>
      </w:tblGrid>
      <w:tr>
        <w:trPr>
          <w:tblHeader/>
        </w:trPr>
        <w:tc>
          <w:tcPr>
            <w:tcW w:type="dxa" w:w="16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Tier</w:t>
            </w:r>
          </w:p>
        </w:tc>
        <w:tc>
          <w:tcPr>
            <w:tcW w:type="dxa" w:w="32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Capability</w:t>
            </w:r>
          </w:p>
        </w:tc>
        <w:tc>
          <w:tcPr>
            <w:tcW w:type="dxa" w:w="42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Requirement</w:t>
            </w:r>
          </w:p>
        </w:tc>
      </w:tr>
      <w:tr>
        <w:trPr>
          <w:tblHeader w:val="false"/>
        </w:trPr>
        <w:tc>
          <w:tcPr>
            <w:tcW w:type="dxa" w:w="16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Tier 3 — Detect &amp; flag</w:t>
            </w:r>
          </w:p>
        </w:tc>
        <w:tc>
          <w:tcPr>
            <w:tcW w:type="dxa" w:w="32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The system knows this station carries this language, captures it, and flags activity, volume and timing. No transcript.</w:t>
            </w:r>
          </w:p>
        </w:tc>
        <w:tc>
          <w:tcPr>
            <w:tcW w:type="dxa" w:w="42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Registry entry only</w:t>
            </w:r>
          </w:p>
        </w:tc>
      </w:tr>
      <w:tr>
        <w:trPr>
          <w:tblHeader w:val="false"/>
        </w:trPr>
        <w:tc>
          <w:tcPr>
            <w:tcW w:type="dxa" w:w="16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Tier 2 — Transcript &amp; entities</w:t>
            </w:r>
          </w:p>
        </w:tc>
        <w:tc>
          <w:tcPr>
            <w:tcW w:type="dxa" w:w="32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Vernacular transcript with named entities and keyword matching. Translation not guaranteed.</w:t>
            </w:r>
          </w:p>
        </w:tc>
        <w:tc>
          <w:tcPr>
            <w:tcW w:type="dxa" w:w="42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 model meeting a minimum WER threshold</w:t>
            </w:r>
          </w:p>
        </w:tc>
      </w:tr>
      <w:tr>
        <w:trPr>
          <w:tblHeader w:val="false"/>
        </w:trPr>
        <w:tc>
          <w:tcPr>
            <w:tcW w:type="dxa" w:w="16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Tier 1 — Full service</w:t>
            </w:r>
          </w:p>
        </w:tc>
        <w:tc>
          <w:tcPr>
            <w:tcW w:type="dxa" w:w="32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Transcript, translation, enrichment and full reporting.</w:t>
            </w:r>
          </w:p>
        </w:tc>
        <w:tc>
          <w:tcPr>
            <w:tcW w:type="dxa" w:w="42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 model meeting the operating WER threshold, plus a validated translation path</w:t>
            </w:r>
          </w:p>
        </w:tc>
      </w:tr>
    </w:tbl>
    <w:p>
      <w:pPr>
        <w:pStyle w:val="Heading2"/>
        <w:spacing w:after="120" w:before="260"/>
      </w:pPr>
      <w:r>
        <w:t xml:space="preserve">14.3 Phase 2 readiness, already established</w:t>
      </w:r>
    </w:p>
    <w:p>
      <w:pPr>
        <w:spacing w:after="120" w:line="276"/>
      </w:pPr>
      <w:r>
        <w:rPr>
          <w:rFonts w:ascii="Calibri" w:cs="Calibri" w:eastAsia="Calibri" w:hAnsi="Calibri"/>
          <w:sz w:val="21"/>
          <w:szCs w:val="21"/>
        </w:rPr>
        <w:t xml:space="preserve">Africa Next Voices Kenya contains Somali (502 h), Kalenjin (521 h) and Maasai (505 h) alongside the Kikuyu and Luo splits used in the POC. Paza already covers those three languages as a baseline. Consequently three of the six Phase 2 languages have both a primary corpus and a baseline available the moment the dataset gate is accepted, and their marginal cost after the POC is essentially one training run and one reference set each. Kamba, Kisii and Luhya are the genuinely harder cases — Luhya especially, because it is a cluster of more than fifteen dialects that will not be served by a single pack and should be planned from the outset as multiple packs under a dialect group.</w:t>
      </w:r>
    </w:p>
    <w:p>
      <w:r>
        <w:br w:type="page"/>
      </w:r>
    </w:p>
    <w:p>
      <w:pPr>
        <w:pStyle w:val="Heading1"/>
        <w:spacing w:after="160" w:before="320"/>
      </w:pPr>
      <w:r>
        <w:t xml:space="preserve">15. Legal, Ethical and Governance Considerations</w:t>
      </w:r>
    </w:p>
    <w:p>
      <w:pPr>
        <w:spacing w:after="120" w:line="276"/>
      </w:pPr>
      <w:r>
        <w:rPr>
          <w:rFonts w:ascii="Calibri" w:cs="Calibri" w:eastAsia="Calibri" w:hAnsi="Calibri"/>
          <w:sz w:val="21"/>
          <w:szCs w:val="21"/>
        </w:rPr>
        <w:t xml:space="preserve">These are flagged for the appropriate authority to resolve. They are recorded here because they constrain technical decisions and are cheaper to settle before the architecture assumes an answer.</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2300"/>
        <w:gridCol w:w="6720"/>
      </w:tblGrid>
      <w:tr>
        <w:trPr>
          <w:tblHeader/>
        </w:trPr>
        <w:tc>
          <w:tcPr>
            <w:tcW w:type="dxa" w:w="23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Area</w:t>
            </w:r>
          </w:p>
        </w:tc>
        <w:tc>
          <w:tcPr>
            <w:tcW w:type="dxa" w:w="67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Consideration</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Broadcast recording</w:t>
            </w:r>
          </w:p>
        </w:tc>
        <w:tc>
          <w:tcPr>
            <w:tcW w:type="dxa" w:w="6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Sustained recording of broadcast output engages Kenyan copyright law and the terms of service of the streaming platforms and aggregators involved. The legal basis for the monitoring activity should be established before extended capture, and it may determine whether direct broadcaster feeds must be licensed rather than pulled from public streams.</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Data protection</w:t>
            </w:r>
          </w:p>
        </w:tc>
        <w:tc>
          <w:tcPr>
            <w:tcW w:type="dxa" w:w="67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Broadcasts contain personal data — call-in participants, interviewees, named individuals. The Data Protection Act 2019 applies to processing, retention and disclosure, and its requirements should shape the retention policy rather than being assessed after it is set.</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Dataset licences</w:t>
            </w:r>
          </w:p>
        </w:tc>
        <w:tc>
          <w:tcPr>
            <w:tcW w:type="dxa" w:w="6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CC-BY attribution is straightforward. CC-BY-SA share-alike may extend to trained weights (Section 5.2). NLLB is non-commercial. All three need a position before the models are deployed.</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Community consent</w:t>
            </w:r>
          </w:p>
        </w:tc>
        <w:tc>
          <w:tcPr>
            <w:tcW w:type="dxa" w:w="67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Africa Next Voices and WAXAL were collected under community-led ethical processes with stated purposes. Contributors consented to language technology development. Whether intelligence monitoring falls within that consent is an ethical question distinct from the licence question, and it deserves a deliberate answer rather than an implicit one.</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Accuracy and harm</w:t>
            </w:r>
          </w:p>
        </w:tc>
        <w:tc>
          <w:tcPr>
            <w:tcW w:type="dxa" w:w="67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 mistranslated or hallucinated vernacular phrase can produce a materially false intelligence assessment about a real, identifiable person. Confidence indicators, mandatory source-audio links, human review for consequential reporting, and the hallucination quarantine are all controls against this and should be treated as requirements rather than refinements.</w:t>
            </w:r>
          </w:p>
        </w:tc>
      </w:tr>
      <w:tr>
        <w:trPr>
          <w:tblHeader w:val="false"/>
        </w:trPr>
        <w:tc>
          <w:tcPr>
            <w:tcW w:type="dxa" w:w="23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Auditability</w:t>
            </w:r>
          </w:p>
        </w:tc>
        <w:tc>
          <w:tcPr>
            <w:tcW w:type="dxa" w:w="67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The chain of custody in Section 10.2 exists so that any reported claim can be traced to verified source audio. This protects the product as much as the subject.</w:t>
            </w:r>
          </w:p>
        </w:tc>
      </w:tr>
    </w:tbl>
    <w:p>
      <w:r>
        <w:br w:type="page"/>
      </w:r>
    </w:p>
    <w:p>
      <w:pPr>
        <w:pStyle w:val="Heading1"/>
        <w:spacing w:after="160" w:before="320"/>
      </w:pPr>
      <w:r>
        <w:t xml:space="preserve">Appendix A — Execution Host Inventory</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2600"/>
        <w:gridCol w:w="6420"/>
      </w:tblGrid>
      <w:tr>
        <w:trPr>
          <w:tblHeader/>
        </w:trPr>
        <w:tc>
          <w:tcPr>
            <w:tcW w:type="dxa" w:w="26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Component</w:t>
            </w:r>
          </w:p>
        </w:tc>
        <w:tc>
          <w:tcPr>
            <w:tcW w:type="dxa" w:w="64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Specification</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CPU</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Intel Core i7-1355U, 13th generation, 12 logical cores</w:t>
            </w:r>
          </w:p>
        </w:tc>
      </w:tr>
      <w:tr>
        <w:trPr>
          <w:tblHeader w:val="false"/>
        </w:trPr>
        <w:tc>
          <w:tcPr>
            <w:tcW w:type="dxa" w:w="26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Memory</w:t>
            </w:r>
          </w:p>
        </w:tc>
        <w:tc>
          <w:tcPr>
            <w:tcW w:type="dxa" w:w="64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13.7 GB</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Graphics</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Intel Iris Xe integrated (2 GB shared); WolfVision Virtual Graphics Adapter. No CUDA device.</w:t>
            </w:r>
          </w:p>
        </w:tc>
      </w:tr>
      <w:tr>
        <w:trPr>
          <w:tblHeader w:val="false"/>
        </w:trPr>
        <w:tc>
          <w:tcPr>
            <w:tcW w:type="dxa" w:w="26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Storage</w:t>
            </w:r>
          </w:p>
        </w:tc>
        <w:tc>
          <w:tcPr>
            <w:tcW w:type="dxa" w:w="64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288 GB free of 952 GB</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OS</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Windows 11 Home Single Language 26H1 (build 10.0.26200)</w:t>
            </w:r>
          </w:p>
        </w:tc>
      </w:tr>
      <w:tr>
        <w:trPr>
          <w:tblHeader w:val="false"/>
        </w:trPr>
        <w:tc>
          <w:tcPr>
            <w:tcW w:type="dxa" w:w="26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Present tooling</w:t>
            </w:r>
          </w:p>
        </w:tc>
        <w:tc>
          <w:tcPr>
            <w:tcW w:type="dxa" w:w="64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ffmpeg 9.0, Python 3.13.3, pip 25.0.1, git, Docker Desktop, Google Cloud SDK, Node.js 22.15</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Absent tooling</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yt-dlp, streamlink, torch, transformers, faster-whisper, datasets, librosa — all installable</w:t>
            </w:r>
          </w:p>
        </w:tc>
      </w:tr>
      <w:tr>
        <w:trPr>
          <w:tblHeader w:val="false"/>
        </w:trPr>
        <w:tc>
          <w:tcPr>
            <w:tcW w:type="dxa" w:w="26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Implication</w:t>
            </w:r>
          </w:p>
        </w:tc>
        <w:tc>
          <w:tcPr>
            <w:tcW w:type="dxa" w:w="64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Full pipeline inference host and evaluation host. Not a training host. Approximately 0.5–1.0x realtime per stream for a Whisper-turbo-class model in int8.</w:t>
            </w:r>
          </w:p>
        </w:tc>
      </w:tr>
    </w:tbl>
    <w:p>
      <w:pPr>
        <w:pStyle w:val="Heading1"/>
        <w:spacing w:after="160" w:before="320"/>
      </w:pPr>
      <w:r>
        <w:t xml:space="preserve">Appendix B — Storage and Throughput Arithmetic</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3400"/>
        <w:gridCol w:w="5620"/>
      </w:tblGrid>
      <w:tr>
        <w:trPr>
          <w:tblHeader/>
        </w:trPr>
        <w:tc>
          <w:tcPr>
            <w:tcW w:type="dxa" w:w="34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Quantity</w:t>
            </w:r>
          </w:p>
        </w:tc>
        <w:tc>
          <w:tcPr>
            <w:tcW w:type="dxa" w:w="56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Value</w:t>
            </w:r>
          </w:p>
        </w:tc>
      </w:tr>
      <w:tr>
        <w:trPr>
          <w:tblHeader w:val="false"/>
        </w:trPr>
        <w:tc>
          <w:tcPr>
            <w:tcW w:type="dxa" w:w="3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Archive bitrate per channel</w:t>
            </w:r>
          </w:p>
        </w:tc>
        <w:tc>
          <w:tcPr>
            <w:tcW w:type="dxa" w:w="56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Opus 24 kbps mono at 16 kHz ≈ 10.8 MB per hour</w:t>
            </w:r>
          </w:p>
        </w:tc>
      </w:tr>
      <w:tr>
        <w:trPr>
          <w:tblHeader w:val="false"/>
        </w:trPr>
        <w:tc>
          <w:tcPr>
            <w:tcW w:type="dxa" w:w="34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Six channels, continuous</w:t>
            </w:r>
          </w:p>
        </w:tc>
        <w:tc>
          <w:tcPr>
            <w:tcW w:type="dxa" w:w="56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 1.56 GB per day; ≈ 47 GB per month</w:t>
            </w:r>
          </w:p>
        </w:tc>
      </w:tr>
      <w:tr>
        <w:trPr>
          <w:tblHeader w:val="false"/>
        </w:trPr>
        <w:tc>
          <w:tcPr>
            <w:tcW w:type="dxa" w:w="3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Headroom at 288 GB free</w:t>
            </w:r>
          </w:p>
        </w:tc>
        <w:tc>
          <w:tcPr>
            <w:tcW w:type="dxa" w:w="56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 6 months of continuous six-channel capture before pruning</w:t>
            </w:r>
          </w:p>
        </w:tc>
      </w:tr>
      <w:tr>
        <w:trPr>
          <w:tblHeader w:val="false"/>
        </w:trPr>
        <w:tc>
          <w:tcPr>
            <w:tcW w:type="dxa" w:w="34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Audio produced per day</w:t>
            </w:r>
          </w:p>
        </w:tc>
        <w:tc>
          <w:tcPr>
            <w:tcW w:type="dxa" w:w="56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144 audio-hours across six channels</w:t>
            </w:r>
          </w:p>
        </w:tc>
      </w:tr>
      <w:tr>
        <w:trPr>
          <w:tblHeader w:val="false"/>
        </w:trPr>
        <w:tc>
          <w:tcPr>
            <w:tcW w:type="dxa" w:w="3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Transcribable per day on this machine</w:t>
            </w:r>
          </w:p>
        </w:tc>
        <w:tc>
          <w:tcPr>
            <w:tcW w:type="dxa" w:w="56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 5 audio-hours at the POC priority setting</w:t>
            </w:r>
          </w:p>
        </w:tc>
      </w:tr>
      <w:tr>
        <w:trPr>
          <w:tblHeader w:val="false"/>
        </w:trPr>
        <w:tc>
          <w:tcPr>
            <w:tcW w:type="dxa" w:w="34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Coverage after filtering</w:t>
            </w:r>
          </w:p>
        </w:tc>
        <w:tc>
          <w:tcPr>
            <w:tcW w:type="dxa" w:w="56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Layer 0 scheduling plus Layers 1–2 filtering remove music, advertising and low-value dayparts, so the 5 transcribed hours target the high-value share of the 144 rather than a random 3% of it</w:t>
            </w:r>
          </w:p>
        </w:tc>
      </w:tr>
      <w:tr>
        <w:trPr>
          <w:tblHeader w:val="false"/>
        </w:trPr>
        <w:tc>
          <w:tcPr>
            <w:tcW w:type="dxa" w:w="34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LoRA training cost estimate</w:t>
            </w:r>
          </w:p>
        </w:tc>
        <w:tc>
          <w:tcPr>
            <w:tcW w:type="dxa" w:w="56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Hours, not days, per language on a single 24 GB GPU with a subsampled corpus — to be confirmed empirically at task 2.4</w:t>
            </w:r>
          </w:p>
        </w:tc>
      </w:tr>
    </w:tbl>
    <w:p>
      <w:pPr>
        <w:pStyle w:val="Heading1"/>
        <w:spacing w:after="160" w:before="320"/>
      </w:pPr>
      <w:r>
        <w:t xml:space="preserve">Appendix C — Reference Links</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2800"/>
        <w:gridCol w:w="6220"/>
      </w:tblGrid>
      <w:tr>
        <w:trPr>
          <w:tblHeader/>
        </w:trPr>
        <w:tc>
          <w:tcPr>
            <w:tcW w:type="dxa" w:w="28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Resource</w:t>
            </w:r>
          </w:p>
        </w:tc>
        <w:tc>
          <w:tcPr>
            <w:tcW w:type="dxa" w:w="62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Location</w:t>
            </w:r>
          </w:p>
        </w:tc>
      </w:tr>
      <w:tr>
        <w:trPr>
          <w:tblHeader w:val="false"/>
        </w:trPr>
        <w:tc>
          <w:tcPr>
            <w:tcW w:type="dxa" w:w="28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Paza model</w:t>
            </w:r>
          </w:p>
        </w:tc>
        <w:tc>
          <w:tcPr>
            <w:tcW w:type="dxa" w:w="62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huggingface.co/microsoft/paza-whisper-large-v3-turbo</w:t>
            </w:r>
          </w:p>
        </w:tc>
      </w:tr>
      <w:tr>
        <w:trPr>
          <w:tblHeader w:val="false"/>
        </w:trPr>
        <w:tc>
          <w:tcPr>
            <w:tcW w:type="dxa" w:w="28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Paza announcement and PazaBench</w:t>
            </w:r>
          </w:p>
        </w:tc>
        <w:tc>
          <w:tcPr>
            <w:tcW w:type="dxa" w:w="62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microsoft.com/en-us/research/blog/paza-introducing-automatic-speech-recognition-benchmarks-and-models-for-low-resource-languages/</w:t>
            </w:r>
          </w:p>
        </w:tc>
      </w:tr>
      <w:tr>
        <w:trPr>
          <w:tblHeader w:val="false"/>
        </w:trPr>
        <w:tc>
          <w:tcPr>
            <w:tcW w:type="dxa" w:w="28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WAXAL dataset</w:t>
            </w:r>
          </w:p>
        </w:tc>
        <w:tc>
          <w:tcPr>
            <w:tcW w:type="dxa" w:w="62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huggingface.co/datasets/google/WaxalNLP</w:t>
            </w:r>
          </w:p>
        </w:tc>
      </w:tr>
      <w:tr>
        <w:trPr>
          <w:tblHeader w:val="false"/>
        </w:trPr>
        <w:tc>
          <w:tcPr>
            <w:tcW w:type="dxa" w:w="28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Africa Next Voices — Kenya</w:t>
            </w:r>
          </w:p>
        </w:tc>
        <w:tc>
          <w:tcPr>
            <w:tcW w:type="dxa" w:w="62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huggingface.co/datasets/MCAA1-MSU/anv_data_ke</w:t>
            </w:r>
          </w:p>
        </w:tc>
      </w:tr>
      <w:tr>
        <w:trPr>
          <w:tblHeader w:val="false"/>
        </w:trPr>
        <w:tc>
          <w:tcPr>
            <w:tcW w:type="dxa" w:w="28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Africa Next Voices organisation</w:t>
            </w:r>
          </w:p>
        </w:tc>
        <w:tc>
          <w:tcPr>
            <w:tcW w:type="dxa" w:w="62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huggingface.co/Anv-ke</w:t>
            </w:r>
          </w:p>
        </w:tc>
      </w:tr>
      <w:tr>
        <w:trPr>
          <w:tblHeader w:val="false"/>
        </w:trPr>
        <w:tc>
          <w:tcPr>
            <w:tcW w:type="dxa" w:w="28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Whisper large-v3-turbo</w:t>
            </w:r>
          </w:p>
        </w:tc>
        <w:tc>
          <w:tcPr>
            <w:tcW w:type="dxa" w:w="62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huggingface.co/openai/whisper-large-v3-turbo</w:t>
            </w:r>
          </w:p>
        </w:tc>
      </w:tr>
      <w:tr>
        <w:trPr>
          <w:tblHeader w:val="false"/>
        </w:trPr>
        <w:tc>
          <w:tcPr>
            <w:tcW w:type="dxa" w:w="28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Sunbird 51 African languages</w:t>
            </w:r>
          </w:p>
        </w:tc>
        <w:tc>
          <w:tcPr>
            <w:tcW w:type="dxa" w:w="62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huggingface.co/Sunbird/asr-whisper-51-african-languages</w:t>
            </w:r>
          </w:p>
        </w:tc>
      </w:tr>
      <w:tr>
        <w:trPr>
          <w:tblHeader w:val="false"/>
        </w:trPr>
        <w:tc>
          <w:tcPr>
            <w:tcW w:type="dxa" w:w="28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Swahili fine-tune candidate</w:t>
            </w:r>
          </w:p>
        </w:tc>
        <w:tc>
          <w:tcPr>
            <w:tcW w:type="dxa" w:w="62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huggingface.co/openchs/asr-whisper-largev3-finetuned</w:t>
            </w:r>
          </w:p>
        </w:tc>
      </w:tr>
    </w:tbl>
    <w:p>
      <w:pPr>
        <w:pStyle w:val="Heading1"/>
        <w:spacing w:after="160" w:before="320"/>
      </w:pPr>
      <w:r>
        <w:t xml:space="preserve">Appendix D — Open Questions for Decision</w:t>
      </w:r>
    </w:p>
    <w:tbl>
      <w:tblPr>
        <w:tblW w:type="dxa" w:w="9020"/>
        <w:tblBorders>
          <w:top w:val="single" w:color="AAB7C4" w:sz="4"/>
          <w:left w:val="single" w:color="AAB7C4" w:sz="4"/>
          <w:bottom w:val="single" w:color="AAB7C4" w:sz="4"/>
          <w:right w:val="single" w:color="AAB7C4" w:sz="4"/>
          <w:insideH w:val="single" w:color="C9D3DD" w:sz="2"/>
          <w:insideV w:val="single" w:color="C9D3DD" w:sz="2"/>
        </w:tblBorders>
      </w:tblPr>
      <w:tblGrid>
        <w:gridCol w:w="700"/>
        <w:gridCol w:w="5700"/>
        <w:gridCol w:w="2620"/>
      </w:tblGrid>
      <w:tr>
        <w:trPr>
          <w:tblHeader/>
        </w:trPr>
        <w:tc>
          <w:tcPr>
            <w:tcW w:type="dxa" w:w="7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w:t>
            </w:r>
          </w:p>
        </w:tc>
        <w:tc>
          <w:tcPr>
            <w:tcW w:type="dxa" w:w="570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Question</w:t>
            </w:r>
          </w:p>
        </w:tc>
        <w:tc>
          <w:tcPr>
            <w:tcW w:type="dxa" w:w="2620"/>
            <w:shd w:fill="DCE6F1"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Owner</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1</w:t>
            </w:r>
          </w:p>
        </w:tc>
        <w:tc>
          <w:tcPr>
            <w:tcW w:type="dxa" w:w="5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What is the legal basis for sustained broadcast recording, and does it require licensed feeds rather than public streams?</w:t>
            </w:r>
          </w:p>
        </w:tc>
        <w:tc>
          <w:tcPr>
            <w:tcW w:type="dxa" w:w="26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Legal</w:t>
            </w:r>
          </w:p>
        </w:tc>
      </w:tr>
      <w:tr>
        <w:trPr>
          <w:tblHeader w:val="false"/>
        </w:trPr>
        <w:tc>
          <w:tcPr>
            <w:tcW w:type="dxa" w:w="7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2</w:t>
            </w:r>
          </w:p>
        </w:tc>
        <w:tc>
          <w:tcPr>
            <w:tcW w:type="dxa" w:w="57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Does training on CC-BY-SA audio create a share-alike obligation on the resulting weights?</w:t>
            </w:r>
          </w:p>
        </w:tc>
        <w:tc>
          <w:tcPr>
            <w:tcW w:type="dxa" w:w="26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Legal</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3</w:t>
            </w:r>
          </w:p>
        </w:tc>
        <w:tc>
          <w:tcPr>
            <w:tcW w:type="dxa" w:w="5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Is the NLLB non-commercial licence compatible with the intended deployment?</w:t>
            </w:r>
          </w:p>
        </w:tc>
        <w:tc>
          <w:tcPr>
            <w:tcW w:type="dxa" w:w="26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Legal</w:t>
            </w:r>
          </w:p>
        </w:tc>
      </w:tr>
      <w:tr>
        <w:trPr>
          <w:tblHeader w:val="false"/>
        </w:trPr>
        <w:tc>
          <w:tcPr>
            <w:tcW w:type="dxa" w:w="7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4</w:t>
            </w:r>
          </w:p>
        </w:tc>
        <w:tc>
          <w:tcPr>
            <w:tcW w:type="dxa" w:w="57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Does intelligence monitoring fall within the community consent under which Africa Next Voices and WAXAL were collected?</w:t>
            </w:r>
          </w:p>
        </w:tc>
        <w:tc>
          <w:tcPr>
            <w:tcW w:type="dxa" w:w="26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Programme / Ethics</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5</w:t>
            </w:r>
          </w:p>
        </w:tc>
        <w:tc>
          <w:tcPr>
            <w:tcW w:type="dxa" w:w="5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What WER threshold defines Tier 1, Tier 2 and Tier 3 service for a language?</w:t>
            </w:r>
          </w:p>
        </w:tc>
        <w:tc>
          <w:tcPr>
            <w:tcW w:type="dxa" w:w="26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Programme</w:t>
            </w:r>
          </w:p>
        </w:tc>
      </w:tr>
      <w:tr>
        <w:trPr>
          <w:tblHeader w:val="false"/>
        </w:trPr>
        <w:tc>
          <w:tcPr>
            <w:tcW w:type="dxa" w:w="7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6</w:t>
            </w:r>
          </w:p>
        </w:tc>
        <w:tc>
          <w:tcPr>
            <w:tcW w:type="dxa" w:w="57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What is the retention policy for captured broadcast audio and for personal data within it?</w:t>
            </w:r>
          </w:p>
        </w:tc>
        <w:tc>
          <w:tcPr>
            <w:tcW w:type="dxa" w:w="26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Programme / Legal</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7</w:t>
            </w:r>
          </w:p>
        </w:tc>
        <w:tc>
          <w:tcPr>
            <w:tcW w:type="dxa" w:w="570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Which cloud account and budget will host the training runs?</w:t>
            </w:r>
          </w:p>
        </w:tc>
        <w:tc>
          <w:tcPr>
            <w:tcW w:type="dxa" w:w="2620"/>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Programme</w:t>
            </w:r>
          </w:p>
        </w:tc>
      </w:tr>
      <w:tr>
        <w:trPr>
          <w:tblHeader w:val="false"/>
        </w:trPr>
        <w:tc>
          <w:tcPr>
            <w:tcW w:type="dxa" w:w="7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8</w:t>
            </w:r>
          </w:p>
        </w:tc>
        <w:tc>
          <w:tcPr>
            <w:tcW w:type="dxa" w:w="570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Who commissions and quality-assures the expert transcription of the reference sets?</w:t>
            </w:r>
          </w:p>
        </w:tc>
        <w:tc>
          <w:tcPr>
            <w:tcW w:type="dxa" w:w="2620"/>
            <w:shd w:fill="F2F6FA" w:color="auto" w:val="clear"/>
            <w:tcMar>
              <w:top w:type="dxa" w:w="70"/>
              <w:left w:type="dxa" w:w="110"/>
              <w:bottom w:type="dxa" w:w="70"/>
              <w:right w:type="dxa" w:w="110"/>
            </w:tcMar>
          </w:tcPr>
          <w:p>
            <w:pPr>
              <w:spacing w:after="0" w:line="252"/>
            </w:pPr>
            <w:r>
              <w:rPr>
                <w:rFonts w:ascii="Calibri" w:cs="Calibri" w:eastAsia="Calibri" w:hAnsi="Calibri"/>
                <w:b w:val="false"/>
                <w:bCs w:val="false"/>
                <w:sz w:val="19"/>
                <w:szCs w:val="19"/>
              </w:rPr>
              <w:t xml:space="preserve">Programme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D" w:sz="4"/>
      </w:pBdr>
      <w:jc w:val="right"/>
    </w:pPr>
    <w:r>
      <w:rPr>
        <w:rFonts w:ascii="Calibri" w:cs="Calibri" w:eastAsia="Calibri" w:hAnsi="Calibri"/>
        <w:color w:val="888888"/>
        <w:sz w:val="16"/>
        <w:szCs w:val="16"/>
      </w:rPr>
      <w:t xml:space="preserve">OSINT Intelligence System  ·  POC Implementation Plan (Kikuyu &amp; Luo)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0"/>
      </w:pPr>
    </w:lvl>
    <w:lvl w:ilvl="1" w15:tentative="1">
      <w:start w:val="1"/>
      <w:numFmt w:val="bullet"/>
      <w:lvlText w:val="◦"/>
      <w:lvlJc w:val="left"/>
      <w:pPr>
        <w:ind w:left="760" w:hanging="250"/>
      </w:pPr>
    </w:lvl>
  </w:abstractNum>
  <w:abstractNum w:abstractNumId="3"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outlineLvl w:val="0"/>
    </w:pPr>
    <w:rPr>
      <w:rFonts w:ascii="Calibri Light" w:cs="Calibri Light" w:eastAsia="Calibri Light" w:hAnsi="Calibri Light"/>
      <w:b/>
      <w:bCs/>
      <w:color w:val="1F4E79"/>
      <w:sz w:val="32"/>
      <w:szCs w:val="32"/>
    </w:rPr>
  </w:style>
  <w:style w:type="paragraph" w:styleId="Heading2">
    <w:name w:val="Heading 2"/>
    <w:basedOn w:val="Normal"/>
    <w:next w:val="Normal"/>
    <w:qFormat/>
    <w:pPr>
      <w:spacing w:after="120" w:before="260"/>
      <w:outlineLvl w:val="1"/>
    </w:pPr>
    <w:rPr>
      <w:rFonts w:ascii="Calibri Light" w:cs="Calibri Light" w:eastAsia="Calibri Light" w:hAnsi="Calibri Light"/>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OSINT Intelligence System — POC Implementation Plan (Kikuyu and Luo)</dc:title>
  <dc:creator>OSINT Programme</dc:creator>
  <dc:description>Phase 1 proof of concept plan for Kenyan vernacular broadcast ASR, translation and reporting</dc:description>
  <cp:lastModifiedBy>Un-named</cp:lastModifiedBy>
  <cp:revision>1</cp:revision>
  <dcterms:created xsi:type="dcterms:W3CDTF">2026-09-22T11:16:44.645Z</dcterms:created>
  <dcterms:modified xsi:type="dcterms:W3CDTF">2026-09-22T11:16:44.646Z</dcterms:modified>
</cp:coreProperties>
</file>

<file path=docProps/custom.xml><?xml version="1.0" encoding="utf-8"?>
<Properties xmlns="http://schemas.openxmlformats.org/officeDocument/2006/custom-properties" xmlns:vt="http://schemas.openxmlformats.org/officeDocument/2006/docPropsVTypes"/>
</file>