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Effects</w:t>
      </w:r>
      <w:r>
        <w:t xml:space="preserve"> </w:t>
      </w:r>
      <w:r>
        <w:t xml:space="preserve">of</w:t>
      </w:r>
      <w:r>
        <w:t xml:space="preserve"> </w:t>
      </w:r>
      <w:r>
        <w:t xml:space="preserve">Source</w:t>
      </w:r>
      <w:r>
        <w:t xml:space="preserve"> </w:t>
      </w:r>
      <w:r>
        <w:t xml:space="preserve">and</w:t>
      </w:r>
      <w:r>
        <w:t xml:space="preserve"> </w:t>
      </w:r>
      <w:r>
        <w:t xml:space="preserve">Processing</w:t>
      </w:r>
      <w:r>
        <w:t xml:space="preserve"> </w:t>
      </w:r>
      <w:r>
        <w:t xml:space="preserve">on</w:t>
      </w:r>
      <w:r>
        <w:t xml:space="preserve"> </w:t>
      </w:r>
      <w:r>
        <w:t xml:space="preserve">Protein</w:t>
      </w:r>
      <w:r>
        <w:t xml:space="preserve"> </w:t>
      </w:r>
      <w:r>
        <w:t xml:space="preserve">and</w:t>
      </w:r>
      <w:r>
        <w:t xml:space="preserve"> </w:t>
      </w:r>
      <w:r>
        <w:t xml:space="preserve">Lipid</w:t>
      </w:r>
      <w:r>
        <w:t xml:space="preserve"> </w:t>
      </w:r>
      <w:r>
        <w:t xml:space="preserve">in</w:t>
      </w:r>
      <w:r>
        <w:t xml:space="preserve"> </w:t>
      </w:r>
      <w:r>
        <w:t xml:space="preserve">Plant-Derived</w:t>
      </w:r>
      <w:r>
        <w:t xml:space="preserve"> </w:t>
      </w:r>
      <w:r>
        <w:t xml:space="preserve">Foods</w:t>
      </w:r>
    </w:p>
    <w:bookmarkStart w:id="20" w:name="X84df4cccab1becc789bdf17301c16f2f60f16dc"/>
    <w:p>
      <w:pPr>
        <w:pStyle w:val="Heading1"/>
      </w:pPr>
      <w:r>
        <w:t xml:space="preserve">The Effects of Source and Processing on Protein and Lipid in Plant-Derived Foods</w:t>
      </w:r>
    </w:p>
    <w:p>
      <w:pPr>
        <w:pStyle w:val="FirstParagraph"/>
      </w:pPr>
      <w:r>
        <w:rPr>
          <w:bCs/>
          <w:b/>
        </w:rPr>
        <w:t xml:space="preserve">Group Research Project Proposal</w:t>
      </w:r>
    </w:p>
    <w:p>
      <w:pPr>
        <w:pStyle w:val="BodyText"/>
      </w:pPr>
      <w:r>
        <w:t xml:space="preserve">Group number: [Group X]</w:t>
      </w:r>
    </w:p>
    <w:p>
      <w:pPr>
        <w:pStyle w:val="BodyText"/>
      </w:pPr>
      <w:r>
        <w:t xml:space="preserve">Authors: [Author Name 1, Student ID], [Author Name 2, Student ID], [Author Name 3, Student ID], [Author Name 4, Student ID]</w:t>
      </w:r>
    </w:p>
    <w:bookmarkEnd w:id="20"/>
    <w:bookmarkStart w:id="21" w:name="table-of-contents"/>
    <w:p>
      <w:pPr>
        <w:pStyle w:val="Heading1"/>
      </w:pPr>
      <w:r>
        <w:t xml:space="preserve">Table of Contents</w:t>
      </w:r>
    </w:p>
    <w:p>
      <w:pPr>
        <w:numPr>
          <w:ilvl w:val="0"/>
          <w:numId w:val="1001"/>
        </w:numPr>
        <w:pStyle w:val="Compact"/>
      </w:pPr>
      <w:r>
        <w:t xml:space="preserve">Abstract</w:t>
      </w:r>
    </w:p>
    <w:p>
      <w:pPr>
        <w:numPr>
          <w:ilvl w:val="0"/>
          <w:numId w:val="1001"/>
        </w:numPr>
        <w:pStyle w:val="Compact"/>
      </w:pPr>
      <w:r>
        <w:t xml:space="preserve">Introduction</w:t>
      </w:r>
    </w:p>
    <w:p>
      <w:pPr>
        <w:numPr>
          <w:ilvl w:val="0"/>
          <w:numId w:val="1001"/>
        </w:numPr>
        <w:pStyle w:val="Compact"/>
      </w:pPr>
      <w:r>
        <w:t xml:space="preserve">Literature Review</w:t>
      </w:r>
    </w:p>
    <w:p>
      <w:pPr>
        <w:numPr>
          <w:ilvl w:val="1"/>
          <w:numId w:val="1002"/>
        </w:numPr>
        <w:pStyle w:val="Compact"/>
      </w:pPr>
      <w:r>
        <w:t xml:space="preserve">3.1 Protein: Sample Selection (Almond Milk vs Soy Milk)</w:t>
      </w:r>
    </w:p>
    <w:p>
      <w:pPr>
        <w:numPr>
          <w:ilvl w:val="1"/>
          <w:numId w:val="1002"/>
        </w:numPr>
        <w:pStyle w:val="Compact"/>
      </w:pPr>
      <w:r>
        <w:t xml:space="preserve">3.2 Protein: Methodological Justification (Bradford vs Biuret)</w:t>
      </w:r>
    </w:p>
    <w:p>
      <w:pPr>
        <w:numPr>
          <w:ilvl w:val="1"/>
          <w:numId w:val="1002"/>
        </w:numPr>
        <w:pStyle w:val="Compact"/>
      </w:pPr>
      <w:r>
        <w:t xml:space="preserve">3.3 Protein: Instrumental Data Integration (HPLC)</w:t>
      </w:r>
    </w:p>
    <w:p>
      <w:pPr>
        <w:numPr>
          <w:ilvl w:val="1"/>
          <w:numId w:val="1002"/>
        </w:numPr>
        <w:pStyle w:val="Compact"/>
      </w:pPr>
      <w:r>
        <w:t xml:space="preserve">3.4 Lipid: Sample Selection (Walnut Oil vs Soybean Oil)</w:t>
      </w:r>
    </w:p>
    <w:p>
      <w:pPr>
        <w:numPr>
          <w:ilvl w:val="1"/>
          <w:numId w:val="1002"/>
        </w:numPr>
        <w:pStyle w:val="Compact"/>
      </w:pPr>
      <w:r>
        <w:t xml:space="preserve">3.5 Lipid: Methodological Justification (Acid Value vs Peroxide Value)</w:t>
      </w:r>
    </w:p>
    <w:p>
      <w:pPr>
        <w:numPr>
          <w:ilvl w:val="1"/>
          <w:numId w:val="1002"/>
        </w:numPr>
        <w:pStyle w:val="Compact"/>
      </w:pPr>
      <w:r>
        <w:t xml:space="preserve">3.6 Lipid: Instrumental Data Integration (GC)</w:t>
      </w:r>
    </w:p>
    <w:p>
      <w:pPr>
        <w:numPr>
          <w:ilvl w:val="0"/>
          <w:numId w:val="1001"/>
        </w:numPr>
        <w:pStyle w:val="Compact"/>
      </w:pPr>
      <w:r>
        <w:t xml:space="preserve">Method: Experimental Design and Statistical Analysis</w:t>
      </w:r>
    </w:p>
    <w:p>
      <w:pPr>
        <w:numPr>
          <w:ilvl w:val="0"/>
          <w:numId w:val="1001"/>
        </w:numPr>
        <w:pStyle w:val="Compact"/>
      </w:pPr>
      <w:r>
        <w:t xml:space="preserve">Conclusion</w:t>
      </w:r>
    </w:p>
    <w:p>
      <w:pPr>
        <w:numPr>
          <w:ilvl w:val="0"/>
          <w:numId w:val="1001"/>
        </w:numPr>
        <w:pStyle w:val="Compact"/>
      </w:pPr>
      <w:r>
        <w:t xml:space="preserve">References</w:t>
      </w:r>
    </w:p>
    <w:bookmarkEnd w:id="21"/>
    <w:bookmarkStart w:id="22" w:name="abstract"/>
    <w:p>
      <w:pPr>
        <w:pStyle w:val="Heading1"/>
      </w:pPr>
      <w:r>
        <w:t xml:space="preserve">Abstract</w:t>
      </w:r>
    </w:p>
    <w:p>
      <w:pPr>
        <w:pStyle w:val="FirstParagraph"/>
      </w:pPr>
      <w:r>
        <w:t xml:space="preserve">Plant-derived foods vary in composition with source, formulation and processing. This study compares protein in commercial soy and almond milks and lipid in cold-pressed walnut and refined soybean oils. Bradford-reactive protein (mg BSA equivalents/mL) will be measured by the Bradford assay, selected for its high sensitivity, which permits substantial sample dilution and may reduce turbidity-related interference; acid value was selected as a relatively stable measure of free fatty acids in cold-pressed versus refined oils. Three production lots per product will be analysed in triplicate, and lot means compared with exploratory two-sample t-tests in Minitab, reporting mean differences, 95% confidence intervals and p-values. HPLC amino acid and GC fatty acid profiles will complement and extend interpretation. Soy milk is expected to show higher Bradford-reactive protein and walnut oil a higher acid value; because source, formulation and processing are not independently controlled, findings represent product-specific differences rather than causal effects.</w:t>
      </w:r>
    </w:p>
    <w:bookmarkEnd w:id="22"/>
    <w:bookmarkStart w:id="23" w:name="introduction"/>
    <w:p>
      <w:pPr>
        <w:pStyle w:val="Heading1"/>
      </w:pPr>
      <w:r>
        <w:t xml:space="preserve">Introduction</w:t>
      </w:r>
    </w:p>
    <w:p>
      <w:pPr>
        <w:pStyle w:val="FirstParagraph"/>
      </w:pPr>
      <w:r>
        <w:t xml:space="preserve">Plant-derived foods occupy a growing share of the global food supply, yet their composition varies with both the botanical raw material and the unit operations that produce the finished food (Sethi et al., 2016; Vanga &amp; Raghavan, 2018). Source-associated differences arise because plant tissues store macronutrients differently: soybeans contain roughly 36–40% protein on a dry basis, whereas in almonds lipid is the dominant storage reserve, and walnut oil is unusually rich in α-linolenic acid (Martínez et al., 2010; Vanga &amp; Raghavan, 2018).</w:t>
      </w:r>
    </w:p>
    <w:p>
      <w:pPr>
        <w:pStyle w:val="BodyText"/>
      </w:pPr>
      <w:r>
        <w:t xml:space="preserve">Processing matters equally: plant milks are produced by soaking, wet milling, filtration, formulation and thermal treatment, steps that dilute and partially remove protein (Sethi et al., 2016). Cold pressing extracts oil mechanically at relatively low temperature and does not include the alkali-neutralisation step used to remove free fatty acids (FFA), whereas industrial refining removes FFA through neutralisation and subsequent operations (Gharby, 2022).</w:t>
      </w:r>
    </w:p>
    <w:p>
      <w:pPr>
        <w:pStyle w:val="BodyText"/>
      </w:pPr>
      <w:r>
        <w:t xml:space="preserve">Because source, formulation and processing are not independently manipulated in this study, the selected products represent combined commercial conditions rather than isolated causal factors. The research question is: how are source- and processing-associated differences reflected in Bradford-reactive protein concentration in commercial soy and almond milks and in acid value in cold-pressed walnut and refined soybean oils, and how can HPLC amino acid and GC fatty acid profiles support interpretation of these differences? The aim is to compare Bradford-reactive protein concentration and acid value among the selected products, using the supplied HPLC and GC profiles to provide compositional context. Two hypotheses are proposed. H1: commercial soy milk will have a higher Bradford-reactive protein concentration (BSA equivalents) than commercial almond milk, consistent with the greater protein density of the legume raw material. H2: cold-pressed walnut oil will have a higher acid value than refined soybean oil, based on the removal of free fatty acids during refining neutralisation.</w:t>
      </w:r>
    </w:p>
    <w:bookmarkEnd w:id="23"/>
    <w:bookmarkStart w:id="30" w:name="literature-review"/>
    <w:p>
      <w:pPr>
        <w:pStyle w:val="Heading1"/>
      </w:pPr>
      <w:r>
        <w:t xml:space="preserve">Literature Review</w:t>
      </w:r>
    </w:p>
    <w:bookmarkStart w:id="24" w:name="Xd0c78794b0fab0eeb60504a4388d86064321649"/>
    <w:p>
      <w:pPr>
        <w:pStyle w:val="Heading2"/>
      </w:pPr>
      <w:r>
        <w:t xml:space="preserve">3.1 Protein: Sample Selection (Almond Milk vs Soy Milk)</w:t>
      </w:r>
    </w:p>
    <w:p>
      <w:pPr>
        <w:pStyle w:val="FirstParagraph"/>
      </w:pPr>
      <w:r>
        <w:t xml:space="preserve">Soy and almond milks are the most established milk alternatives and provide a meaningful protein contrast. Commercial soy milk typically contains 2.9–3.3 g protein per 100 mL, comparable to bovine milk, whereas almond milk generally supplies only 0.4–0.6 g per 100 mL (Jeske et al., 2017; Vanga &amp; Raghavan, 2018). Because both beverages are manufactured through broadly similar operations, this difference likely reflects the raw material and formulation level rather than processing chemistry (Sethi et al., 2016). The pairing highlights a source-associated difference and is nutritionally relevant, since consumers replacing dairy with almond milk may unknowingly reduce protein intake (Vanga &amp; Raghavan, 2018).</w:t>
      </w:r>
    </w:p>
    <w:bookmarkEnd w:id="24"/>
    <w:bookmarkStart w:id="25" w:name="X13c54cad5d15271b1a83ac8b42254415046ca01"/>
    <w:p>
      <w:pPr>
        <w:pStyle w:val="Heading2"/>
      </w:pPr>
      <w:r>
        <w:t xml:space="preserve">3.2 Protein: Methodological Justification (Bradford vs Biuret)</w:t>
      </w:r>
    </w:p>
    <w:p>
      <w:pPr>
        <w:pStyle w:val="FirstParagraph"/>
      </w:pPr>
      <w:r>
        <w:t xml:space="preserve">The Bradford assay quantifies protein through binding of Coomassie Brilliant Blue G-250 to arginine and hydrophobic residues under acidic conditions, shifting the dye’s absorbance maximum from 465 to 595 nm (Bradford, 1976). Its advantages are sensitivity (approximately 1–20 µg protein), speed, and tolerance of common buffer components (Bradford, 1976; Kruger, 2009). This sensitivity, and the dilution it permits, suits plant-milk emulsions: measuring low-protein almond milk with the Biuret method, whose working range lies in the milligram region, would be more demanding (Gornall et al., 1949).</w:t>
      </w:r>
    </w:p>
    <w:p>
      <w:pPr>
        <w:pStyle w:val="BodyText"/>
      </w:pPr>
      <w:r>
        <w:t xml:space="preserve">The Biuret method, in which Cu²⁺ complexes with peptide bonds in alkali to form a chromophore absorbing at 540 nm, responds to the peptide backbone rather than specific side chains, so its colour yield varies little between proteins (Gornall et al., 1949). By contrast, Bradford dye binding depends on amino acid composition, so plant proteins may respond differently from the bovine serum albumin (BSA) standard, and results can be depressed by detergents or non-linearity (Kruger, 2009). These limitations are manageable: all samples will be calibrated against the same BSA curve and reported as BSA equivalents, and high dilution may reduce the lipid turbidity that interferes with Biuret photometry. On balance, Bradford is the more defensible choice for dilute emulsified beverages, provided its dye-binding bias is interpreted alongside instrumental data.</w:t>
      </w:r>
    </w:p>
    <w:bookmarkEnd w:id="25"/>
    <w:bookmarkStart w:id="26" w:name="Xf3e67c4feecf03a746b6e34a24a0754cddc2ba2"/>
    <w:p>
      <w:pPr>
        <w:pStyle w:val="Heading2"/>
      </w:pPr>
      <w:r>
        <w:t xml:space="preserve">3.3 Protein: Instrumental Data Integration (HPLC)</w:t>
      </w:r>
    </w:p>
    <w:p>
      <w:pPr>
        <w:pStyle w:val="FirstParagraph"/>
      </w:pPr>
      <w:r>
        <w:t xml:space="preserve">The Bradford assay reports only Bradford-reactive protein as BSA equivalents, with no information on protein quality, and its output is biased by amino acid composition (Kruger, 2009). The supplied HPLC amino acid dataset helps address both weaknesses. Because HPLC quantifies individual amino acids after hydrolysis and derivatisation (Otter, 2012), it provides compositional context for the Bradford totals, indicating whether dye-binding bias influenced the soy–almond comparison. The profile also extends the findings by showing whether soy milk delivers a more complete essential amino acid spectrum, particularly lysine, supporting nutritional interpretation.</w:t>
      </w:r>
    </w:p>
    <w:bookmarkEnd w:id="26"/>
    <w:bookmarkStart w:id="27" w:name="X2c87a827bf71408bad9c31b438cd0dc18ccefc2"/>
    <w:p>
      <w:pPr>
        <w:pStyle w:val="Heading2"/>
      </w:pPr>
      <w:r>
        <w:t xml:space="preserve">3.4 Lipid: Sample Selection (Walnut Oil vs Soybean Oil)</w:t>
      </w:r>
    </w:p>
    <w:p>
      <w:pPr>
        <w:pStyle w:val="FirstParagraph"/>
      </w:pPr>
      <w:r>
        <w:t xml:space="preserve">Walnut and soybean oils form a pairing in which both source and processing differ systematically. Walnut oil contains approximately 70% polyunsaturated fatty acids, including 10–14% α-linolenic acid, and is typically cold-pressed to preserve flavour and minor constituents (Martínez et al., 2010). Soybean oil, dominated by linoleic acid, is almost universally chemically refined, including alkali neutralisation that removes free fatty acids (Gharby, 2022). Comparing cold-pressed with refined oil provides a relevant contrast in processing-associated hydrolytic quality: Codex standards permit acid values up to 4.0 mg KOH/g in cold-pressed but only 0.6 in refined oils (Codex Alimentarius Commission, 1999). Both oils are also marketed as sources of essential fatty acids whose quality deteriorates through hydrolysis and oxidation (Choe &amp; Min, 2006).</w:t>
      </w:r>
    </w:p>
    <w:bookmarkEnd w:id="27"/>
    <w:bookmarkStart w:id="28" w:name="X55634b26b6181ad3b5b6a4b7634d42ec43deb00"/>
    <w:p>
      <w:pPr>
        <w:pStyle w:val="Heading2"/>
      </w:pPr>
      <w:r>
        <w:t xml:space="preserve">3.5 Lipid: Methodological Justification (Acid Value vs Peroxide Value)</w:t>
      </w:r>
    </w:p>
    <w:p>
      <w:pPr>
        <w:pStyle w:val="FirstParagraph"/>
      </w:pPr>
      <w:r>
        <w:t xml:space="preserve">Acid value (AV) measures hydrolytic rancidity as milligrams of potassium hydroxide needed to neutralise the free fatty acids in 1 g of oil, by titration to a phenolphthalein endpoint (AOCS, 2017). FFA are chemically stable analytes, so AV changes little between sampling and analysis. AV is also relevant to the processing contrast because refining neutralisation removes FFA (Gharby, 2022), although raw material quality, lipase activity and storage conditions also influence free acidity. The titration is also simple, inexpensive and reproducible.</w:t>
      </w:r>
    </w:p>
    <w:p>
      <w:pPr>
        <w:pStyle w:val="BodyText"/>
      </w:pPr>
      <w:r>
        <w:t xml:space="preserve">Peroxide value (PV), the alternative, measures primary oxidation by iodometric titration of hydroperoxides (AOCS, 2017). Although PV detects early oxidative rancidity (Choe &amp; Min, 2006), it is weak for single-time-point comparisons: hydroperoxides accumulate and then decompose, so an identical PV can reflect early or advanced oxidation (Shahidi &amp; Zhong, 2005). The iodometric procedure is also sensitive to light, temperature and dissolved oxygen (Shahidi &amp; Zhong, 2005), so AV is preferred as the more stable index. AV is blind to oxidative deterioration, and endpoint detection can be obscured in deeply coloured oils, though both selected oils permit reliable titration.</w:t>
      </w:r>
    </w:p>
    <w:bookmarkEnd w:id="28"/>
    <w:bookmarkStart w:id="29" w:name="lipid-instrumental-data-integration-gc"/>
    <w:p>
      <w:pPr>
        <w:pStyle w:val="Heading2"/>
      </w:pPr>
      <w:r>
        <w:t xml:space="preserve">3.6 Lipid: Instrumental Data Integration (GC)</w:t>
      </w:r>
    </w:p>
    <w:p>
      <w:pPr>
        <w:pStyle w:val="FirstParagraph"/>
      </w:pPr>
      <w:r>
        <w:t xml:space="preserve">Acid value quantifies total free acidity but cannot identify the fatty acids present nor characterise the unsaturation that governs susceptibility to further deterioration. The supplied GC fatty acid profile, obtained as fatty acid methyl esters, helps address both limitations. It complements the wet-chemistry interpretation by indicating whether expected signatures, such as the high α-linolenic acid content of authentic walnut oil, are present (Martínez et al., 2010). It also extends the findings: polyunsaturated-to-saturated ratios from the chromatograms will show why AV differences matter, since liberated polyunsaturated FFA oxidise faster than esterified forms (Choe &amp; Min, 2006).</w:t>
      </w:r>
    </w:p>
    <w:bookmarkEnd w:id="29"/>
    <w:bookmarkEnd w:id="30"/>
    <w:bookmarkStart w:id="31" w:name="Xd260f5d8c248e21b5adcb7a43aca751fe70b129"/>
    <w:p>
      <w:pPr>
        <w:pStyle w:val="Heading1"/>
      </w:pPr>
      <w:r>
        <w:t xml:space="preserve">Method: Experimental Design and Statistical Analysis</w:t>
      </w:r>
    </w:p>
    <w:p>
      <w:pPr>
        <w:pStyle w:val="FirstParagraph"/>
      </w:pPr>
      <w:r>
        <w:t xml:space="preserve">The study uses a comparative cross-sectional design with two parallel arms. The independent variable in each arm is product identity, representing a combined commercial condition involving source, formulation and processing: soy versus almond milk, and cold-pressed walnut versus refined soybean oil. The dependent variables are Bradford-reactive protein concentration (mg BSA equivalents/mL) and acid value (mg KOH/g oil). Three retail units of the same brand and formulation, bearing different production-lot numbers, will be obtained per product as production-lot replicates, each analysed in analytical triplicate; triplicates will be averaged so that lot means are the independent observations (n = 3 per group), avoiding pseudoreplication. To limit unnecessary variation, milks will be unflavoured, unsweetened and similarly fortified, and oils single-species, non-blended and explicitly labelled cold-pressed or refined; brand, ingredient list, nutrition label, packaging, lot number and best-before date will be recorded, with brand and formulation acknowledged as potential confounders. The availability of three lots per brand will be confirmed with retailers before purchase, and any supply constraints will be discussed with the teaching team before the design is finalised. Samples will be stored as recommended and analysed within one week, with analysis order randomised and product types interleaved within each session to minimise order, day and instrument-drift effects.</w:t>
      </w:r>
    </w:p>
    <w:p>
      <w:pPr>
        <w:pStyle w:val="BodyText"/>
      </w:pPr>
      <w:r>
        <w:t xml:space="preserve">In the protein arm, milks will receive identical homogenisation before dilution with phosphate-buffered saline into the Bradford working range, using two dilution factors per sample to check dilution linearity. A seven-point BSA calibration curve (nominally 0.1–1.0 mg/mL, per the laboratory protocol) will be prepared each session and accepted only if R² ≥ 0.995 and a mid-curve quality-control standard recovers within 90–110%. A reagent blank will zero the spectrophotometer at 595 nm, and sample-specific background correction and spike-recovery assessment will be conducted where permitted by the available laboratory protocol and reagents (Bradford, 1976). Absorbances outside the calibration range will be re-diluted rather than extrapolated. In the lipid arm, acid value will follow AOCS Method Cd 3d-63: each lot will be mixed before subsampling, dissolved in neutralised solvent and titrated in triplicate with 0.1 M ethanolic KOH, standardised against potassium hydrogen phthalate per the laboratory protocol, to a consistent phenolphthalein endpoint, with a solvent blank subtracted (AOCS, 2017). Titrations will occur at the same temperature within a narrow time window, and AV differences will be interpreted as free-acidity differences among products rather than attributed solely to refining.</w:t>
      </w:r>
    </w:p>
    <w:p>
      <w:pPr>
        <w:pStyle w:val="BodyText"/>
      </w:pPr>
      <w:r>
        <w:t xml:space="preserve">Statistical analysis will use the course two-sample t-test, performed in Minitab as a two-sided test (α = .05) on lot means in each category. The taught assumptions (continuous data, independent representative observations, no extreme outliers, approximate normality) will be considered through study design and individual value plots, because formal tests are uninformative with three lots per group. Each comparison will report lot-level data points, mean ± standard deviation, and the Minitab t-value, p-value and mean difference with its 95% confidence interval; with n = 3, inference is exploratory. Results will be presented as individual value plots showing all lot-level observations with group means, rather than bar charts alone. Bradford and HPLC findings will be compared descriptively in direction and relative magnitude, since the supplied profiles may not be lot-matched. GC data will be summarised as relative percentages of major fatty acids (linoleic, α-linolenic, total saturated, total polyunsaturated) and used descriptively to contextualise oil identity and unsaturation, not to validate acid value. Key limitations include the lack of independent control over source, formulation and processing, the few lots, the single time point, protein-specific dye-binding bias against the BSA calibrant, AV’s insensitivity to oxidation, possible mismatch between supplied instrumental data and experimental lots, and exploratory inference at n = 3.</w:t>
      </w:r>
    </w:p>
    <w:bookmarkEnd w:id="31"/>
    <w:bookmarkStart w:id="32" w:name="conclusion"/>
    <w:p>
      <w:pPr>
        <w:pStyle w:val="Heading1"/>
      </w:pPr>
      <w:r>
        <w:t xml:space="preserve">Conclusion</w:t>
      </w:r>
    </w:p>
    <w:p>
      <w:pPr>
        <w:pStyle w:val="FirstParagraph"/>
      </w:pPr>
      <w:r>
        <w:t xml:space="preserve">This proposal presents a feasible design for comparing protein- and lipid-related differences among commercial plant-derived foods. The protein arm contrasts a legume-based and a nut-based milk using the Bradford assay, justified against the Biuret method, while the lipid arm contrasts a cold-pressed and a refined oil using acid value, justified against peroxide value. Supplied HPLC and GC datasets will complement the wet-chemistry results and extend their interpretation toward amino acid composition and fatty acid unsaturation. With production-lot replication, blanks, calibration standards and exploratory statistics, the study is expected to identify product-specific differences consistent with source, formulation and processing, providing practically relevant evidence for consumers and manufacturers.</w:t>
      </w:r>
    </w:p>
    <w:bookmarkEnd w:id="32"/>
    <w:bookmarkStart w:id="33" w:name="references"/>
    <w:p>
      <w:pPr>
        <w:pStyle w:val="Heading1"/>
      </w:pPr>
      <w:r>
        <w:t xml:space="preserve">References</w:t>
      </w:r>
    </w:p>
    <w:p>
      <w:pPr>
        <w:pStyle w:val="FirstParagraph"/>
      </w:pPr>
      <w:r>
        <w:t xml:space="preserve">AOCS. (2017).</w:t>
      </w:r>
      <w:r>
        <w:t xml:space="preserve"> </w:t>
      </w:r>
      <w:r>
        <w:rPr>
          <w:iCs/>
          <w:i/>
        </w:rPr>
        <w:t xml:space="preserve">Official methods and recommended practices of the AOCS</w:t>
      </w:r>
      <w:r>
        <w:t xml:space="preserve"> </w:t>
      </w:r>
      <w:r>
        <w:t xml:space="preserve">(7th ed.). AOCS Press.</w:t>
      </w:r>
    </w:p>
    <w:p>
      <w:pPr>
        <w:pStyle w:val="BodyText"/>
      </w:pPr>
      <w:r>
        <w:t xml:space="preserve">Bradford, M. M. (1976). A rapid and sensitive method for the quantitation of microgram quantities of protein utilizing the principle of protein-dye binding.</w:t>
      </w:r>
      <w:r>
        <w:t xml:space="preserve"> </w:t>
      </w:r>
      <w:r>
        <w:rPr>
          <w:iCs/>
          <w:i/>
        </w:rPr>
        <w:t xml:space="preserve">Analytical Biochemistry, 72</w:t>
      </w:r>
      <w:r>
        <w:t xml:space="preserve">(1–2), 248–254. https://doi.org/10.1016/0003-2697(76)90527-3</w:t>
      </w:r>
    </w:p>
    <w:p>
      <w:pPr>
        <w:pStyle w:val="BodyText"/>
      </w:pPr>
      <w:r>
        <w:t xml:space="preserve">Choe, E., &amp; Min, D. B. (2006). Mechanisms and factors for edible oil oxidation.</w:t>
      </w:r>
      <w:r>
        <w:t xml:space="preserve"> </w:t>
      </w:r>
      <w:r>
        <w:rPr>
          <w:iCs/>
          <w:i/>
        </w:rPr>
        <w:t xml:space="preserve">Comprehensive Reviews in Food Science and Food Safety, 5</w:t>
      </w:r>
      <w:r>
        <w:t xml:space="preserve">(4), 169–186. https://doi.org/10.1111/j.1541-4337.2006.00009.x</w:t>
      </w:r>
    </w:p>
    <w:p>
      <w:pPr>
        <w:pStyle w:val="BodyText"/>
      </w:pPr>
      <w:r>
        <w:t xml:space="preserve">Codex Alimentarius Commission. (1999).</w:t>
      </w:r>
      <w:r>
        <w:t xml:space="preserve"> </w:t>
      </w:r>
      <w:r>
        <w:rPr>
          <w:iCs/>
          <w:i/>
        </w:rPr>
        <w:t xml:space="preserve">Standard for named vegetable oils</w:t>
      </w:r>
      <w:r>
        <w:t xml:space="preserve"> </w:t>
      </w:r>
      <w:r>
        <w:t xml:space="preserve">(CXS 210-1999). Food and Agriculture Organization of the United Nations.</w:t>
      </w:r>
    </w:p>
    <w:p>
      <w:pPr>
        <w:pStyle w:val="BodyText"/>
      </w:pPr>
      <w:r>
        <w:t xml:space="preserve">Gharby, S. (2022). Refining vegetable oils: Chemical and physical refining.</w:t>
      </w:r>
      <w:r>
        <w:t xml:space="preserve"> </w:t>
      </w:r>
      <w:r>
        <w:rPr>
          <w:iCs/>
          <w:i/>
        </w:rPr>
        <w:t xml:space="preserve">The Scientific World Journal, 2022</w:t>
      </w:r>
      <w:r>
        <w:t xml:space="preserve">, Article 6627013. https://doi.org/10.1155/2022/6627013</w:t>
      </w:r>
    </w:p>
    <w:p>
      <w:pPr>
        <w:pStyle w:val="BodyText"/>
      </w:pPr>
      <w:r>
        <w:t xml:space="preserve">Gornall, A. G., Bardawill, C. J., &amp; David, M. M. (1949). Determination of serum proteins by means of the biuret reaction.</w:t>
      </w:r>
      <w:r>
        <w:t xml:space="preserve"> </w:t>
      </w:r>
      <w:r>
        <w:rPr>
          <w:iCs/>
          <w:i/>
        </w:rPr>
        <w:t xml:space="preserve">Journal of Biological Chemistry, 177</w:t>
      </w:r>
      <w:r>
        <w:t xml:space="preserve">(2), 751–766. https://doi.org/10.1016/S0021-9258(18)57021-6</w:t>
      </w:r>
    </w:p>
    <w:p>
      <w:pPr>
        <w:pStyle w:val="BodyText"/>
      </w:pPr>
      <w:r>
        <w:t xml:space="preserve">Jeske, S., Zannini, E., &amp; Arendt, E. K. (2017). Evaluation of physicochemical and glycaemic properties of commercial plant-based milk substitutes.</w:t>
      </w:r>
      <w:r>
        <w:t xml:space="preserve"> </w:t>
      </w:r>
      <w:r>
        <w:rPr>
          <w:iCs/>
          <w:i/>
        </w:rPr>
        <w:t xml:space="preserve">Plant Foods for Human Nutrition, 72</w:t>
      </w:r>
      <w:r>
        <w:t xml:space="preserve">(1), 26–33. https://doi.org/10.1007/s11130-016-0583-0</w:t>
      </w:r>
    </w:p>
    <w:p>
      <w:pPr>
        <w:pStyle w:val="BodyText"/>
      </w:pPr>
      <w:r>
        <w:t xml:space="preserve">Kruger, N. J. (2009). The Bradford method for protein quantitation. In J. M. Walker (Ed.),</w:t>
      </w:r>
      <w:r>
        <w:t xml:space="preserve"> </w:t>
      </w:r>
      <w:r>
        <w:rPr>
          <w:iCs/>
          <w:i/>
        </w:rPr>
        <w:t xml:space="preserve">The protein protocols handbook</w:t>
      </w:r>
      <w:r>
        <w:t xml:space="preserve"> </w:t>
      </w:r>
      <w:r>
        <w:t xml:space="preserve">(3rd ed., pp. 17–24). Humana Press. https://doi.org/10.1007/978-1-59745-198-7_4</w:t>
      </w:r>
    </w:p>
    <w:p>
      <w:pPr>
        <w:pStyle w:val="BodyText"/>
      </w:pPr>
      <w:r>
        <w:t xml:space="preserve">Martínez, M. L., Labuckas, D. O., Lamarque, A. L., &amp; Maestri, D. M. (2010). Walnut (</w:t>
      </w:r>
      <w:r>
        <w:rPr>
          <w:iCs/>
          <w:i/>
        </w:rPr>
        <w:t xml:space="preserve">Juglans regia</w:t>
      </w:r>
      <w:r>
        <w:t xml:space="preserve"> </w:t>
      </w:r>
      <w:r>
        <w:t xml:space="preserve">L.): Genetic resources, chemistry, by-products.</w:t>
      </w:r>
      <w:r>
        <w:t xml:space="preserve"> </w:t>
      </w:r>
      <w:r>
        <w:rPr>
          <w:iCs/>
          <w:i/>
        </w:rPr>
        <w:t xml:space="preserve">Journal of the Science of Food and Agriculture, 90</w:t>
      </w:r>
      <w:r>
        <w:t xml:space="preserve">(12), 1959–1967. https://doi.org/10.1002/jsfa.4059</w:t>
      </w:r>
    </w:p>
    <w:p>
      <w:pPr>
        <w:pStyle w:val="BodyText"/>
      </w:pPr>
      <w:r>
        <w:t xml:space="preserve">Otter, D. E. (2012). Standardised methods for amino acid analysis of food.</w:t>
      </w:r>
      <w:r>
        <w:t xml:space="preserve"> </w:t>
      </w:r>
      <w:r>
        <w:rPr>
          <w:iCs/>
          <w:i/>
        </w:rPr>
        <w:t xml:space="preserve">British Journal of Nutrition, 108</w:t>
      </w:r>
      <w:r>
        <w:t xml:space="preserve">(S2), S230–S237. https://doi.org/10.1017/S0007114512002486</w:t>
      </w:r>
    </w:p>
    <w:p>
      <w:pPr>
        <w:pStyle w:val="BodyText"/>
      </w:pPr>
      <w:r>
        <w:t xml:space="preserve">Sethi, S., Tyagi, S. K., &amp; Anurag, R. K. (2016). Plant-based milk alternatives an emerging segment of functional beverages: A review.</w:t>
      </w:r>
      <w:r>
        <w:t xml:space="preserve"> </w:t>
      </w:r>
      <w:r>
        <w:rPr>
          <w:iCs/>
          <w:i/>
        </w:rPr>
        <w:t xml:space="preserve">Journal of Food Science and Technology, 53</w:t>
      </w:r>
      <w:r>
        <w:t xml:space="preserve">(9), 3408–3423. https://doi.org/10.1007/s13197-016-2328-3</w:t>
      </w:r>
    </w:p>
    <w:p>
      <w:pPr>
        <w:pStyle w:val="BodyText"/>
      </w:pPr>
      <w:r>
        <w:t xml:space="preserve">Shahidi, F., &amp; Zhong, Y. (2005). Lipid oxidation: Measurement methods. In F. Shahidi (Ed.),</w:t>
      </w:r>
      <w:r>
        <w:t xml:space="preserve"> </w:t>
      </w:r>
      <w:r>
        <w:rPr>
          <w:iCs/>
          <w:i/>
        </w:rPr>
        <w:t xml:space="preserve">Bailey’s industrial oil and fat products</w:t>
      </w:r>
      <w:r>
        <w:t xml:space="preserve"> </w:t>
      </w:r>
      <w:r>
        <w:t xml:space="preserve">(6th ed., Vol. 1, pp. 357–385). John Wiley &amp; Sons. https://doi.org/10.1002/047167849X.bio050</w:t>
      </w:r>
    </w:p>
    <w:p>
      <w:pPr>
        <w:pStyle w:val="BodyText"/>
      </w:pPr>
      <w:r>
        <w:t xml:space="preserve">Vanga, S. K., &amp; Raghavan, V. (2018). How well do plant based alternatives fare nutritionally compared to cow’s milk?</w:t>
      </w:r>
      <w:r>
        <w:t xml:space="preserve"> </w:t>
      </w:r>
      <w:r>
        <w:rPr>
          <w:iCs/>
          <w:i/>
        </w:rPr>
        <w:t xml:space="preserve">Journal of Food Science and Technology, 55</w:t>
      </w:r>
      <w:r>
        <w:t xml:space="preserve">(1), 10–20. https://doi.org/10.1007/s13197-017-2915-y</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Effects of Source and Processing on Protein and Lipid in Plant-Derived Foods</dc:title>
  <dc:creator/>
  <cp:keywords/>
  <dcterms:created xsi:type="dcterms:W3CDTF">2026-08-15T08:43:10Z</dcterms:created>
  <dcterms:modified xsi:type="dcterms:W3CDTF">2026-08-15T08:43:10Z</dcterms:modified>
</cp:coreProperties>
</file>

<file path=docProps/custom.xml><?xml version="1.0" encoding="utf-8"?>
<Properties xmlns="http://schemas.openxmlformats.org/officeDocument/2006/custom-properties" xmlns:vt="http://schemas.openxmlformats.org/officeDocument/2006/docPropsVTypes"/>
</file>