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_22ad10a73b1e799b03ccadc19b22a31425ed917"/>
    <w:p>
      <w:pPr>
        <w:pStyle w:val="Heading1"/>
      </w:pPr>
      <w:r>
        <w:t xml:space="preserve">Especificación técnica · PEA-i</w:t>
      </w:r>
    </w:p>
    <w:p>
      <w:pPr>
        <w:pStyle w:val="FirstParagraph"/>
      </w:pPr>
      <w:r>
        <w:rPr>
          <w:b/>
          <w:bCs/>
        </w:rPr>
        <w:t xml:space="preserve">Universidad Popular del Cesar (UPC)</w:t>
      </w:r>
      <w:r>
        <w:br/>
      </w:r>
      <w:r>
        <w:t xml:space="preserve">Facultad de Ingenierías y Tecnologías · Ingeniería de Sistemas</w:t>
      </w:r>
      <w:r>
        <w:br/>
      </w:r>
      <w:r>
        <w:t xml:space="preserve">Asignatura: Estructura de Datos · Taller 2 · Grupo 8</w:t>
      </w:r>
      <w:r>
        <w:br/>
      </w:r>
      <w:r>
        <w:t xml:space="preserve">Versión documental: 2026-10-20</w:t>
      </w:r>
    </w:p>
    <w:bookmarkStart w:id="9" w:name="_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PEA-i es un programa estadístico de análisis de investigación para organizar grupos, investigadores y productos científicos, y consultar sus relaciones y estadísticas. El dominio se fundamenta en el Modelo Minciencias 2024 y en los datos públicos obtenidos de SCIENTI (GrupLAC y CvLAC). Esta especificación resume el diseño documentado en</w:t>
      </w:r>
      <w:r>
        <w:t xml:space="preserve"> </w:t>
      </w:r>
      <w:r>
        <w:rPr>
          <w:rStyle w:val="VerbatimChar"/>
        </w:rPr>
        <w:t xml:space="preserve">brain/10-Requisitos/SPEC.md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brain/20-Diseno/</w:t>
      </w:r>
      <w:r>
        <w:t xml:space="preserve">.</w:t>
      </w:r>
    </w:p>
    <w:bookmarkEnd w:id="9"/>
    <w:bookmarkStart w:id="10" w:name="_3d3002b63d2826831005441d90224100f9b0eca"/>
    <w:p>
      <w:pPr>
        <w:pStyle w:val="Heading2"/>
      </w:pPr>
      <w:r>
        <w:t xml:space="preserve">2. Alcance de la entrega</w:t>
      </w:r>
    </w:p>
    <w:p>
      <w:pPr>
        <w:pStyle w:val="FirstParagraph"/>
      </w:pPr>
      <w:r>
        <w:t>El proyecto contempla una aplicación de escritorio Python 3.12 o superior con PySide6 y una aplicación C++17 de terminal con FTXUI 5.0.0. Ambas comparten el mismo proyecto PostgreSQL de Supabase y se comunican exclusivamente por HTTPS mediante REST/RPC.</w:t>
      </w:r>
    </w:p>
    <w:p>
      <w:pPr>
        <w:pStyle w:val="BodyText"/>
      </w:pPr>
      <w:r>
        <w:t>La entrega Python incluye la interfaz Qt Widgets y la arquitectura modular. La sección C++ se implementa como TUI/CLI. Su cobertura actual es parcial y se detallan las funciones pendientes en la matriz de paridad. No se presentan los conteos reales de Supabase como verificados: dependen de ejecutar el contrato remoto con la sesión normal de pruebas configurada.</w:t>
      </w:r>
    </w:p>
    <w:bookmarkEnd w:id="10"/>
    <w:bookmarkStart w:id="11" w:name="_128a51c8e9711930623fff70ed1a1db111156f7"/>
    <w:p>
      <w:pPr>
        <w:pStyle w:val="Heading2"/>
      </w:pPr>
      <w:r>
        <w:t xml:space="preserve">3. Arquitectura lógica</w:t>
      </w:r>
    </w:p>
    <w:p>
      <w:pPr>
        <w:pStyle w:val="FirstParagraph"/>
      </w:pPr>
      <w:r>
        <w:t xml:space="preserve">La separación de responsabilidades es:</w:t>
      </w:r>
    </w:p>
    <w:p>
      <w:pPr>
        <w:pStyle w:val="Compact"/>
        <w:numPr>
          <w:ilvl w:val="0"/>
          <w:numId w:val="1001"/>
        </w:numPr>
      </w:pPr>
      <w:r>
        <w:t>Presentación: GUI PySide6 en Python y terminal FTXUI en C++; no accede directamente a SQL, red ni estructuras.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coordina reglas del dominio, estadísticas, ingesta y operaciones de aplicación.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Estructuras hechas a mano:</w:t>
      </w:r>
      <w:r>
        <w:t xml:space="preserve"> </w:t>
      </w:r>
      <w:r>
        <w:t xml:space="preserve">almacenan colecciones y métricas en memoria.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Repositorios:</w:t>
      </w:r>
      <w:r>
        <w:t xml:space="preserve"> </w:t>
      </w:r>
      <w:r>
        <w:t xml:space="preserve">consumen la API HTTPS de Supabase con parámetros REST o RPC.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Persistencia:</w:t>
      </w:r>
      <w:r>
        <w:t xml:space="preserve"> </w:t>
      </w:r>
      <w:r>
        <w:t xml:space="preserve">PostgreSQL alojado en el proyecto Supabase compartido.</w:t>
      </w:r>
    </w:p>
    <w:p>
      <w:pPr>
        <w:pStyle w:val="FirstParagraph"/>
      </w:pPr>
      <w:r>
        <w:t xml:space="preserve">No existe una base local de datos de la aplicación. Las estadísticas se derivan del hipercubo en memoria; las consultas agregadas en SQL se reservan para verificaciones de pruebas.</w:t>
      </w:r>
    </w:p>
    <w:bookmarkEnd w:id="11"/>
    <w:bookmarkStart w:id="12" w:name="_92f2bbe9959c9d84b0d2410d3014ffa32847627"/>
    <w:p>
      <w:pPr>
        <w:pStyle w:val="Heading2"/>
      </w:pPr>
      <w:r>
        <w:t xml:space="preserve">4. Dominio y estructuras</w:t>
      </w:r>
    </w:p>
    <w:p>
      <w:pPr>
        <w:pStyle w:val="FirstParagraph"/>
      </w:pPr>
      <w:r>
        <w:t xml:space="preserve">Las entidades principales son Grupo, Investigador, Producto y Proyecto. La multilista mantiene un nodo de producto compartido entre grupos e investigadores, evitando replicar el producto en memoria. Una lista doblemente enlazada almacena las colecciones de entidades; una pila registra operaciones reversibles; una cola FIFO organiza tareas de ingesta; y el hipercubo disperso de cinco dimensiones consolida grupo, investigador, categoría, año y estado de validación.</w:t>
      </w:r>
    </w:p>
    <w:p>
      <w:pPr>
        <w:pStyle w:val="BodyText"/>
      </w:pPr>
      <w:r>
        <w:t xml:space="preserve">La desactivación lógica se representa como</w:t>
      </w:r>
      <w:r>
        <w:t xml:space="preserve"> </w:t>
      </w:r>
      <w:r>
        <w:rPr>
          <w:rStyle w:val="VerbatimChar"/>
        </w:rPr>
        <w:t xml:space="preserve">activo=false</w:t>
      </w:r>
      <w:r>
        <w:t xml:space="preserve">. Las operaciones de dominio actualizan las estructuras y persisten mediante repositorios; los errores de persistencia deben reportarse y activar la compensación prevista por el servicio.</w:t>
      </w:r>
    </w:p>
    <w:bookmarkEnd w:id="12"/>
    <w:bookmarkStart w:id="13" w:name="_046fbe50c2b5c4c172663d78b34cf826521f1b6"/>
    <w:p>
      <w:pPr>
        <w:pStyle w:val="Heading2"/>
      </w:pPr>
      <w:r>
        <w:t xml:space="preserve">5. Requisitos funcionales documentados</w:t>
      </w:r>
    </w:p>
    <w:p>
      <w:pPr>
        <w:pStyle w:val="FirstParagraph"/>
      </w:pPr>
      <w:r>
        <w:t xml:space="preserve">La especificación formal disponible enumera R0–R12: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Responsabilidad principal</w:t>
            </w:r>
          </w:p>
        </w:tc>
        <w:tc>
          <w:tcPr/>
          <w:p>
            <w:pPr>
              <w:pStyle w:val="Compact"/>
            </w:pPr>
            <w:r>
              <w:t xml:space="preserve">Módulo de 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</w:t>
            </w:r>
          </w:p>
        </w:tc>
        <w:tc>
          <w:tcPr/>
          <w:p>
            <w:pPr>
              <w:pStyle w:val="Compact"/>
            </w:pPr>
            <w:r>
              <w:t xml:space="preserve">Revisión remota y control de concurrencia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pea.datos.revision.ControladorRevision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Gestión de grupos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pea.servicios.servicio_dominio.CatalogoInvestigacion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Gestión de investigadores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pea.servicios.servicio_dominio.CatalogoInvestigacion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Gestión y clasificación de productos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pea.servicios.servicio_dominio.CatalogoInvestigacion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Multilista de coautoría y pertenencia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pea.estructuras.multilista.Multilista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Lista doblemente enlazada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pea.estructuras.lista_doble.ListaDoble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Pila de deshacer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pea.estructuras.pila.Pila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Cola FIFO e importación por lotes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pea.estructuras.cola.Cola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pea.ingesta.servicio_ingesta.ServicioIngesta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Hipercubo de cinco dimensiones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pea.estructuras.hipercubo.Hipercubo5D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Estadísticas calculadas desde el hipercubo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pea.servicios.servicio_estadisticas.ServicioEstadisticas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GUI Python y vistas estadísticas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pea.gui.VentanaPrincipal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Persistencia atómica y reversión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pea.datos.repositorios</w:t>
            </w:r>
            <w:r>
              <w:t xml:space="preserve"> </w:t>
            </w:r>
            <w:r>
              <w:t xml:space="preserve">y servicios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Extracción e importación de fuentes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pea.ingesta</w:t>
            </w:r>
          </w:p>
        </w:tc>
      </w:tr>
    </w:tbl>
    <w:p>
      <w:pPr>
        <w:pStyle w:val="FirstParagraph"/>
      </w:pPr>
      <w:r>
        <w:t xml:space="preserve">El enunciado original numerado 1–14 no se encuentra en</w:t>
      </w:r>
      <w:r>
        <w:t xml:space="preserve"> </w:t>
      </w:r>
      <w:r>
        <w:rPr>
          <w:rStyle w:val="VerbatimChar"/>
        </w:rPr>
        <w:t xml:space="preserve">docs/entrada/</w:t>
      </w:r>
      <w:r>
        <w:t xml:space="preserve">. La matriz de cumplimiento identifica esta limitación y no atribuye contenido a los puntos que no pueden cotejarse.</w:t>
      </w:r>
    </w:p>
    <w:bookmarkEnd w:id="13"/>
    <w:bookmarkStart w:id="14" w:name="_5aaa910bcfc18bb2dab57cd3d1cee373a9c4765"/>
    <w:p>
      <w:pPr>
        <w:pStyle w:val="Heading2"/>
      </w:pPr>
      <w:r>
        <w:t xml:space="preserve">6. Interfaz Python</w:t>
      </w:r>
    </w:p>
    <w:p>
      <w:pPr>
        <w:pStyle w:val="FirstParagraph"/>
      </w:pPr>
      <w:r>
        <w:t xml:space="preserve">La GUI utiliza PySide6, Qt Widgets, QSS, QPainter y QtSvg. La navegación contempla Inicio, Investigadores, Grupos, Productos, Análisis de redes, Importar, Configuración y Acerca de. Los directorios presentan tablas y fichas laterales; los gráficos se dibujan con componentes propios. La fuente de datos activa se identifica como «Datos de Supabase» o «Datos de demostración».</w:t>
      </w:r>
    </w:p>
    <w:p>
      <w:pPr>
        <w:pStyle w:val="BodyText"/>
      </w:pPr>
      <w:r>
        <w:t xml:space="preserve">La aplicación se inicia mediante</w:t>
      </w:r>
      <w:r>
        <w:t xml:space="preserve"> </w:t>
      </w:r>
      <w:r>
        <w:rPr>
          <w:rStyle w:val="VerbatimChar"/>
        </w:rPr>
        <w:t xml:space="preserve">python -m pea.gui</w:t>
      </w:r>
      <w:r>
        <w:t xml:space="preserve">. La autoprueba se ejecuta con</w:t>
      </w:r>
      <w:r>
        <w:t xml:space="preserve"> </w:t>
      </w:r>
      <w:r>
        <w:rPr>
          <w:rStyle w:val="VerbatimChar"/>
        </w:rPr>
        <w:t xml:space="preserve">python -m pea.gui --autoprueba</w:t>
      </w:r>
      <w:r>
        <w:t xml:space="preserve"> </w:t>
      </w:r>
      <w:r>
        <w:t xml:space="preserve">y cubre las ocho pantallas en tres resoluciones mediante capturas automatizadas.</w:t>
      </w:r>
    </w:p>
    <w:bookmarkEnd w:id="14"/>
    <w:bookmarkStart w:id="15" w:name="_526496591c88ea6a28263d399fba8572b09c77a"/>
    <w:p>
      <w:pPr>
        <w:pStyle w:val="Heading2"/>
      </w:pPr>
      <w:r>
        <w:t xml:space="preserve">7. Estadísticas y visualizaciones</w:t>
      </w:r>
    </w:p>
    <w:p>
      <w:pPr>
        <w:pStyle w:val="FirstParagraph"/>
      </w:pPr>
      <w:r>
        <w:rPr>
          <w:rStyle w:val="VerbatimChar"/>
        </w:rPr>
        <w:t xml:space="preserve">ServicioEstadisticas</w:t>
      </w:r>
      <w:r>
        <w:t xml:space="preserve"> </w:t>
      </w:r>
      <w:r>
        <w:t xml:space="preserve">deriva métricas desde el hipercubo. La GUI dispone de gráficos nativos y de histogramas para distribución de productos por investigador y por año, respetando la ventana de observación. Los gráficos deben mostrar estados vacíos claros y permiten consultar los datos tabulares cuando el componente lo ofrece.</w:t>
      </w:r>
    </w:p>
    <w:bookmarkEnd w:id="15"/>
    <w:bookmarkStart w:id="16" w:name="_ingesta"/>
    <w:p>
      <w:pPr>
        <w:pStyle w:val="Heading2"/>
      </w:pPr>
      <w:r>
        <w:t xml:space="preserve">8. Ingesta</w:t>
      </w:r>
    </w:p>
    <w:p>
      <w:pPr>
        <w:pStyle w:val="FirstParagraph"/>
      </w:pPr>
      <w:r>
        <w:t xml:space="preserve">Las fuentes web están restringidas a HTTPS y al host</w:t>
      </w:r>
      <w:r>
        <w:t xml:space="preserve"> </w:t>
      </w:r>
      <w:r>
        <w:rPr>
          <w:rStyle w:val="VerbatimChar"/>
        </w:rPr>
        <w:t xml:space="preserve">scienti.minciencias.gov.co</w:t>
      </w:r>
      <w:r>
        <w:t xml:space="preserve">. El extractor usa un User-Agent institucional, tiempos de espera, hasta tres reintentos, una pausa mínima entre solicitudes y caché en</w:t>
      </w:r>
      <w:r>
        <w:t xml:space="preserve"> </w:t>
      </w:r>
      <w:r>
        <w:rPr>
          <w:rStyle w:val="VerbatimChar"/>
        </w:rPr>
        <w:t xml:space="preserve">datos/cache/</w:t>
      </w:r>
      <w:r>
        <w:t xml:space="preserve">. La CLI ofrece importación de URL, CSV y PDF.</w:t>
      </w:r>
    </w:p>
    <w:p>
      <w:pPr>
        <w:pStyle w:val="BodyText"/>
      </w:pPr>
      <w:r>
        <w:t xml:space="preserve">La importación por lote acepta</w:t>
      </w:r>
      <w:r>
        <w:t xml:space="preserve"> </w:t>
      </w:r>
      <w:r>
        <w:rPr>
          <w:rStyle w:val="VerbatimChar"/>
        </w:rPr>
        <w:t xml:space="preserve">python -m pea.cli importar-url --archivo-grupos datos/fuentes/grupos_upc.txt</w:t>
      </w:r>
      <w:r>
        <w:t xml:space="preserve">. El archivo local contiene un código GrupLAC autorizado por línea. Las tareas se procesan secuencialmente; no se agregan códigos de grupos reales a esta entrega.</w:t>
      </w:r>
    </w:p>
    <w:bookmarkEnd w:id="16"/>
    <w:bookmarkStart w:id="17" w:name="_2774a6a7e11cf1f19ddb5ee71ea7b837e612524"/>
    <w:p>
      <w:pPr>
        <w:pStyle w:val="Heading2"/>
      </w:pPr>
      <w:r>
        <w:t xml:space="preserve">9. Persistencia y seguridad</w:t>
      </w:r>
    </w:p>
    <w:p>
      <w:pPr>
        <w:pStyle w:val="FirstParagraph"/>
      </w:pPr>
      <w:r>
        <w:t xml:space="preserve">El esquema de PostgreSQL se mantiene en migraciones nuevas de</w:t>
      </w:r>
      <w:r>
        <w:t xml:space="preserve"> </w:t>
      </w:r>
      <w:r>
        <w:rPr>
          <w:rStyle w:val="VerbatimChar"/>
        </w:rPr>
        <w:t xml:space="preserve">supabase/migrations/</w:t>
      </w:r>
      <w:r>
        <w:t xml:space="preserve">; las migraciones aplicadas no se modifican. La aplicación usa Auth, RLS y solo claves publicables. No se incorporan claves, contraseñas ni tokens a código o documentos. Las operaciones que requieren atomicidad usan RPC con la revisión esperada. Si no hay conexión, se informa el error y se bloquea la escritura.</w:t>
      </w:r>
    </w:p>
    <w:p>
      <w:pPr>
        <w:pStyle w:val="BodyText"/>
      </w:pPr>
      <w:r>
        <w:t xml:space="preserve">Los archivos privados de SCIENTI y los respaldos se excluyen del versionado según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Los fixtures y la migración con datos de fuente real requieren que el repositorio conserve visibilidad privada.</w:t>
      </w:r>
    </w:p>
    <w:bookmarkEnd w:id="17"/>
    <w:bookmarkStart w:id="18" w:name="_verificación"/>
    <w:p>
      <w:pPr>
        <w:pStyle w:val="Heading2"/>
      </w:pPr>
      <w:r>
        <w:t xml:space="preserve">10. Verificación</w:t>
      </w:r>
    </w:p>
    <w:p>
      <w:pPr>
        <w:pStyle w:val="FirstParagraph"/>
      </w:pPr>
      <w:r>
        <w:t xml:space="preserve">Las verificaciones locales recomendadas son: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 check src tests tools scripts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vulture src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vulture_whitelist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min-confidence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gui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autoprueba</w:t>
      </w:r>
      <w:r>
        <w:br/>
      </w:r>
      <w:r>
        <w:rPr>
          <w:rStyle w:val="NormalTok"/>
        </w:rPr>
        <w:t xml:space="preserve">python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verificar_brain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Las pruebas que consultan red se marcan</w:t>
      </w:r>
      <w:r>
        <w:t xml:space="preserve"> </w:t>
      </w:r>
      <w:r>
        <w:rPr>
          <w:rStyle w:val="VerbatimChar"/>
        </w:rPr>
        <w:t xml:space="preserve">red</w:t>
      </w:r>
      <w:r>
        <w:t xml:space="preserve"> </w:t>
      </w:r>
      <w:r>
        <w:t xml:space="preserve">y se excluyen de la ejecución predeterminada. La verificación remota de conteos se limita a</w:t>
      </w:r>
      <w:r>
        <w:t xml:space="preserve"> </w:t>
      </w:r>
      <w:r>
        <w:rPr>
          <w:rStyle w:val="VerbatimChar"/>
        </w:rPr>
        <w:t xml:space="preserve">es_ejemplo=false</w:t>
      </w:r>
      <w:r>
        <w:t xml:space="preserve"> </w:t>
      </w:r>
      <w:r>
        <w:t xml:space="preserve">y requiere la sesión normal del usuario con clave publicable.</w:t>
      </w:r>
    </w:p>
    <w:bookmarkEnd w:id="18"/>
    <w:bookmarkStart w:id="19" w:name="_35d24f501c2a971eccc09d1be62214b1f5b3269"/>
    <w:p>
      <w:pPr>
        <w:pStyle w:val="Heading2"/>
      </w:pPr>
      <w:r>
        <w:t xml:space="preserve">11. Estado y limitaciones</w:t>
      </w:r>
    </w:p>
    <w:p>
      <w:pPr>
        <w:pStyle w:val="Compact"/>
        <w:numPr>
          <w:ilvl w:val="0"/>
          <w:numId w:val="1002"/>
        </w:numPr>
      </w:pPr>
      <w:r>
        <w:t xml:space="preserve">La entrega Python se verifica con pruebas automatizadas y capturas de la autoprueba.</w:t>
      </w:r>
    </w:p>
    <w:p>
      <w:pPr>
        <w:pStyle w:val="Compact"/>
        <w:numPr>
          <w:ilvl w:val="0"/>
          <w:numId w:val="1002"/>
        </w:numPr>
      </w:pPr>
      <w:r>
        <w:t xml:space="preserve">Los conteos remotos esperados (1 grupo, 85 investigadores y 855 productos) no se declaran confirmados hasta ejecutar la prueba</w:t>
      </w:r>
      <w:r>
        <w:t xml:space="preserve"> </w:t>
      </w:r>
      <w:r>
        <w:rPr>
          <w:rStyle w:val="VerbatimChar"/>
        </w:rPr>
        <w:t xml:space="preserve">red</w:t>
      </w:r>
      <w:r>
        <w:t xml:space="preserve"> </w:t>
      </w:r>
      <w:r>
        <w:t xml:space="preserve">en un entorno configurado.</w:t>
      </w:r>
    </w:p>
    <w:p>
      <w:pPr>
        <w:pStyle w:val="Compact"/>
        <w:numPr>
          <w:ilvl w:val="0"/>
          <w:numId w:val="1002"/>
        </w:numPr>
      </w:pPr>
      <w:r>
        <w:t xml:space="preserve">El punto por punto del enunciado 1–14 requiere incorporar el documento original, que no está en</w:t>
      </w:r>
      <w:r>
        <w:t xml:space="preserve"> </w:t>
      </w:r>
      <w:r>
        <w:rPr>
          <w:rStyle w:val="VerbatimChar"/>
        </w:rPr>
        <w:t xml:space="preserve">docs/entrada/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>La implementación C++ ya dispone de CLI, navegación TUI, resumen/directorios de lectura, filtros estadísticos base y pruebas de terminal; formularios CRUD, gráficos, edición completa y varias vistas siguen pendientes.</w:t>
      </w:r>
    </w:p>
    <w:bookmarkEnd w:id="19"/>
    <w:bookmarkEnd w:id="20"/>
    <w:p>
      <w:pPr>
        <w:pStyle w:val="Heading2"/>
      </w:pPr>
      <w:r>
        <w:t>12. Implementación C++ en terminal</w:t>
      </w:r>
    </w:p>
    <w:p>
      <w:r>
        <w:t>La aplicación C++ usa una única entrada, pea::ejecutar_aplicacion, y selecciona la CLI cuando recibe argumentos; sin argumentos abre la terminal interactiva. FTXUI v5.0.0 se obtiene mediante FetchContent con etiqueta fija. Qt6 Core y Network se mantienen para JSON y HTTPS; Qt Widgets y QApplication no forman parte de la aplicación C++.</w:t>
      </w:r>
    </w:p>
    <w:p>
      <w:r>
        <w:t>La TUI presenta ocho pestañas, navegación con teclado, resumen institucional y directorios de lectura. La configuración de Supabase se carga automáticamente; si no hay configuración se muestra el estado sin datos. --demo introduce datos sintéticos PRUEBA- solo en memoria. La carga remota se hace con el catálogo de servicios y no se verificó contra la instancia remota en esta sesión.</w:t>
      </w:r>
    </w:p>
    <w:p>
      <w:r>
        <w:t>La autoprueba pea-cpp --autoprueba renderiza las ocho pantallas en 80x24, 100x28, 120x35 y 160x50, guarda 32 capturas sin color bajo datos/capturas/terminal/ y reporta cero hallazgos de ancho Unicode, reemplazo, salida vacía o escritura de capturas.</w:t>
      </w:r>
    </w:p>
    <w:p>
      <w:r>
        <w:t>La CLI ofrece info, verificar/ping, resumen --json, importar-csv, importar-url, exportar-csv, cargar-ejemplo y aplicar-escenario. La salida JSON todavía requiere comparación byte a byte con Python antes de declarar paridad.</w:t>
      </w:r>
    </w:p>
    <w:p>
      <w:pPr>
        <w:pStyle w:val="Heading3"/>
      </w:pPr>
      <w:r>
        <w:t>12.1 Límites funcionales actuales</w:t>
      </w:r>
    </w:p>
    <w:p>
      <w:r>
        <w:t>Las pestañas de redes e importación siguen siendo informativas, no formularios operativos. Las pantallas carecen de CRUD interactivo, ficha completa, filtros interactivos, gráficos, selector de tema y revisión remota periódica. La autoprueba valida dimensiones y capturas, pero todavía no compara snapshots ni detecta todos los textos truncados. Ver brain/60-Pruebas/Paridad-Python-Cpp.md para el estado por función.</w:t>
      </w:r>
    </w:p>
    <w:p>
      <w:pPr>
        <w:pStyle w:val="Heading3"/>
      </w:pPr>
      <w:r>
        <w:t>12.2 Evidencia local</w:t>
      </w:r>
    </w:p>
    <w:p>
      <w:r>
        <w:t>En la verificación local de esta iteración, CMake compiló con -Wall -Wextra -Wpedantic -Werror, CTest aprobó la suite C++ y la autoprueba generó 32 capturas con cero hallazgos. No se hicieron escrituras remotas ni se confirmó conectividad autenticada con pea-prod.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2026-10-20T17:40:10Z</dcterms:created>
  <dcterms:modified xsi:type="dcterms:W3CDTF">2026-10-20T17:40:10Z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