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_22ad10a73b1e799b03ccadc19b22a31425ed917"/>
    <w:p>
      <w:pPr>
        <w:pStyle w:val="Heading1"/>
      </w:pPr>
      <w:r>
        <w:t xml:space="preserve">Especificación técnica · PEA-i</w:t>
      </w:r>
    </w:p>
    <w:p>
      <w:pPr>
        <w:pStyle w:val="FirstParagraph"/>
      </w:pPr>
      <w:r>
        <w:rPr>
          <w:b/>
          <w:bCs/>
        </w:rPr>
        <w:t xml:space="preserve">Universidad Popular del Cesar (UPC)</w:t>
      </w:r>
      <w:r>
        <w:br/>
      </w:r>
      <w:r>
        <w:t xml:space="preserve">Facultad de Ingenierías y Tecnologías · Ingeniería de Sistemas</w:t>
      </w:r>
      <w:r>
        <w:br/>
      </w:r>
      <w:r>
        <w:t xml:space="preserve">Asignatura: Estructura de Datos · Taller 2 · Grupo 8</w:t>
      </w:r>
      <w:r>
        <w:br/>
      </w:r>
      <w:r>
        <w:t xml:space="preserve">Versión documental: 2026-10-20</w:t>
      </w:r>
    </w:p>
    <w:bookmarkStart w:id="9" w:name="_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PEA-i es un programa estadístico de análisis de investigación para organizar grupos, investigadores y productos científicos, y consultar sus relaciones y estadísticas. El dominio se fundamenta en el Modelo Minciencias 2024 y en los datos públicos obtenidos de SCIENTI (GrupLAC y CvLAC). Esta especificación resume el diseño documentado en</w:t>
      </w:r>
      <w:r>
        <w:t xml:space="preserve"> </w:t>
      </w:r>
      <w:r>
        <w:rPr>
          <w:rStyle w:val="VerbatimChar"/>
        </w:rPr>
        <w:t xml:space="preserve">brain/10-Requisitos/SPEC.md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brain/20-Diseno/</w:t>
      </w:r>
      <w:r>
        <w:t xml:space="preserve">.</w:t>
      </w:r>
    </w:p>
    <w:bookmarkEnd w:id="9"/>
    <w:bookmarkStart w:id="10" w:name="_3d3002b63d2826831005441d90224100f9b0eca"/>
    <w:p>
      <w:pPr>
        <w:pStyle w:val="Heading2"/>
      </w:pPr>
      <w:r>
        <w:t xml:space="preserve">2. Alcance de la entrega</w:t>
      </w:r>
    </w:p>
    <w:p>
      <w:pPr>
        <w:pStyle w:val="FirstParagraph"/>
      </w:pPr>
      <w:r>
        <w:t xml:space="preserve">El proyecto contempla dos aplicaciones nativas de escritorio: Python 3.12 o superior con PySide6 y C++17 con Qt 6 Widgets. Ambas comparten el mismo proyecto PostgreSQL de Supabase y se comunican exclusivamente por HTTPS mediante REST/RPC.</w:t>
      </w:r>
    </w:p>
    <w:p>
      <w:pPr>
        <w:pStyle w:val="BodyText"/>
      </w:pPr>
      <w:r>
        <w:t xml:space="preserve">La entrega Python incluye la interfaz Qt Widgets y la arquitectura modular. La sección de C++ queda</w:t>
      </w:r>
      <w:r>
        <w:t xml:space="preserve"> </w:t>
      </w:r>
      <w:r>
        <w:rPr>
          <w:b/>
          <w:bCs/>
        </w:rPr>
        <w:t xml:space="preserve">pendiente y se rehace en terminal</w:t>
      </w:r>
      <w:r>
        <w:t xml:space="preserve">, según la instrucción de esta entrega. No se presentan los conteos reales de Supabase como verificados: dependen de ejecutar el contrato remoto con la sesión normal de pruebas configurada.</w:t>
      </w:r>
    </w:p>
    <w:bookmarkEnd w:id="10"/>
    <w:bookmarkStart w:id="11" w:name="_128a51c8e9711930623fff70ed1a1db111156f7"/>
    <w:p>
      <w:pPr>
        <w:pStyle w:val="Heading2"/>
      </w:pPr>
      <w:r>
        <w:t xml:space="preserve">3. Arquitectura lógica</w:t>
      </w:r>
    </w:p>
    <w:p>
      <w:pPr>
        <w:pStyle w:val="FirstParagraph"/>
      </w:pPr>
      <w:r>
        <w:t xml:space="preserve">La separación de responsabilidades 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Presentación:</w:t>
      </w:r>
      <w:r>
        <w:t xml:space="preserve"> </w:t>
      </w:r>
      <w:r>
        <w:t xml:space="preserve">ventanas y componentes de Qt Widgets; no accede directamente a SQL, red ni estructuras.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Servicios:</w:t>
      </w:r>
      <w:r>
        <w:t xml:space="preserve"> </w:t>
      </w:r>
      <w:r>
        <w:t xml:space="preserve">coordina reglas del dominio, estadísticas, ingesta y operaciones de aplicación.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Estructuras hechas a mano:</w:t>
      </w:r>
      <w:r>
        <w:t xml:space="preserve"> </w:t>
      </w:r>
      <w:r>
        <w:t xml:space="preserve">almacenan colecciones y métricas en memoria.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Repositorios:</w:t>
      </w:r>
      <w:r>
        <w:t xml:space="preserve"> </w:t>
      </w:r>
      <w:r>
        <w:t xml:space="preserve">consumen la API HTTPS de Supabase con parámetros REST o RPC.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PostgreSQL alojado en el proyecto Supabase compartido.</w:t>
      </w:r>
    </w:p>
    <w:p>
      <w:pPr>
        <w:pStyle w:val="FirstParagraph"/>
      </w:pPr>
      <w:r>
        <w:t xml:space="preserve">No existe una base local de datos de la aplicación. Las estadísticas se derivan del hipercubo en memoria; las consultas agregadas en SQL se reservan para verificaciones de pruebas.</w:t>
      </w:r>
    </w:p>
    <w:bookmarkEnd w:id="11"/>
    <w:bookmarkStart w:id="12" w:name="_92f2bbe9959c9d84b0d2410d3014ffa32847627"/>
    <w:p>
      <w:pPr>
        <w:pStyle w:val="Heading2"/>
      </w:pPr>
      <w:r>
        <w:t xml:space="preserve">4. Dominio y estructuras</w:t>
      </w:r>
    </w:p>
    <w:p>
      <w:pPr>
        <w:pStyle w:val="FirstParagraph"/>
      </w:pPr>
      <w:r>
        <w:t xml:space="preserve">Las entidades principales son Grupo, Investigador, Producto y Proyecto. La multilista mantiene un nodo de producto compartido entre grupos e investigadores, evitando replicar el producto en memoria. Una lista doblemente enlazada almacena las colecciones de entidades; una pila registra operaciones reversibles; una cola FIFO organiza tareas de ingesta; y el hipercubo disperso de cinco dimensiones consolida grupo, investigador, categoría, año y estado de validación.</w:t>
      </w:r>
    </w:p>
    <w:p>
      <w:pPr>
        <w:pStyle w:val="BodyText"/>
      </w:pPr>
      <w:r>
        <w:t xml:space="preserve">La desactivación lógica se representa como</w:t>
      </w:r>
      <w:r>
        <w:t xml:space="preserve"> </w:t>
      </w:r>
      <w:r>
        <w:rPr>
          <w:rStyle w:val="VerbatimChar"/>
        </w:rPr>
        <w:t xml:space="preserve">activo=false</w:t>
      </w:r>
      <w:r>
        <w:t xml:space="preserve">. Las operaciones de dominio actualizan las estructuras y persisten mediante repositorios; los errores de persistencia deben reportarse y activar la compensación prevista por el servicio.</w:t>
      </w:r>
    </w:p>
    <w:bookmarkEnd w:id="12"/>
    <w:bookmarkStart w:id="13" w:name="_046fbe50c2b5c4c172663d78b34cf826521f1b6"/>
    <w:p>
      <w:pPr>
        <w:pStyle w:val="Heading2"/>
      </w:pPr>
      <w:r>
        <w:t xml:space="preserve">5. Requisitos funcionales documentados</w:t>
      </w:r>
    </w:p>
    <w:p>
      <w:pPr>
        <w:pStyle w:val="FirstParagraph"/>
      </w:pPr>
      <w:r>
        <w:t xml:space="preserve">La especificación formal disponible enumera R0–R12: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Responsabilidad principal</w:t>
            </w:r>
          </w:p>
        </w:tc>
        <w:tc>
          <w:tcPr/>
          <w:p>
            <w:pPr>
              <w:pStyle w:val="Compact"/>
            </w:pPr>
            <w:r>
              <w:t xml:space="preserve">Módulo de 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Revisión remota y control de concurrencia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pea.datos.revision.ControladorRevision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Gestión de grupos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pea.servicios.servicio_dominio.CatalogoInvestigacion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Gestión de investigadores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pea.servicios.servicio_dominio.CatalogoInvestigacion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Gestión y clasificación de 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pea.servicios.servicio_dominio.CatalogoInvestigacion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Multilista de coautoría y pertenencia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pea.estructuras.multilista.Multilista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Lista doblemente enlazada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pea.estructuras.lista_doble.ListaDoble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Pila de deshacer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pea.estructuras.pila.Pila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Cola FIFO e importación por lotes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pea.estructuras.cola.Cola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pea.ingesta.servicio_ingesta.ServicioIngesta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Hipercubo de cinco dimensiones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pea.estructuras.hipercubo.Hipercubo5D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Estadísticas calculadas desde el hipercubo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pea.servicios.servicio_estadisticas.ServicioEstadisticas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GUI Python y vistas estadísticas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pea.gui.VentanaPrincipal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Persistencia atómica y reversión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pea.datos.repositorios</w:t>
            </w:r>
            <w:r>
              <w:t xml:space="preserve"> </w:t>
            </w:r>
            <w:r>
              <w:t xml:space="preserve">y servicios de 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Extracción e importación de fuentes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pea.ingesta</w:t>
            </w:r>
          </w:p>
        </w:tc>
      </w:tr>
    </w:tbl>
    <w:p>
      <w:pPr>
        <w:pStyle w:val="FirstParagraph"/>
      </w:pPr>
      <w:r>
        <w:t xml:space="preserve">El enunciado original numerado 1–14 no se encuentra en</w:t>
      </w:r>
      <w:r>
        <w:t xml:space="preserve"> </w:t>
      </w:r>
      <w:r>
        <w:rPr>
          <w:rStyle w:val="VerbatimChar"/>
        </w:rPr>
        <w:t xml:space="preserve">docs/entrada/</w:t>
      </w:r>
      <w:r>
        <w:t xml:space="preserve">. La matriz de cumplimiento identifica esta limitación y no atribuye contenido a los puntos que no pueden cotejarse.</w:t>
      </w:r>
    </w:p>
    <w:bookmarkEnd w:id="13"/>
    <w:bookmarkStart w:id="14" w:name="_5aaa910bcfc18bb2dab57cd3d1cee373a9c4765"/>
    <w:p>
      <w:pPr>
        <w:pStyle w:val="Heading2"/>
      </w:pPr>
      <w:r>
        <w:t xml:space="preserve">6. Interfaz Python</w:t>
      </w:r>
    </w:p>
    <w:p>
      <w:pPr>
        <w:pStyle w:val="FirstParagraph"/>
      </w:pPr>
      <w:r>
        <w:t xml:space="preserve">La GUI utiliza PySide6, Qt Widgets, QSS, QPainter y QtSvg. La navegación contempla Inicio, Investigadores, Grupos, Productos, Análisis de redes, Importar, Configuración y Acerca de. Los directorios presentan tablas y fichas laterales; los gráficos se dibujan con componentes propios. La fuente de datos activa se identifica como «Datos de Supabase» o «Datos de demostración».</w:t>
      </w:r>
    </w:p>
    <w:p>
      <w:pPr>
        <w:pStyle w:val="BodyText"/>
      </w:pPr>
      <w:r>
        <w:t xml:space="preserve">La aplicación se inicia mediante</w:t>
      </w:r>
      <w:r>
        <w:t xml:space="preserve"> </w:t>
      </w:r>
      <w:r>
        <w:rPr>
          <w:rStyle w:val="VerbatimChar"/>
        </w:rPr>
        <w:t xml:space="preserve">python -m pea.gui</w:t>
      </w:r>
      <w:r>
        <w:t xml:space="preserve">. La autoprueba se ejecuta con</w:t>
      </w:r>
      <w:r>
        <w:t xml:space="preserve"> </w:t>
      </w:r>
      <w:r>
        <w:rPr>
          <w:rStyle w:val="VerbatimChar"/>
        </w:rPr>
        <w:t xml:space="preserve">python -m pea.gui --autoprueba</w:t>
      </w:r>
      <w:r>
        <w:t xml:space="preserve"> </w:t>
      </w:r>
      <w:r>
        <w:t xml:space="preserve">y cubre las ocho pantallas en tres resoluciones mediante capturas automatizadas.</w:t>
      </w:r>
    </w:p>
    <w:bookmarkEnd w:id="14"/>
    <w:bookmarkStart w:id="15" w:name="_526496591c88ea6a28263d399fba8572b09c77a"/>
    <w:p>
      <w:pPr>
        <w:pStyle w:val="Heading2"/>
      </w:pPr>
      <w:r>
        <w:t xml:space="preserve">7. Estadísticas y visualizaciones</w:t>
      </w:r>
    </w:p>
    <w:p>
      <w:pPr>
        <w:pStyle w:val="FirstParagraph"/>
      </w:pPr>
      <w:r>
        <w:rPr>
          <w:rStyle w:val="VerbatimChar"/>
        </w:rPr>
        <w:t xml:space="preserve">ServicioEstadisticas</w:t>
      </w:r>
      <w:r>
        <w:t xml:space="preserve"> </w:t>
      </w:r>
      <w:r>
        <w:t xml:space="preserve">deriva métricas desde el hipercubo. La GUI dispone de gráficos nativos y de histogramas para distribución de productos por investigador y por año, respetando la ventana de observación. Los gráficos deben mostrar estados vacíos claros y permiten consultar los datos tabulares cuando el componente lo ofrece.</w:t>
      </w:r>
    </w:p>
    <w:bookmarkEnd w:id="15"/>
    <w:bookmarkStart w:id="16" w:name="_ingesta"/>
    <w:p>
      <w:pPr>
        <w:pStyle w:val="Heading2"/>
      </w:pPr>
      <w:r>
        <w:t xml:space="preserve">8. Ingesta</w:t>
      </w:r>
    </w:p>
    <w:p>
      <w:pPr>
        <w:pStyle w:val="FirstParagraph"/>
      </w:pPr>
      <w:r>
        <w:t xml:space="preserve">Las fuentes web están restringidas a HTTPS y al host</w:t>
      </w:r>
      <w:r>
        <w:t xml:space="preserve"> </w:t>
      </w:r>
      <w:r>
        <w:rPr>
          <w:rStyle w:val="VerbatimChar"/>
        </w:rPr>
        <w:t xml:space="preserve">scienti.minciencias.gov.co</w:t>
      </w:r>
      <w:r>
        <w:t xml:space="preserve">. El extractor usa un User-Agent institucional, tiempos de espera, hasta tres reintentos, una pausa mínima entre solicitudes y caché en</w:t>
      </w:r>
      <w:r>
        <w:t xml:space="preserve"> </w:t>
      </w:r>
      <w:r>
        <w:rPr>
          <w:rStyle w:val="VerbatimChar"/>
        </w:rPr>
        <w:t xml:space="preserve">datos/cache/</w:t>
      </w:r>
      <w:r>
        <w:t xml:space="preserve">. La CLI ofrece importación de URL, CSV y PDF.</w:t>
      </w:r>
    </w:p>
    <w:p>
      <w:pPr>
        <w:pStyle w:val="BodyText"/>
      </w:pPr>
      <w:r>
        <w:t xml:space="preserve">La importación por lote acepta</w:t>
      </w:r>
      <w:r>
        <w:t xml:space="preserve"> </w:t>
      </w:r>
      <w:r>
        <w:rPr>
          <w:rStyle w:val="VerbatimChar"/>
        </w:rPr>
        <w:t xml:space="preserve">python -m pea.cli importar-url --archivo-grupos datos/fuentes/grupos_upc.txt</w:t>
      </w:r>
      <w:r>
        <w:t xml:space="preserve">. El archivo local contiene un código GrupLAC autorizado por línea. Las tareas se procesan secuencialmente; no se agregan códigos de grupos reales a esta entrega.</w:t>
      </w:r>
    </w:p>
    <w:bookmarkEnd w:id="16"/>
    <w:bookmarkStart w:id="17" w:name="_2774a6a7e11cf1f19ddb5ee71ea7b837e612524"/>
    <w:p>
      <w:pPr>
        <w:pStyle w:val="Heading2"/>
      </w:pPr>
      <w:r>
        <w:t xml:space="preserve">9. Persistencia y seguridad</w:t>
      </w:r>
    </w:p>
    <w:p>
      <w:pPr>
        <w:pStyle w:val="FirstParagraph"/>
      </w:pPr>
      <w:r>
        <w:t xml:space="preserve">El esquema de PostgreSQL se mantiene en migraciones nuevas de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; las migraciones aplicadas no se modifican. La aplicación usa Auth, RLS y solo claves publicables. No se incorporan claves, contraseñas ni tokens a código o documentos. Las operaciones que requieren atomicidad usan RPC con la revisión esperada. Si no hay conexión, se informa el error y se bloquea la escritura.</w:t>
      </w:r>
    </w:p>
    <w:p>
      <w:pPr>
        <w:pStyle w:val="BodyText"/>
      </w:pPr>
      <w:r>
        <w:t xml:space="preserve">Los archivos privados de SCIENTI y los respaldos se excluyen del versionado según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Los fixtures y la migración con datos de fuente real requieren que el repositorio conserve visibilidad privada.</w:t>
      </w:r>
    </w:p>
    <w:bookmarkEnd w:id="17"/>
    <w:bookmarkStart w:id="18" w:name="_verificación"/>
    <w:p>
      <w:pPr>
        <w:pStyle w:val="Heading2"/>
      </w:pPr>
      <w:r>
        <w:t xml:space="preserve">10. Verificación</w:t>
      </w:r>
    </w:p>
    <w:p>
      <w:pPr>
        <w:pStyle w:val="FirstParagraph"/>
      </w:pPr>
      <w:r>
        <w:t xml:space="preserve">Las verificaciones locales recomendadas son: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ruff check src tests tools scripts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vulture src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vulture_whitelist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min-confidence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autoprueba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verificar_brain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Las pruebas que consultan red se marcan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y se excluyen de la ejecución predeterminada. La verificación remota de conteos se limita a</w:t>
      </w:r>
      <w:r>
        <w:t xml:space="preserve"> </w:t>
      </w:r>
      <w:r>
        <w:rPr>
          <w:rStyle w:val="VerbatimChar"/>
        </w:rPr>
        <w:t xml:space="preserve">es_ejemplo=false</w:t>
      </w:r>
      <w:r>
        <w:t xml:space="preserve"> </w:t>
      </w:r>
      <w:r>
        <w:t xml:space="preserve">y requiere la sesión normal del usuario con clave publicable.</w:t>
      </w:r>
    </w:p>
    <w:bookmarkEnd w:id="18"/>
    <w:bookmarkStart w:id="19" w:name="_35d24f501c2a971eccc09d1be62214b1f5b3269"/>
    <w:p>
      <w:pPr>
        <w:pStyle w:val="Heading2"/>
      </w:pPr>
      <w:r>
        <w:t xml:space="preserve">11. Estado y limitaciones</w:t>
      </w:r>
    </w:p>
    <w:p>
      <w:pPr>
        <w:pStyle w:val="Compact"/>
        <w:numPr>
          <w:ilvl w:val="0"/>
          <w:numId w:val="1002"/>
        </w:numPr>
      </w:pPr>
      <w:r>
        <w:t xml:space="preserve">La entrega Python se verifica con pruebas automatizadas y capturas de la autoprueba.</w:t>
      </w:r>
    </w:p>
    <w:p>
      <w:pPr>
        <w:pStyle w:val="Compact"/>
        <w:numPr>
          <w:ilvl w:val="0"/>
          <w:numId w:val="1002"/>
        </w:numPr>
      </w:pPr>
      <w:r>
        <w:t xml:space="preserve">Los conteos remotos esperados (1 grupo, 85 investigadores y 855 productos) no se declaran confirmados hasta ejecutar la prueba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en un entorno configurado.</w:t>
      </w:r>
    </w:p>
    <w:p>
      <w:pPr>
        <w:pStyle w:val="Compact"/>
        <w:numPr>
          <w:ilvl w:val="0"/>
          <w:numId w:val="1002"/>
        </w:numPr>
      </w:pPr>
      <w:r>
        <w:t xml:space="preserve">El punto por punto del enunciado 1–14 requiere incorporar el documento original, que no está en</w:t>
      </w:r>
      <w:r>
        <w:t xml:space="preserve"> </w:t>
      </w:r>
      <w:r>
        <w:rPr>
          <w:rStyle w:val="VerbatimChar"/>
        </w:rPr>
        <w:t xml:space="preserve">docs/entrada/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implementación C++ queda pendiente y se rehace en terminal.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2026-10-20T17:40:10Z</dcterms:created>
  <dcterms:modified xsi:type="dcterms:W3CDTF">2026-10-20T17:40:10Z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