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Cronograma de trabajo MMConecta</w:t>
      </w:r>
    </w:p>
    <w:p>
      <w:r>
        <w:rPr>
          <w:b w:val="0"/>
        </w:rPr>
        <w:t>Michel y Francisca   •   Grupo 11   •   16 al 31 de octubre de 2026</w:t>
      </w:r>
    </w:p>
    <w:p>
      <w:r>
        <w:rPr>
          <w:b w:val="0"/>
        </w:rPr>
      </w:r>
      <w:r>
        <w:rPr>
          <w:b/>
        </w:rPr>
        <w:t>Objetivo:</w:t>
      </w:r>
      <w:r>
        <w:rPr>
          <w:b w:val="0"/>
        </w:rPr>
        <w:t xml:space="preserve"> preparar el MVP académico del caso Master Martini y que ambas integrantes puedan ejecutarlo, explicarlo y modificarlo en su defensa individual.</w:t>
      </w:r>
    </w:p>
    <w:p>
      <w:r>
        <w:rPr>
          <w:b w:val="0"/>
        </w:rPr>
      </w:r>
      <w:r>
        <w:rPr>
          <w:b/>
        </w:rPr>
        <w:t>Fecha objetivo provisional: 31 de octubre de 2026.</w:t>
      </w:r>
      <w:r>
        <w:rPr>
          <w:b w:val="0"/>
        </w:rPr>
        <w:t xml:space="preserve"> Michel indicó «31»; se asume octubre por el contexto. Falta confirmar si corresponde a EP2, EP3 o ambas y la hora límite. Este calendario es una propuesta de reparto para acordar entre ambas, no un registro de trabajo ya realizado.</w:t>
      </w:r>
    </w:p>
    <w:p>
      <w:r>
        <w:rPr>
          <w:b w:val="0"/>
        </w:rPr>
      </w:r>
      <w:r>
        <w:rPr>
          <w:b/>
        </w:rPr>
        <w:t>Cómo usar esta planilla:</w:t>
      </w:r>
      <w:r>
        <w:rPr>
          <w:b w:val="0"/>
        </w:rPr>
        <w:t xml:space="preserve"> cada mañana revisar la fila del día; al terminar, registrar enlace al commit/PR, evidencia y bloqueos en la tabla de seguimiento. La compañera revisa el cambio antes de integrarlo. Estimación inicial: 2–3 horas por persona al día y 15 minutos de coordinación; ajustar según disponibilidad real.</w:t>
      </w:r>
    </w:p>
    <w:p>
      <w:pPr>
        <w:pStyle w:val="Heading1"/>
      </w:pPr>
      <w:r>
        <w:t>Punto de partida</w:t>
      </w:r>
    </w:p>
    <w:p>
      <w:pPr>
        <w:pStyle w:val="ListBullet"/>
      </w:pPr>
      <w:r>
        <w:rPr>
          <w:b w:val="0"/>
        </w:rPr>
        <w:t>La base Android existe localmente: Kotlin, Compose, Material 3, paquetes ui/, viewmodel/, model/, repository/.</w:t>
      </w:r>
    </w:p>
    <w:p>
      <w:pPr>
        <w:pStyle w:val="ListBullet"/>
      </w:pPr>
      <w:r>
        <w:rPr>
          <w:b w:val="0"/>
        </w:rPr>
        <w:t>Se observó MMConecta ejecutándose en el emulador. Se probaron «Chocolatería» (una tarjeta) y «Todos» (tres tarjetas) correctamente.</w:t>
      </w:r>
    </w:p>
    <w:p>
      <w:pPr>
        <w:pStyle w:val="ListBullet"/>
      </w:pPr>
      <w:r>
        <w:rPr>
          <w:b w:val="0"/>
        </w:rPr>
        <w:t>Los contenidos son ficticios y el filtro mantiene estado en memoria. Esto no acredita persistencia ni funcionalidades aún pendientes.</w:t>
      </w:r>
    </w:p>
    <w:p>
      <w:pPr>
        <w:pStyle w:val="ListBullet"/>
      </w:pPr>
      <w:r>
        <w:rPr>
          <w:b w:val="0"/>
        </w:rPr>
        <w:t xml:space="preserve">A la preparación de este documento, el repositorio remoto estaba vacío. </w:t>
      </w:r>
      <w:r>
        <w:rPr>
          <w:b/>
        </w:rPr>
        <w:t>Publicar esta planilla no significa que el código de la app ya esté compartido.</w:t>
      </w:r>
      <w:r>
        <w:rPr>
          <w:b w:val="0"/>
        </w:rPr>
        <w:t xml:space="preserve"> Compartir la base y verificar que Francisca pueda abrirla es la primera dependencia.</w:t>
      </w:r>
    </w:p>
    <w:p>
      <w:pPr>
        <w:pStyle w:val="ListBullet"/>
      </w:pPr>
      <w:r>
        <w:rPr>
          <w:b w:val="0"/>
        </w:rPr>
        <w:t>Pendientes: navegación, detalle, perfil validado, Room, cámara, notificaciones, animaciones y pruebas completas.</w:t>
      </w:r>
    </w:p>
    <w:p>
      <w:pPr>
        <w:pStyle w:val="Heading1"/>
      </w:pPr>
      <w:r>
        <w:t>Qué manda y qué falta confirmar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5184"/>
        <w:gridCol w:w="6480"/>
      </w:tblGrid>
      <w:tr>
        <w:trPr>
          <w:tblHeader/>
          <w:cantSplit/>
        </w:trPr>
        <w:tc>
          <w:tcPr>
            <w:tcW w:type="dxa" w:w="3168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5184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6480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Caso Master Martini, 5 páginas</w:t>
            </w:r>
          </w:p>
        </w:tc>
        <w:tc>
          <w:tcPr>
            <w:tcW w:type="dxa" w:w="51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Leído</w:t>
            </w:r>
          </w:p>
        </w:tc>
        <w:tc>
          <w:tcPr>
            <w:tcW w:type="dxa" w:w="648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Contexto, accesibilidad, datos ficticios y límites del MVP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Pauta PDF EP3, 8 páginas</w:t>
            </w:r>
          </w:p>
        </w:tc>
        <w:tc>
          <w:tcPr>
            <w:tcW w:type="dxa" w:w="51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Leída</w:t>
            </w:r>
          </w:p>
        </w:tc>
        <w:tc>
          <w:tcPr>
            <w:tcW w:type="dxa" w:w="64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Defensa individual de 15 minutos, indicadores y ponderaciones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Captura EP2</w:t>
            </w:r>
          </w:p>
        </w:tc>
        <w:tc>
          <w:tcPr>
            <w:tcW w:type="dxa" w:w="51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Leída</w:t>
            </w:r>
          </w:p>
        </w:tc>
        <w:tc>
          <w:tcPr>
            <w:tcW w:type="dxa" w:w="648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Encargo en pareja, 8 %, áreas generales requeridas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Rúbrica detallada EP2</w:t>
            </w:r>
          </w:p>
        </w:tc>
        <w:tc>
          <w:tcPr>
            <w:tcW w:type="dxa" w:w="51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Pendiente de recibir</w:t>
            </w:r>
          </w:p>
        </w:tc>
        <w:tc>
          <w:tcPr>
            <w:tcW w:type="dxa" w:w="64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Confirmar mínimos, cantidad de pantallas/recursos y formato de entrega; no inventarlos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Guía 7</w:t>
            </w:r>
          </w:p>
        </w:tc>
        <w:tc>
          <w:tcPr>
            <w:tcW w:type="dxa" w:w="51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Vista en clases según Michel, archivo pendiente de recibir aquí</w:t>
            </w:r>
          </w:p>
        </w:tc>
        <w:tc>
          <w:tcPr>
            <w:tcW w:type="dxa" w:w="648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Contrastar estructura enseñada; una guía no sustituye la rúbrica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13 presentaciones Genially</w:t>
            </w:r>
          </w:p>
        </w:tc>
        <w:tc>
          <w:tcPr>
            <w:tcW w:type="dxa" w:w="51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Acceso y títulos comprobados; lectura completa pendiente</w:t>
            </w:r>
          </w:p>
        </w:tc>
        <w:tc>
          <w:tcPr>
            <w:tcW w:type="dxa" w:w="64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Consultar la unidad correspondiente antes de implementar</w:t>
            </w:r>
          </w:p>
        </w:tc>
      </w:tr>
    </w:tbl>
    <w:p>
      <w:pPr>
        <w:spacing w:after="0"/>
      </w:pPr>
    </w:p>
    <w:p>
      <w:r>
        <w:rPr>
          <w:b w:val="0"/>
        </w:rPr>
      </w:r>
      <w:r>
        <w:rPr>
          <w:b/>
        </w:rPr>
        <w:t>Alcance acordado para planificar:</w:t>
      </w:r>
      <w:r>
        <w:rPr>
          <w:b w:val="0"/>
        </w:rPr>
        <w:t xml:space="preserve"> cámara y notificaciones locales como dos recursos nativos. No se atribuye un mínimo de dos al PDF EP3, porque el documento disponible no lo fija explícitamente. Validarlo con EP2.</w:t>
      </w:r>
    </w:p>
    <w:p>
      <w:r>
        <w:rPr>
          <w:b w:val="0"/>
        </w:rPr>
        <w:t>La defensa no requiere diapositivas adicionales según el PDF EP3. Priorizar app, dominio del código y cambios en vivo. La pauta indica que no se admite IA ni recursos de apoyo durante la defensa.</w:t>
      </w:r>
    </w:p>
    <w:p>
      <w:pPr>
        <w:pStyle w:val="Heading1"/>
        <w:pageBreakBefore/>
      </w:pPr>
      <w:r>
        <w:t>Cronograma diario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3384"/>
        <w:gridCol w:w="3384"/>
        <w:gridCol w:w="3024"/>
        <w:gridCol w:w="4032"/>
      </w:tblGrid>
      <w:tr>
        <w:trPr>
          <w:tblHeader/>
          <w:cantSplit/>
        </w:trPr>
        <w:tc>
          <w:tcPr>
            <w:tcW w:type="dxa" w:w="1008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Día</w:t>
            </w:r>
          </w:p>
        </w:tc>
        <w:tc>
          <w:tcPr>
            <w:tcW w:type="dxa" w:w="3384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Michel: tarea principal</w:t>
            </w:r>
          </w:p>
        </w:tc>
        <w:tc>
          <w:tcPr>
            <w:tcW w:type="dxa" w:w="3384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Francisca: tarea principal</w:t>
            </w:r>
          </w:p>
        </w:tc>
        <w:tc>
          <w:tcPr>
            <w:tcW w:type="dxa" w:w="3024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Dependencia / revisión conjunta</w:t>
            </w:r>
          </w:p>
        </w:tc>
        <w:tc>
          <w:tcPr>
            <w:tcW w:type="dxa" w:w="4032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Resultado y criterio para cerrar el día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Vie 16 oct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Preparar la base para compartir: revisar archivos ignorados, documentar SDK/JDK y procedimiento de ejecución; publicar código mediante un cambio revisable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Abrir/clonar la base cuando esté publicada, configurar entorno propio y ejecutar; reunir Guía 7 y rúbrica EP2</w:t>
            </w:r>
          </w:p>
        </w:tc>
        <w:tc>
          <w:tcPr>
            <w:tcW w:type="dxa" w:w="302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Ambas confirman fecha, hora, entrega y disponibilidad; revisar juntas el alcance</w:t>
            </w:r>
          </w:p>
        </w:tc>
        <w:tc>
          <w:tcPr>
            <w:tcW w:type="dxa" w:w="4032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Ambas ejecutan la misma versión; fuentes faltantes identificadas y responsables definidos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Sáb 17 oct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Definir modelo de perfil ficticio, campos e intereses; bocetar validaciones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Definir catálogo, detalle y mapa de pantallas; revisar accesibilidad y contenido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Acordar contratos de modelos/repositorios y nombres de rutas antes de codificar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Mapa y contratos escritos, sin datos reales; tareas ajustadas a EP2 si ya está disponible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Dom 18 oct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Crear ProfileScreen y ProfileViewModel con campos e intereses editables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Crear navegación inicio  a  catálogo  a  detalle y regreso; conectar tarjetas a detalles por ID</w:t>
            </w:r>
          </w:p>
        </w:tc>
        <w:tc>
          <w:tcPr>
            <w:tcW w:type="dxa" w:w="302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Francisca coordina el archivo de navegación para evitar ediciones simultáneas</w:t>
            </w:r>
          </w:p>
        </w:tc>
        <w:tc>
          <w:tcPr>
            <w:tcW w:type="dxa" w:w="4032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Formulario editable y recorrido catálogo/detalle ejecutables, sin afirmar validación completa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Lun 19 oct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Implementar validación por campo, mensajes, iconos y bloqueo de guardado inválido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Conectar pantalla de perfil a navegación; comprobar Material 3, jerarquía y tamaños legibles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Michel revisa navegación; Francisca prueba datos inválidos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Flujo completo accesible; errores claros y sin pérdida inesperada al interactuar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Mar 20 oct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Organizar StateFlow del perfil: edición, error y confirmación de guardado provisional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Organizar estado del catálogo/detalle: filtro, vacío y error cuando corresponda; evitar loaders ficticios permanentes</w:t>
            </w:r>
          </w:p>
        </w:tc>
        <w:tc>
          <w:tcPr>
            <w:tcW w:type="dxa" w:w="302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Ambas explican evento  a  ViewModel  a  estado  a  UI</w:t>
            </w:r>
          </w:p>
        </w:tc>
        <w:tc>
          <w:tcPr>
            <w:tcW w:type="dxa" w:w="4032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La UI responde coherentemente; estados demostrables y lógica fuera de los Composables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Mié 21 oct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Crear Room: entidad/DAO de perfil y contrato de repositorio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Crear entidad/DAO de favoritos y operación de consulta por ID de contenido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Michel coordina AppDatabase y dependencias; acordar migraciones antes de cambiar esquemas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Guardado/consulta local implementados y compilación compartida; aún verificar reinicio al día siguiente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Jue 22 oct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Conectar perfil a Room: guardar, recuperar y actualizar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Conectar favoritos a catálogo/detalle y mostrar lista de favoritos</w:t>
            </w:r>
          </w:p>
        </w:tc>
        <w:tc>
          <w:tcPr>
            <w:tcW w:type="dxa" w:w="302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Revisar juntas operaciones de base de datos y concurrencia</w:t>
            </w:r>
          </w:p>
        </w:tc>
        <w:tc>
          <w:tcPr>
            <w:tcW w:type="dxa" w:w="4032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Cerrar y reabrir la app conserva perfil y favoritos; actualizar no duplica registros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Vie 23 oct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Integrar cámara para imagen de prueba del perfil: URI, almacenamiento y cancelación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Integrar notificación local de demostración: canal, texto, permiso según Android y disparador explícito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Usar solo contenido sintético/de prueba; explicar permisos necesarios según implementación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Cada recurso funciona por separado; rechazar/cancelar no cierra la app ni muestra éxito falso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Sáb 24 oct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Verificar recuperación/presentación de imagen y explicar flujo de cámara a Francisca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Verificar notificación visible, permiso denegado y reintento; explicar implementación a Michel</w:t>
            </w:r>
          </w:p>
        </w:tc>
        <w:tc>
          <w:tcPr>
            <w:tcW w:type="dxa" w:w="302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Revisión cruzada de los dos recursos y sus límites</w:t>
            </w:r>
          </w:p>
        </w:tc>
        <w:tc>
          <w:tcPr>
            <w:tcW w:type="dxa" w:w="4032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Ambas ejecutan y explican cámara y notificaciones; evidencias individuales de cada flujo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Dom 25 oct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Incorporar animación útil de error/confirmación de formulario y revisar comportamiento con texto grande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Incorporar transición o animación útil en catálogo/favoritos y revisar adaptación visual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Evitar animaciones que oculten errores o dificulten lectura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UI legible con tamaños de texto mayores; animaciones justificadas y sin bloquear interacción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Lun 26 oct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Probar catálogo, detalle, favoritos y notificaciones hechos por Francisca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Probar perfil, validaciones, persistencia e imagen hechos por Michel</w:t>
            </w:r>
          </w:p>
        </w:tc>
        <w:tc>
          <w:tcPr>
            <w:tcW w:type="dxa" w:w="302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Pruebas cruzadas, orientación, reinicio, entradas vacías/incorrectas y permisos</w:t>
            </w:r>
          </w:p>
        </w:tc>
        <w:tc>
          <w:tcPr>
            <w:tcW w:type="dxa" w:w="4032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Lista de fallos con pasos de reproducción y prioridad; corregir primero bloqueos y pérdidas de datos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Mar 27 oct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Corregir fallos de perfil, datos y cámara; actualizar documentación técnica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Corregir fallos de navegación, catálogo y notificaciones; revisar matriz de rúbrica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Auditoría conjunta requisito  a  código  a  demostración; consultar al docente dudas reales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Cada requisito tiene evidencia o pendiente explícito; app ejecutable desde instalación limpia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Mié 28 oct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Ensayar defensa individual de 15 min; modificar validación y añadir componente sin ayuda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Ensayar defensa individual de 15 min; modificar persistencia y ajustar recurso nativo sin ayuda</w:t>
            </w:r>
          </w:p>
        </w:tc>
        <w:tc>
          <w:tcPr>
            <w:tcW w:type="dxa" w:w="302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Intercambiar ejercicios para cubrir todas las áreas; compañera observa y toma notas</w:t>
            </w:r>
          </w:p>
        </w:tc>
        <w:tc>
          <w:tcPr>
            <w:tcW w:type="dxa" w:w="4032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Ambas completan recorrido y cambios en vivo; registrar dificultades y volver a practicar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Jue 29 oct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Repetir ensayo centrado en áreas débiles y verificar entorno/dispositivo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Verificar ejecución desde clon limpio y preparar entrega según formato real de EP2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Congelar nuevas funciones; corregir solo fallos relevantes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Versión candidata estable, instrucciones reproducibles y archivos exigidos identificados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Vie 30 oct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Revisar versión final, permisos, datos ficticios y evidencias de pruebas</w:t>
            </w:r>
          </w:p>
        </w:tc>
        <w:tc>
          <w:tcPr>
            <w:tcW w:type="dxa" w:w="338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Revisar README, historial, enlaces, archivos de entrega y acceso al repositorio</w:t>
            </w:r>
          </w:p>
        </w:tc>
        <w:tc>
          <w:tcPr>
            <w:tcW w:type="dxa" w:w="302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Ambas confirman checklist y versión exacta; entregar antes si el plazo oficial lo exige</w:t>
            </w:r>
          </w:p>
        </w:tc>
        <w:tc>
          <w:tcPr>
            <w:tcW w:type="dxa" w:w="4032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Paquete revisado y listo; conservar copia local; no enviar automáticamente al campus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Sáb 31 oct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Verificar recepción/entrega según plazo confirmado y preparar defensa propia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Verificar recepción/entrega según plazo confirmado y preparar defensa propia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Día de margen; evitar añadir funciones nuevas; defensa solo si está programada ese día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Entrega comprobada por el equipo; registrar retroalimentación para EFT</w:t>
            </w:r>
          </w:p>
        </w:tc>
      </w:tr>
    </w:tbl>
    <w:p>
      <w:pPr>
        <w:spacing w:after="0"/>
      </w:pPr>
    </w:p>
    <w:p>
      <w:r>
        <w:rPr>
          <w:b w:val="0"/>
        </w:rPr>
      </w:r>
      <w:r>
        <w:rPr>
          <w:b/>
        </w:rPr>
        <w:t>Si se atrasan:</w:t>
      </w:r>
      <w:r>
        <w:rPr>
          <w:b w:val="0"/>
        </w:rPr>
        <w:t xml:space="preserve"> proteger ejecución, validaciones, persistencia, recursos exigidos y dominio individual. Reducir extras de contenido y decoración, nunca omitir requisitos confirmados. No dejar la primera prueba completa para el día 30.</w:t>
      </w:r>
    </w:p>
    <w:p>
      <w:pPr>
        <w:pStyle w:val="Heading1"/>
      </w:pPr>
      <w:r>
        <w:t>Contratos y límites para trabajar en paralelo</w:t>
      </w:r>
    </w:p>
    <w:p>
      <w:pPr>
        <w:pStyle w:val="ListBullet"/>
      </w:pPr>
      <w:r>
        <w:rPr>
          <w:b w:val="0"/>
        </w:rPr>
        <w:t>model/: clases de datos compartidas; acordar cambios de campos antes de integrarlos.</w:t>
      </w:r>
    </w:p>
    <w:p>
      <w:pPr>
        <w:pStyle w:val="ListBullet"/>
      </w:pPr>
      <w:r>
        <w:rPr>
          <w:b w:val="0"/>
        </w:rPr>
        <w:t>repository/: acceso a datos; la UI no accede directamente a DAO/Room.</w:t>
      </w:r>
    </w:p>
    <w:p>
      <w:pPr>
        <w:pStyle w:val="ListBullet"/>
      </w:pPr>
      <w:r>
        <w:rPr>
          <w:b w:val="0"/>
        </w:rPr>
        <w:t>viewmodel/: estado, validaciones y coordinación de operaciones. Usar ViewModel por funcionalidad cuando tenga estado propio; no crear clases vacías solo por cumplir nombres.</w:t>
      </w:r>
    </w:p>
    <w:p>
      <w:pPr>
        <w:pStyle w:val="ListBullet"/>
      </w:pPr>
      <w:r>
        <w:rPr>
          <w:b w:val="0"/>
        </w:rPr>
        <w:t>ui/: Screens, Composables, navegación y tema. Recibe estado y emite acciones.</w:t>
      </w:r>
    </w:p>
    <w:p>
      <w:pPr>
        <w:pStyle w:val="ListBullet"/>
      </w:pPr>
      <w:r>
        <w:rPr>
          <w:b w:val="0"/>
        </w:rPr>
        <w:t xml:space="preserve">Michel coordina configuración Gradle/AppDatabase. Francisca coordina navegación/tema. </w:t>
      </w:r>
      <w:r>
        <w:rPr>
          <w:b/>
        </w:rPr>
        <w:t>Coordinar no significa propiedad exclusiva:</w:t>
      </w:r>
      <w:r>
        <w:rPr>
          <w:b w:val="0"/>
        </w:rPr>
        <w:t xml:space="preserve"> ambas revisan y comprenden estos archivos.</w:t>
      </w:r>
    </w:p>
    <w:p>
      <w:pPr>
        <w:pStyle w:val="ListBullet"/>
      </w:pPr>
      <w:r>
        <w:rPr>
          <w:b w:val="0"/>
        </w:rPr>
        <w:t>Perfil e intereses: definir campos estrictamente necesarios para la demo. RUT, dirección y teléfono aparecen como posibilidades del caso, no se declaran obligatorios sin contrastar la rúbrica.</w:t>
      </w:r>
    </w:p>
    <w:p>
      <w:pPr>
        <w:pStyle w:val="ListBullet"/>
      </w:pPr>
      <w:r>
        <w:rPr>
          <w:b w:val="0"/>
        </w:rPr>
        <w:t>No se planifica backend, autenticación real ni integración web empresarial: son extras fuera del MVP inicial y no exigencias verificadas.</w:t>
      </w:r>
    </w:p>
    <w:p>
      <w:pPr>
        <w:pStyle w:val="ListBullet"/>
      </w:pPr>
      <w:r>
        <w:rPr>
          <w:b w:val="0"/>
        </w:rPr>
        <w:t>Cámara: contenido de prueba sin información personal. Notificaciones: locales y voluntarias para la demostración, sin envío a terceros.</w:t>
      </w:r>
    </w:p>
    <w:p>
      <w:pPr>
        <w:pStyle w:val="Heading1"/>
        <w:pageBreakBefore/>
      </w:pPr>
      <w:r>
        <w:t>Checklist de evaluación y evidencia</w:t>
      </w:r>
    </w:p>
    <w:p>
      <w:r>
        <w:rPr>
          <w:b w:val="0"/>
        </w:rPr>
        <w:t xml:space="preserve">Los pesos siguientes corresponden </w:t>
      </w:r>
      <w:r>
        <w:rPr>
          <w:b/>
        </w:rPr>
        <w:t>solo a EP3</w:t>
      </w:r>
      <w:r>
        <w:rPr>
          <w:b w:val="0"/>
        </w:rPr>
        <w:t>, cuyo total es 100 %; EP3 representa el 32 % de la asignatura según el material recibido.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864"/>
        <w:gridCol w:w="4320"/>
        <w:gridCol w:w="3600"/>
        <w:gridCol w:w="3168"/>
      </w:tblGrid>
      <w:tr>
        <w:trPr>
          <w:tblHeader/>
          <w:cantSplit/>
        </w:trPr>
        <w:tc>
          <w:tcPr>
            <w:tcW w:type="dxa" w:w="2880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Indicador EP3</w:t>
            </w:r>
          </w:p>
        </w:tc>
        <w:tc>
          <w:tcPr>
            <w:tcW w:type="dxa" w:w="864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4320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Qué debe demostrar cada una</w:t>
            </w:r>
          </w:p>
        </w:tc>
        <w:tc>
          <w:tcPr>
            <w:tcW w:type="dxa" w:w="3600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Evidencia de cierre</w:t>
            </w:r>
          </w:p>
        </w:tc>
        <w:tc>
          <w:tcPr>
            <w:tcW w:type="dxa" w:w="3168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Responsable principal / revisora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IE2.1.1 Validación</w:t>
            </w:r>
          </w:p>
        </w:tc>
        <w:tc>
          <w:tcPr>
            <w:tcW w:type="dxa" w:w="8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20 %</w:t>
            </w:r>
          </w:p>
        </w:tc>
        <w:tc>
          <w:tcPr>
            <w:tcW w:type="dxa" w:w="432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Explicar reglas, añadir condición y corregir error en vivo</w:t>
            </w:r>
          </w:p>
        </w:tc>
        <w:tc>
          <w:tcPr>
            <w:tcW w:type="dxa" w:w="360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Caso válido + inválido + modificación funcional</w:t>
            </w:r>
          </w:p>
        </w:tc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Michel / Francisca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IE2.1.2 Diseño y navegación</w:t>
            </w:r>
          </w:p>
        </w:tc>
        <w:tc>
          <w:tcPr>
            <w:tcW w:type="dxa" w:w="8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7 %</w:t>
            </w:r>
          </w:p>
        </w:tc>
        <w:tc>
          <w:tcPr>
            <w:tcW w:type="dxa" w:w="43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Justificar jerarquía, Material 3, navegación y usabilidad</w:t>
            </w:r>
          </w:p>
        </w:tc>
        <w:tc>
          <w:tcPr>
            <w:tcW w:type="dxa" w:w="36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Recorrido completo, retorno y adaptación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Francisca / Michel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IE2.2.1 Modularidad</w:t>
            </w:r>
          </w:p>
        </w:tc>
        <w:tc>
          <w:tcPr>
            <w:tcW w:type="dxa" w:w="8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22 %</w:t>
            </w:r>
          </w:p>
        </w:tc>
        <w:tc>
          <w:tcPr>
            <w:tcW w:type="dxa" w:w="432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Incorporar clase, componente o animación sin romper estructura</w:t>
            </w:r>
          </w:p>
        </w:tc>
        <w:tc>
          <w:tcPr>
            <w:tcW w:type="dxa" w:w="360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Cambio en vivo compilado y explicado</w:t>
            </w:r>
          </w:p>
        </w:tc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Ambas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IE2.2.2 Estado y control</w:t>
            </w:r>
          </w:p>
        </w:tc>
        <w:tc>
          <w:tcPr>
            <w:tcW w:type="dxa" w:w="8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7 %</w:t>
            </w:r>
          </w:p>
        </w:tc>
        <w:tc>
          <w:tcPr>
            <w:tcW w:type="dxa" w:w="43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Explicar estados y relación con acciones/UI</w:t>
            </w:r>
          </w:p>
        </w:tc>
        <w:tc>
          <w:tcPr>
            <w:tcW w:type="dxa" w:w="36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Filtro y formulario muestran cambios coherentes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Ambas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IE2.3.1 Persistencia</w:t>
            </w:r>
          </w:p>
        </w:tc>
        <w:tc>
          <w:tcPr>
            <w:tcW w:type="dxa" w:w="8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18 %</w:t>
            </w:r>
          </w:p>
        </w:tc>
        <w:tc>
          <w:tcPr>
            <w:tcW w:type="dxa" w:w="432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Modificar guardado/consulta/actualización</w:t>
            </w:r>
          </w:p>
        </w:tc>
        <w:tc>
          <w:tcPr>
            <w:tcW w:type="dxa" w:w="360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Datos recuperados tras reinicio y cambio en vivo</w:t>
            </w:r>
          </w:p>
        </w:tc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Michel coordina; ambas implementan y revisan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IE2.3.2 Arquitectura y colaboración</w:t>
            </w:r>
          </w:p>
        </w:tc>
        <w:tc>
          <w:tcPr>
            <w:tcW w:type="dxa" w:w="8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7 %</w:t>
            </w:r>
          </w:p>
        </w:tc>
        <w:tc>
          <w:tcPr>
            <w:tcW w:type="dxa" w:w="43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Justificar MVVM, repositorios e historial real de trabajo</w:t>
            </w:r>
          </w:p>
        </w:tc>
        <w:tc>
          <w:tcPr>
            <w:tcW w:type="dxa" w:w="36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Paquetes claros, commits y revisiones verificables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Ambas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IE2.4.1 Recursos y permisos</w:t>
            </w:r>
          </w:p>
        </w:tc>
        <w:tc>
          <w:tcPr>
            <w:tcW w:type="dxa" w:w="8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7 %</w:t>
            </w:r>
          </w:p>
        </w:tc>
        <w:tc>
          <w:tcPr>
            <w:tcW w:type="dxa" w:w="432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Explicar integración y permisos de cámara/notificaciones</w:t>
            </w:r>
          </w:p>
        </w:tc>
        <w:tc>
          <w:tcPr>
            <w:tcW w:type="dxa" w:w="360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Uso, cancelación/denegación y recuperación</w:t>
            </w:r>
          </w:p>
        </w:tc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Cámara: Michel; notificaciones: Francisca; revisión cruzada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IE2.4.2 Resultado nativo</w:t>
            </w:r>
          </w:p>
        </w:tc>
        <w:tc>
          <w:tcPr>
            <w:tcW w:type="dxa" w:w="8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12 %</w:t>
            </w:r>
          </w:p>
        </w:tc>
        <w:tc>
          <w:tcPr>
            <w:tcW w:type="dxa" w:w="43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Ejecutar recurso y ajustar presentación/lógica</w:t>
            </w:r>
          </w:p>
        </w:tc>
        <w:tc>
          <w:tcPr>
            <w:tcW w:type="dxa" w:w="36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Imagen renderizada y notificación visible; ajuste en vivo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Ambas</w:t>
            </w:r>
          </w:p>
        </w:tc>
      </w:tr>
    </w:tbl>
    <w:p>
      <w:pPr>
        <w:spacing w:after="0"/>
      </w:pPr>
    </w:p>
    <w:p>
      <w:pPr>
        <w:pStyle w:val="Heading1"/>
      </w:pPr>
      <w:r>
        <w:t>Protocolo GitHub</w:t>
      </w:r>
    </w:p>
    <w:p>
      <w:r>
        <w:rPr>
          <w:b w:val="0"/>
        </w:rPr>
        <w:t>1. Antes de empezar, actualizar main y crear una rama específica: feature/perfil, feature/catalogo, feature/room-perfil, feature/favoritos, feature/camara o feature/notificaciones.</w:t>
      </w:r>
    </w:p>
    <w:p>
      <w:r>
        <w:rPr>
          <w:b w:val="0"/>
        </w:rPr>
        <w:t>2. Hacer commits pequeños explicando el cambio. No subir local.properties, .idea/, .gradle/, build/, claves, credenciales ni datos personales reales.</w:t>
      </w:r>
    </w:p>
    <w:p>
      <w:r>
        <w:rPr>
          <w:b w:val="0"/>
        </w:rPr>
        <w:t>3. Abrir un pull request: objetivo, requisito cubierto, archivos compartidos modificados, pruebas y captura si aplica.</w:t>
      </w:r>
    </w:p>
    <w:p>
      <w:r>
        <w:rPr>
          <w:b w:val="0"/>
        </w:rPr>
        <w:t>4. La otra integrante revisa y ejecuta el recorrido afectado. Corregir observaciones antes de integrar.</w:t>
      </w:r>
    </w:p>
    <w:p>
      <w:r>
        <w:rPr>
          <w:b w:val="0"/>
        </w:rPr>
        <w:t>5. Evitar trabajar simultáneamente sobre configuración Gradle, AppDatabase y navegación sin coordinar.</w:t>
      </w:r>
    </w:p>
    <w:p>
      <w:r>
        <w:rPr>
          <w:b w:val="0"/>
        </w:rPr>
        <w:t>6. Después de integrar, ambas actualizan su copia y comprueban ejecución. No atribuir a una compañera commits o revisiones que no realizó.</w:t>
      </w:r>
    </w:p>
    <w:p>
      <w:pPr>
        <w:pStyle w:val="Heading2"/>
      </w:pPr>
      <w:r>
        <w:t>Cuándo una tarea está terminada</w:t>
      </w:r>
    </w:p>
    <w:p>
      <w:r>
        <w:rPr>
          <w:b w:val="0"/>
        </w:rPr>
        <w:t>☐ Cumple el criterio y la fuente correspondiente.</w:t>
      </w:r>
    </w:p>
    <w:p>
      <w:r>
        <w:rPr>
          <w:b w:val="0"/>
        </w:rPr>
        <w:t>☐ Compila y se ejecuta en el entorno acordado.</w:t>
      </w:r>
    </w:p>
    <w:p>
      <w:r>
        <w:rPr>
          <w:b w:val="0"/>
        </w:rPr>
        <w:t>☐ Se probó el caso correcto y al menos un error/cancelación relevante.</w:t>
      </w:r>
    </w:p>
    <w:p>
      <w:r>
        <w:rPr>
          <w:b w:val="0"/>
        </w:rPr>
        <w:t>☐ Se revisó por la compañera.</w:t>
      </w:r>
    </w:p>
    <w:p>
      <w:r>
        <w:rPr>
          <w:b w:val="0"/>
        </w:rPr>
        <w:t>☐ Hay enlace a commit/PR y evidencia real.</w:t>
      </w:r>
    </w:p>
    <w:p>
      <w:r>
        <w:rPr>
          <w:b w:val="0"/>
        </w:rPr>
        <w:t>☐ Ambas pueden explicar el cambio y ubicar su código.</w:t>
      </w:r>
    </w:p>
    <w:p>
      <w:pPr>
        <w:pStyle w:val="Heading1"/>
        <w:pageBreakBefore/>
      </w:pPr>
      <w:r>
        <w:t>Seguimiento diario editable</w:t>
      </w:r>
    </w:p>
    <w:p>
      <w:r>
        <w:rPr>
          <w:b w:val="0"/>
        </w:rPr>
        <w:t xml:space="preserve">Estados: </w:t>
      </w:r>
      <w:r>
        <w:rPr>
          <w:b/>
        </w:rPr>
        <w:t>Pendiente  a  En curso  a  En revisión  a  Hecho</w:t>
      </w:r>
      <w:r>
        <w:rPr>
          <w:b w:val="0"/>
        </w:rPr>
        <w:t xml:space="preserve">. Usar </w:t>
      </w:r>
      <w:r>
        <w:rPr>
          <w:b/>
        </w:rPr>
        <w:t>Bloqueado</w:t>
      </w:r>
      <w:r>
        <w:rPr>
          <w:b w:val="0"/>
        </w:rPr>
        <w:t xml:space="preserve"> con motivo, responsable de resolver y siguiente paso. No marcar Hecho por haber escrito código.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2160"/>
        <w:gridCol w:w="2160"/>
        <w:gridCol w:w="4608"/>
        <w:gridCol w:w="4464"/>
      </w:tblGrid>
      <w:tr>
        <w:trPr>
          <w:tblHeader/>
          <w:cantSplit/>
        </w:trPr>
        <w:tc>
          <w:tcPr>
            <w:tcW w:type="dxa" w:w="1440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160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Estado Michel</w:t>
            </w:r>
          </w:p>
        </w:tc>
        <w:tc>
          <w:tcPr>
            <w:tcW w:type="dxa" w:w="2160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Estado Francisca</w:t>
            </w:r>
          </w:p>
        </w:tc>
        <w:tc>
          <w:tcPr>
            <w:tcW w:type="dxa" w:w="4608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Commit/PR y evidencia</w:t>
            </w:r>
          </w:p>
        </w:tc>
        <w:tc>
          <w:tcPr>
            <w:tcW w:type="dxa" w:w="4464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Bloqueo / siguiente paso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16 oct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Compartir base y confirmar fuentes/plazos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17 oct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18 oct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19 oct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20 oct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21 oct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22 oct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23 oct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24 oct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25 oct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26 oct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27 oct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28 oct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29 oct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30 oct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31 oct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Pendiente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Confirmar entrega/defensa</w:t>
            </w:r>
          </w:p>
        </w:tc>
      </w:tr>
    </w:tbl>
    <w:p>
      <w:pPr>
        <w:spacing w:after="0"/>
      </w:pPr>
    </w:p>
    <w:p>
      <w:pPr>
        <w:pStyle w:val="Heading1"/>
      </w:pPr>
      <w:r>
        <w:t>Ensayo de defensa de 15 minutos</w:t>
      </w:r>
    </w:p>
    <w:p>
      <w:r>
        <w:rPr>
          <w:b w:val="0"/>
        </w:rPr>
        <w:t>Distribución propuesta para practicar; respetar las instrucciones del docente durante la evaluación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11664"/>
      </w:tblGrid>
      <w:tr>
        <w:trPr>
          <w:tblHeader/>
          <w:cantSplit/>
        </w:trPr>
        <w:tc>
          <w:tcPr>
            <w:tcW w:type="dxa" w:w="3168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11664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0–1 min</w:t>
            </w:r>
          </w:p>
        </w:tc>
        <w:tc>
          <w:tcPr>
            <w:tcW w:type="dxa" w:w="116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Abrir/ejecutar app y explicar entorno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1–3 min</w:t>
            </w:r>
          </w:p>
        </w:tc>
        <w:tc>
          <w:tcPr>
            <w:tcW w:type="dxa" w:w="116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Arquitectura, responsabilidades y colaboración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3–5 min</w:t>
            </w:r>
          </w:p>
        </w:tc>
        <w:tc>
          <w:tcPr>
            <w:tcW w:type="dxa" w:w="116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Diseño, navegación y formularios con errores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5–7 min</w:t>
            </w:r>
          </w:p>
        </w:tc>
        <w:tc>
          <w:tcPr>
            <w:tcW w:type="dxa" w:w="116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StateFlow, lógica y animaciones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7–9 min</w:t>
            </w:r>
          </w:p>
        </w:tc>
        <w:tc>
          <w:tcPr>
            <w:tcW w:type="dxa" w:w="116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Persistencia y recuperación de datos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9–11 min</w:t>
            </w:r>
          </w:p>
        </w:tc>
        <w:tc>
          <w:tcPr>
            <w:tcW w:type="dxa" w:w="116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Cámara, notificaciones y permisos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11–15 min</w:t>
            </w:r>
          </w:p>
        </w:tc>
        <w:tc>
          <w:tcPr>
            <w:tcW w:type="dxa" w:w="116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Modificación solicitada y explicación; ajustar tiempos según docente</w:t>
            </w:r>
          </w:p>
        </w:tc>
      </w:tr>
    </w:tbl>
    <w:p>
      <w:pPr>
        <w:spacing w:after="0"/>
      </w:pPr>
    </w:p>
    <w:p>
      <w:r>
        <w:rPr>
          <w:b w:val="0"/>
        </w:rPr>
        <w:t>Practicar cambios variados: nueva validación, componente nuevo, modificación de consulta/actualización en Room y ajuste de imagen/notificación. No memorizar solo un guion ni dividir el conocimiento según la autoría.</w:t>
      </w:r>
    </w:p>
    <w:p>
      <w:pPr>
        <w:pStyle w:val="Heading1"/>
        <w:pageBreakBefore/>
      </w:pPr>
      <w:r>
        <w:t>Material del curso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11664"/>
      </w:tblGrid>
      <w:tr>
        <w:trPr>
          <w:tblHeader/>
          <w:cantSplit/>
        </w:trPr>
        <w:tc>
          <w:tcPr>
            <w:tcW w:type="dxa" w:w="3168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11664"/>
            <w:vAlign w:val="center"/>
            <w:shd w:fill="203B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Fundamentos Kotlin</w:t>
            </w:r>
          </w:p>
        </w:tc>
        <w:tc>
          <w:tcPr>
            <w:tcW w:type="dxa" w:w="116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https://view.genially.com/6886a7aa667980b7804d7f0a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POO y errores</w:t>
            </w:r>
          </w:p>
        </w:tc>
        <w:tc>
          <w:tcPr>
            <w:tcW w:type="dxa" w:w="116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https://view.genially.com/6886a7a349ee7ab0aed34154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Corrutinas</w:t>
            </w:r>
          </w:p>
        </w:tc>
        <w:tc>
          <w:tcPr>
            <w:tcW w:type="dxa" w:w="116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https://view.genially.com/6886d3197923351a7564b1d5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Android Studio</w:t>
            </w:r>
          </w:p>
        </w:tc>
        <w:tc>
          <w:tcPr>
            <w:tcW w:type="dxa" w:w="116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https://view.genially.com/6886a79e49ee7ab0aed33b41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Arquitectura y colaboración</w:t>
            </w:r>
          </w:p>
        </w:tc>
        <w:tc>
          <w:tcPr>
            <w:tcW w:type="dxa" w:w="116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https://view.genially.com/687fc01adc659d971ee91bde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Componentes visuales</w:t>
            </w:r>
          </w:p>
        </w:tc>
        <w:tc>
          <w:tcPr>
            <w:tcW w:type="dxa" w:w="116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https://view.genially.com/687fd137b14a7dbe8ae83427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Diseño adaptable</w:t>
            </w:r>
          </w:p>
        </w:tc>
        <w:tc>
          <w:tcPr>
            <w:tcW w:type="dxa" w:w="116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https://view.genially.com/687fd13b07156720c171295e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Navegación</w:t>
            </w:r>
          </w:p>
        </w:tc>
        <w:tc>
          <w:tcPr>
            <w:tcW w:type="dxa" w:w="116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https://view.genially.com/68815ed96681577bd8abddd4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Formularios I</w:t>
            </w:r>
          </w:p>
        </w:tc>
        <w:tc>
          <w:tcPr>
            <w:tcW w:type="dxa" w:w="116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https://view.genially.com/68815ecb6681577bd8abd54d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Formularios II</w:t>
            </w:r>
          </w:p>
        </w:tc>
        <w:tc>
          <w:tcPr>
            <w:tcW w:type="dxa" w:w="116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https://view.genially.com/68815ef7b7c9b2b9245081cc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Estado y animaciones</w:t>
            </w:r>
          </w:p>
        </w:tc>
        <w:tc>
          <w:tcPr>
            <w:tcW w:type="dxa" w:w="116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https://view.genially.com/688234ee4e58d26a68356f94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Recursos nativos</w:t>
            </w:r>
          </w:p>
        </w:tc>
        <w:tc>
          <w:tcPr>
            <w:tcW w:type="dxa" w:w="116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https://view.genially.com/688234f1e54d3089a7fe7e8c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Persistencia</w:t>
            </w:r>
          </w:p>
        </w:tc>
        <w:tc>
          <w:tcPr>
            <w:tcW w:type="dxa" w:w="11664"/>
            <w:vAlign w:val="center"/>
            <w:shd w:fill="F2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https://view.genially.com/688234f4999f4af448ac3df2</w:t>
            </w:r>
          </w:p>
        </w:tc>
      </w:tr>
    </w:tbl>
    <w:p>
      <w:pPr>
        <w:spacing w:after="0"/>
      </w:pPr>
    </w:p>
    <w:p>
      <w:r>
        <w:rPr>
          <w:b w:val="0"/>
        </w:rPr>
        <w:t>Documentos a consultar por su nombre: Caso_Curricularizacion_DSY1105_Master_Martini.pdf, Evaluación Parcial 3_Estudiante_Presentación_DSY1105.pdf, Guía 7 y rúbrica EP2. Los PDF no se adjuntan a este repositorio con este cambio; ambas deben acceder a ellos por el campus/material compartido autorizado.</w:t>
      </w:r>
    </w:p>
    <w:sectPr w:rsidR="00FC693F" w:rsidRPr="0006063C" w:rsidSect="00034616">
      <w:footerReference w:type="default" r:id="rId9"/>
      <w:pgSz w:w="16848" w:h="11952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MMConecta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trabajo MMConecta</dc:title>
  <dc:subject/>
  <dc:creator>Michel y Francisca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