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595959"/>
          <w:sz w:val="19"/>
          <w:szCs w:val="19"/>
        </w:rPr>
        <w:t xml:space="preserve">Laboratorio 6 y 7 — Documento de trabajo</w:t>
      </w:r>
    </w:p>
    <w:p>
      <w:pPr>
        <w:spacing w:after="100"/>
      </w:pPr>
      <w:r>
        <w:rPr>
          <w:rFonts w:ascii="Helvetica Neue" w:cs="Helvetica Neue" w:eastAsia="Helvetica Neue" w:hAnsi="Helvetica Neue"/>
          <w:b/>
          <w:bCs/>
          <w:color w:val="1F4E79"/>
          <w:sz w:val="34"/>
          <w:szCs w:val="34"/>
        </w:rPr>
        <w:t xml:space="preserve">Propuestas de continuación: caracterización dinámica de la platina PI E-545 y módulo independiente de estabilización activa</w:t>
      </w:r>
    </w:p>
    <w:p>
      <w:pPr>
        <w:pBdr>
          <w:bottom w:val="single" w:color="BFBFBF" w:sz="6"/>
        </w:pBdr>
        <w:spacing w:after="160" w:before="60"/>
      </w:pPr>
      <w:r>
        <w:rPr>
          <w:sz w:val="2"/>
          <w:szCs w:val="2"/>
        </w:rPr>
        <w:t xml:space="preserve"/>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900"/>
        <w:gridCol w:w="7100"/>
      </w:tblGrid>
      <w:tr>
        <w:trPr>
          <w:tblHeader/>
        </w:trPr>
        <w:tc>
          <w:tcPr>
            <w:tcW w:type="dxa" w:w="19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Campo</w:t>
            </w:r>
          </w:p>
        </w:tc>
        <w:tc>
          <w:tcPr>
            <w:tcW w:type="dxa" w:w="71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Detalle</w:t>
            </w:r>
          </w:p>
        </w:tc>
      </w:tr>
      <w:tr>
        <w:tc>
          <w:tcPr>
            <w:tcW w:type="dxa" w:w="1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Proyecto</w:t>
            </w:r>
          </w:p>
        </w:tc>
        <w:tc>
          <w:tcPr>
            <w:tcW w:type="dxa" w:w="7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Implementación de una platina piezoeléctrica para corrección activa de deriva en p-MINFLUX</w:t>
            </w:r>
          </w:p>
        </w:tc>
      </w:tr>
      <w:tr>
        <w:tc>
          <w:tcPr>
            <w:tcW w:type="dxa" w:w="1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Alumnos</w:t>
            </w:r>
          </w:p>
        </w:tc>
        <w:tc>
          <w:tcPr>
            <w:tcW w:type="dxa" w:w="7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Francisco Aguirre Ramos — Felipe J. Cabrera Rosas</w:t>
            </w:r>
          </w:p>
        </w:tc>
      </w:tr>
      <w:tr>
        <w:tc>
          <w:tcPr>
            <w:tcW w:type="dxa" w:w="1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Dirección</w:t>
            </w:r>
          </w:p>
        </w:tc>
        <w:tc>
          <w:tcPr>
            <w:tcW w:type="dxa" w:w="7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Prof. Fernando D. Stefani (director) — Dr. Andrés Zelcer (codirector)</w:t>
            </w:r>
          </w:p>
        </w:tc>
      </w:tr>
      <w:tr>
        <w:tc>
          <w:tcPr>
            <w:tcW w:type="dxa" w:w="1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Estado previo</w:t>
            </w:r>
          </w:p>
        </w:tc>
        <w:tc>
          <w:tcPr>
            <w:tcW w:type="dxa" w:w="7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Caracterización estática del sensor qPOS completada (error de ganancia, offset, repetibilidad, piso de ruido) mediante interferómetro de Michelson como referencia óptica independiente</w:t>
            </w:r>
          </w:p>
        </w:tc>
      </w:tr>
      <w:tr>
        <w:tc>
          <w:tcPr>
            <w:tcW w:type="dxa" w:w="1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Objeto de este documento</w:t>
            </w:r>
          </w:p>
        </w:tc>
        <w:tc>
          <w:tcPr>
            <w:tcW w:type="dxa" w:w="7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Presentar y priorizar las líneas de trabajo posibles para la etapa siguiente, con su alcance, análisis asociado, resultados esperados y requerimientos materiales</w:t>
            </w:r>
          </w:p>
        </w:tc>
      </w:tr>
    </w:tbl>
    <w:p>
      <w:pPr>
        <w:pStyle w:val="Heading1"/>
        <w:spacing w:after="160" w:before="360"/>
      </w:pPr>
      <w:r>
        <w:rPr>
          <w:rFonts w:ascii="Helvetica Neue" w:cs="Helvetica Neue" w:eastAsia="Helvetica Neue" w:hAnsi="Helvetica Neue"/>
          <w:b/>
          <w:bCs/>
          <w:color w:val="1F4E79"/>
          <w:sz w:val="30"/>
          <w:szCs w:val="30"/>
        </w:rPr>
        <w:t xml:space="preserve">1. Contexto y restricción operativa</w:t>
      </w:r>
    </w:p>
    <w:p>
      <w:pPr>
        <w:spacing w:after="120" w:line="276"/>
        <w:jc w:val="both"/>
      </w:pPr>
      <w:r>
        <w:rPr>
          <w:rFonts w:ascii="Helvetica Neue" w:cs="Helvetica Neue" w:eastAsia="Helvetica Neue" w:hAnsi="Helvetica Neue"/>
          <w:i w:val="false"/>
          <w:iCs w:val="false"/>
          <w:color w:val="000000"/>
          <w:sz w:val="21"/>
          <w:szCs w:val="21"/>
        </w:rPr>
        <w:t xml:space="preserve">El plan de trabajo original contempla cuatro objetivos específicos: [1] capacitación en p-MINFLUX, [2] desarrollo de la rutina de control de la nueva platina en Python, [3] adaptación mecánica de la platina al setup, y [4] caracterización del desempeño de p-MINFLUX con la nueva platina.</w:t>
      </w:r>
    </w:p>
    <w:p>
      <w:pPr>
        <w:spacing w:after="120" w:line="276"/>
        <w:jc w:val="both"/>
      </w:pPr>
      <w:r>
        <w:rPr>
          <w:rFonts w:ascii="Helvetica Neue" w:cs="Helvetica Neue" w:eastAsia="Helvetica Neue" w:hAnsi="Helvetica Neue"/>
          <w:i w:val="false"/>
          <w:iCs w:val="false"/>
          <w:color w:val="000000"/>
          <w:sz w:val="21"/>
          <w:szCs w:val="21"/>
        </w:rPr>
        <w:t xml:space="preserve">El objetivo [3] se encuentra actualmente bloqueado: el sistema óptico de p-MINFLUX está en uso para investigación y no es posible intervenirlo mecánicamente. Las propuestas de este documento reordenan la secuencia de trabajo para avanzar sobre los objetivos [2] y [4] sin requerir acceso al instrumento compartido, de modo que la adaptación mecánica pueda ejecutarse más adelante sobre una platina ya caracterizada dinámicamente y con su software de control ya validado.</w:t>
      </w:r>
    </w:p>
    <w:p>
      <w:pPr>
        <w:spacing w:after="120" w:line="276"/>
        <w:jc w:val="both"/>
      </w:pPr>
      <w:r>
        <w:rPr>
          <w:rFonts w:ascii="Helvetica Neue" w:cs="Helvetica Neue" w:eastAsia="Helvetica Neue" w:hAnsi="Helvetica Neue"/>
          <w:b/>
          <w:bCs/>
          <w:i w:val="false"/>
          <w:iCs w:val="false"/>
          <w:color w:val="000000"/>
          <w:sz w:val="21"/>
          <w:szCs w:val="21"/>
        </w:rPr>
        <w:t xml:space="preserve">Criterio de selección. </w:t>
      </w:r>
      <w:r>
        <w:rPr>
          <w:rFonts w:ascii="Helvetica Neue" w:cs="Helvetica Neue" w:eastAsia="Helvetica Neue" w:hAnsi="Helvetica Neue"/>
          <w:b w:val="false"/>
          <w:bCs w:val="false"/>
          <w:i w:val="false"/>
          <w:iCs w:val="false"/>
          <w:color w:val="000000"/>
          <w:sz w:val="21"/>
          <w:szCs w:val="21"/>
        </w:rPr>
        <w:t xml:space="preserve">Las dos propuestas principales (secciones 2 y 3) se eligieron por ser ejecutables con equipamiento propio o de bajo costo, por producir resultados publicables o presentables de forma autónoma, y por generar insumos directos para el objetivo [3] cuando este se destrabe. Las actividades secundarias (sección 4) son aportes de software de menor riesgo, útiles como trabajo de relleno o paralelizable.</w:t>
      </w:r>
    </w:p>
    <w:p>
      <w:pPr>
        <w:pStyle w:val="Heading1"/>
        <w:spacing w:after="160" w:before="360"/>
      </w:pPr>
      <w:r>
        <w:rPr>
          <w:rFonts w:ascii="Helvetica Neue" w:cs="Helvetica Neue" w:eastAsia="Helvetica Neue" w:hAnsi="Helvetica Neue"/>
          <w:b/>
          <w:bCs/>
          <w:color w:val="1F4E79"/>
          <w:sz w:val="30"/>
          <w:szCs w:val="30"/>
        </w:rPr>
        <w:t xml:space="preserve">2. Propuesta principal A — Caracterización dinámica de la platina (velocidad y ancho de banda)</w:t>
      </w:r>
    </w:p>
    <w:p>
      <w:pPr>
        <w:pStyle w:val="Heading2"/>
        <w:spacing w:after="120" w:before="260"/>
      </w:pPr>
      <w:r>
        <w:rPr>
          <w:rFonts w:ascii="Helvetica Neue" w:cs="Helvetica Neue" w:eastAsia="Helvetica Neue" w:hAnsi="Helvetica Neue"/>
          <w:b/>
          <w:bCs/>
          <w:color w:val="1F4E79"/>
          <w:sz w:val="25"/>
          <w:szCs w:val="25"/>
        </w:rPr>
        <w:t xml:space="preserve">2.1 Idea</w:t>
      </w:r>
    </w:p>
    <w:p>
      <w:pPr>
        <w:spacing w:after="120" w:line="276"/>
        <w:jc w:val="both"/>
      </w:pPr>
      <w:r>
        <w:rPr>
          <w:rFonts w:ascii="Helvetica Neue" w:cs="Helvetica Neue" w:eastAsia="Helvetica Neue" w:hAnsi="Helvetica Neue"/>
          <w:i w:val="false"/>
          <w:iCs w:val="false"/>
          <w:color w:val="000000"/>
          <w:sz w:val="21"/>
          <w:szCs w:val="21"/>
        </w:rPr>
        <w:t xml:space="preserve">La caracterización realizada hasta ahora es estática: describe dónde queda la platina cuando se le ordena ir a una posición y se la deja establecer. No describe cuánto tarda en llegar ni hasta qué frecuencia puede seguir una consigna variable. Ese es exactamente el parámetro que determina si la E-545 puede sostener un lazo de estabilización activa: de nada sirve una resolución de 0,6 nm si el tiempo de establecimiento excede el período de corrección del lazo.</w:t>
      </w:r>
    </w:p>
    <w:p>
      <w:pPr>
        <w:spacing w:after="120" w:line="276"/>
        <w:jc w:val="both"/>
      </w:pPr>
      <w:r>
        <w:rPr>
          <w:rFonts w:ascii="Helvetica Neue" w:cs="Helvetica Neue" w:eastAsia="Helvetica Neue" w:hAnsi="Helvetica Neue"/>
          <w:i w:val="false"/>
          <w:iCs w:val="false"/>
          <w:color w:val="000000"/>
          <w:sz w:val="21"/>
          <w:szCs w:val="21"/>
        </w:rPr>
        <w:t xml:space="preserve">La propuesta es caracterizar la respuesta temporal y en frecuencia de la platina en lazo cerrado, usando el interferómetro de Michelson ya montado como referencia óptica independiente y trazable, del mismo modo que se hizo para la caracterización estática.</w:t>
      </w:r>
    </w:p>
    <w:p>
      <w:pPr>
        <w:pStyle w:val="Heading2"/>
        <w:spacing w:after="120" w:before="260"/>
      </w:pPr>
      <w:r>
        <w:rPr>
          <w:rFonts w:ascii="Helvetica Neue" w:cs="Helvetica Neue" w:eastAsia="Helvetica Neue" w:hAnsi="Helvetica Neue"/>
          <w:b/>
          <w:bCs/>
          <w:color w:val="1F4E79"/>
          <w:sz w:val="25"/>
          <w:szCs w:val="25"/>
        </w:rPr>
        <w:t xml:space="preserve">2.2 Idea del análisis</w:t>
      </w:r>
    </w:p>
    <w:p>
      <w:pPr>
        <w:spacing w:after="120" w:line="276"/>
        <w:jc w:val="left"/>
      </w:pPr>
      <w:r>
        <w:rPr>
          <w:rFonts w:ascii="Helvetica Neue" w:cs="Helvetica Neue" w:eastAsia="Helvetica Neue" w:hAnsi="Helvetica Neue"/>
          <w:i w:val="false"/>
          <w:iCs w:val="false"/>
          <w:color w:val="000000"/>
          <w:sz w:val="21"/>
          <w:szCs w:val="21"/>
        </w:rPr>
        <w:t xml:space="preserve">Se propone abordar tres mediciones complementarias:</w:t>
      </w:r>
    </w:p>
    <w:p>
      <w:pPr>
        <w:pStyle w:val="ListParagraph"/>
        <w:numPr>
          <w:ilvl w:val="0"/>
          <w:numId w:val="2"/>
        </w:numPr>
        <w:spacing w:after="70" w:line="264"/>
      </w:pPr>
      <w:r>
        <w:rPr>
          <w:rFonts w:ascii="Helvetica Neue" w:cs="Helvetica Neue" w:eastAsia="Helvetica Neue" w:hAnsi="Helvetica Neue"/>
          <w:b/>
          <w:bCs/>
          <w:i w:val="false"/>
          <w:iCs w:val="false"/>
          <w:color w:val="000000"/>
          <w:sz w:val="21"/>
          <w:szCs w:val="21"/>
        </w:rPr>
        <w:t xml:space="preserve">Respuesta al escalón. </w:t>
      </w:r>
      <w:r>
        <w:rPr>
          <w:rFonts w:ascii="Helvetica Neue" w:cs="Helvetica Neue" w:eastAsia="Helvetica Neue" w:hAnsi="Helvetica Neue"/>
          <w:b w:val="false"/>
          <w:bCs w:val="false"/>
          <w:i w:val="false"/>
          <w:iCs w:val="false"/>
          <w:color w:val="000000"/>
          <w:sz w:val="21"/>
          <w:szCs w:val="21"/>
        </w:rPr>
        <w:t xml:space="preserve">Se comanda un salto de amplitud conocida (p. ej. 100 nm, 500 nm, 2 µm) y se registra la posición óptica con alta tasa de muestreo. De la curva se extraen: tiempo de subida, sobrepico, tiempo de establecimiento dentro de una tolerancia definida (p. ej. ±1 nm), y presencia de oscilación residual.</w:t>
      </w:r>
    </w:p>
    <w:p>
      <w:pPr>
        <w:pStyle w:val="ListParagraph"/>
        <w:numPr>
          <w:ilvl w:val="0"/>
          <w:numId w:val="2"/>
        </w:numPr>
        <w:spacing w:after="70" w:line="264"/>
      </w:pPr>
      <w:r>
        <w:rPr>
          <w:rFonts w:ascii="Helvetica Neue" w:cs="Helvetica Neue" w:eastAsia="Helvetica Neue" w:hAnsi="Helvetica Neue"/>
          <w:b/>
          <w:bCs/>
          <w:i w:val="false"/>
          <w:iCs w:val="false"/>
          <w:color w:val="000000"/>
          <w:sz w:val="21"/>
          <w:szCs w:val="21"/>
        </w:rPr>
        <w:t xml:space="preserve">Respuesta en frecuencia (diagrama de Bode). </w:t>
      </w:r>
      <w:r>
        <w:rPr>
          <w:rFonts w:ascii="Helvetica Neue" w:cs="Helvetica Neue" w:eastAsia="Helvetica Neue" w:hAnsi="Helvetica Neue"/>
          <w:b w:val="false"/>
          <w:bCs w:val="false"/>
          <w:i w:val="false"/>
          <w:iCs w:val="false"/>
          <w:color w:val="000000"/>
          <w:sz w:val="21"/>
          <w:szCs w:val="21"/>
        </w:rPr>
        <w:t xml:space="preserve">Se excita la platina con una consigna sinusoidal de amplitud fija y frecuencia creciente, y se mide amplitud y fase de la respuesta óptica respecto de la consigna. De ahí se obtienen la frecuencia de corte a −3 dB y el margen de fase del lazo cerrado del controlador.</w:t>
      </w:r>
    </w:p>
    <w:p>
      <w:pPr>
        <w:pStyle w:val="ListParagraph"/>
        <w:numPr>
          <w:ilvl w:val="0"/>
          <w:numId w:val="2"/>
        </w:numPr>
        <w:spacing w:after="70" w:line="264"/>
      </w:pPr>
      <w:r>
        <w:rPr>
          <w:rFonts w:ascii="Helvetica Neue" w:cs="Helvetica Neue" w:eastAsia="Helvetica Neue" w:hAnsi="Helvetica Neue"/>
          <w:b/>
          <w:bCs/>
          <w:i w:val="false"/>
          <w:iCs w:val="false"/>
          <w:color w:val="000000"/>
          <w:sz w:val="21"/>
          <w:szCs w:val="21"/>
        </w:rPr>
        <w:t xml:space="preserve">Latencia de la cadena de control. </w:t>
      </w:r>
      <w:r>
        <w:rPr>
          <w:rFonts w:ascii="Helvetica Neue" w:cs="Helvetica Neue" w:eastAsia="Helvetica Neue" w:hAnsi="Helvetica Neue"/>
          <w:b w:val="false"/>
          <w:bCs w:val="false"/>
          <w:i w:val="false"/>
          <w:iCs w:val="false"/>
          <w:color w:val="000000"/>
          <w:sz w:val="21"/>
          <w:szCs w:val="21"/>
        </w:rPr>
        <w:t xml:space="preserve">Medición del tiempo total entre el envío del comando de movimiento y la disponibilidad de la lectura de posición, separando las contribuciones del bus de comunicación, del firmware del controlador y del establecimiento mecánico. Este número es el que fija la tasa máxima de corrección alcanzable en software.</w:t>
      </w:r>
    </w:p>
    <w:p>
      <w:pPr>
        <w:spacing w:after="90" w:line="276"/>
        <w:jc w:val="left"/>
      </w:pPr>
      <w:r>
        <w:rPr>
          <w:rFonts w:ascii="Helvetica Neue" w:cs="Helvetica Neue" w:eastAsia="Helvetica Neue" w:hAnsi="Helvetica Neue"/>
          <w:i w:val="false"/>
          <w:iCs w:val="false"/>
          <w:color w:val="000000"/>
          <w:sz w:val="21"/>
          <w:szCs w:val="21"/>
        </w:rPr>
        <w:t xml:space="preserve">Existen dos vías posibles para generar la excitación, no excluyentes: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3300"/>
        <w:gridCol w:w="3100"/>
      </w:tblGrid>
      <w:tr>
        <w:trPr>
          <w:tblHeader/>
        </w:trPr>
        <w:tc>
          <w:tcPr>
            <w:tcW w:type="dxa" w:w="26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Vía</w:t>
            </w:r>
          </w:p>
        </w:tc>
        <w:tc>
          <w:tcPr>
            <w:tcW w:type="dxa" w:w="33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Implementación</w:t>
            </w:r>
          </w:p>
        </w:tc>
        <w:tc>
          <w:tcPr>
            <w:tcW w:type="dxa" w:w="31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Observaciones</w:t>
            </w:r>
          </w:p>
        </w:tc>
      </w:tr>
      <w:tr>
        <w:tc>
          <w:tcPr>
            <w:tcW w:type="dxa" w:w="26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Interna (wave generator del controlador)</w:t>
            </w:r>
          </w:p>
        </w:tc>
        <w:tc>
          <w:tcPr>
            <w:tcW w:type="dxa" w:w="33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Se cargan tablas de onda por GCS (comandos WAV / WGO) y se registra con el Data Recorder interno del controlador.</w:t>
            </w:r>
          </w:p>
        </w:tc>
        <w:tc>
          <w:tcPr>
            <w:tcW w:type="dxa" w:w="3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Ya se dispone del código de referencia. Ventaja: sincronismo exacto entre consigna y registro. El procedimiento está documentado en el manual del E-517 (pp. 53–55). [VERIFICAR: disponibilidad de la funcionalidad en la unidad concreta y número máximo de puntos por tabla.]</w:t>
            </w:r>
          </w:p>
        </w:tc>
      </w:tr>
      <w:tr>
        <w:tc>
          <w:tcPr>
            <w:tcW w:type="dxa" w:w="26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Externa (generador de funciones)</w:t>
            </w:r>
          </w:p>
        </w:tc>
        <w:tc>
          <w:tcPr>
            <w:tcW w:type="dxa" w:w="33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Se inyecta una señal analógica de consigna en la entrada de control analógica del controlador y se barre la frecuencia desde el generador.</w:t>
            </w:r>
          </w:p>
        </w:tc>
        <w:tc>
          <w:tcPr>
            <w:tcW w:type="dxa" w:w="3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Permite llegar a frecuencias más altas y desacopla la medición del software. [VERIFICAR: si la unidad disponible tiene instalada la opción de entrada analógica y cuál es su rango de tensión.]</w:t>
            </w:r>
          </w:p>
        </w:tc>
      </w:tr>
    </w:tbl>
    <w:p>
      <w:pPr>
        <w:spacing w:after="120" w:line="276"/>
        <w:jc w:val="both"/>
      </w:pPr>
      <w:r>
        <w:rPr>
          <w:rFonts w:ascii="Helvetica Neue" w:cs="Helvetica Neue" w:eastAsia="Helvetica Neue" w:hAnsi="Helvetica Neue"/>
          <w:b/>
          <w:bCs/>
          <w:i w:val="false"/>
          <w:iCs w:val="false"/>
          <w:color w:val="000000"/>
          <w:sz w:val="21"/>
          <w:szCs w:val="21"/>
        </w:rPr>
        <w:t xml:space="preserve">Nota metodológica. </w:t>
      </w:r>
      <w:r>
        <w:rPr>
          <w:rFonts w:ascii="Helvetica Neue" w:cs="Helvetica Neue" w:eastAsia="Helvetica Neue" w:hAnsi="Helvetica Neue"/>
          <w:b w:val="false"/>
          <w:bCs w:val="false"/>
          <w:i w:val="false"/>
          <w:iCs w:val="false"/>
          <w:color w:val="000000"/>
          <w:sz w:val="21"/>
          <w:szCs w:val="21"/>
        </w:rPr>
        <w:t xml:space="preserve">El interferómetro entrega una señal sinusoidal en el desplazamiento, con período λ/2 ≈ 316 nm. Para mediciones dinámicas conviene trabajar en torno a un punto de cuadratura (pendiente máxima de la franja), donde la respuesta intensidad–desplazamiento es aproximadamente lineal, en lugar de contar franjas. Esto permite resolver amplitudes muy inferiores a una franja con buena relación señal-ruido, a costa de restringir la amplitud útil a unas decenas de nanómetros. </w:t>
      </w:r>
      <w:r>
        <w:rPr>
          <w:rFonts w:ascii="Helvetica Neue" w:cs="Helvetica Neue" w:eastAsia="Helvetica Neue" w:hAnsi="Helvetica Neue"/>
          <w:b w:val="false"/>
          <w:bCs w:val="false"/>
          <w:i/>
          <w:iCs/>
          <w:color w:val="000000"/>
          <w:sz w:val="21"/>
          <w:szCs w:val="21"/>
        </w:rPr>
        <w:t xml:space="preserve">[INFERENCIA: la linealización en cuadratura es estándar en interferometría homodina, pero su rango útil concreto y la deriva del punto de trabajo en nuestro montaje deben verificarse experimentalmente.]</w:t>
      </w:r>
    </w:p>
    <w:p>
      <w:pPr>
        <w:pStyle w:val="Heading2"/>
        <w:spacing w:after="120" w:before="260"/>
      </w:pPr>
      <w:r>
        <w:rPr>
          <w:rFonts w:ascii="Helvetica Neue" w:cs="Helvetica Neue" w:eastAsia="Helvetica Neue" w:hAnsi="Helvetica Neue"/>
          <w:b/>
          <w:bCs/>
          <w:color w:val="1F4E79"/>
          <w:sz w:val="25"/>
          <w:szCs w:val="25"/>
        </w:rPr>
        <w:t xml:space="preserve">2.3 Resultados esperados</w:t>
      </w:r>
    </w:p>
    <w:p>
      <w:pPr>
        <w:pStyle w:val="ListParagraph"/>
        <w:numPr>
          <w:ilvl w:val="0"/>
          <w:numId w:val="2"/>
        </w:numPr>
        <w:spacing w:after="70" w:line="264"/>
      </w:pPr>
      <w:r>
        <w:rPr>
          <w:rFonts w:ascii="Helvetica Neue" w:cs="Helvetica Neue" w:eastAsia="Helvetica Neue" w:hAnsi="Helvetica Neue"/>
          <w:sz w:val="21"/>
          <w:szCs w:val="21"/>
        </w:rPr>
        <w:t xml:space="preserve">Tiempo de establecimiento en función de la amplitud del salto, con tolerancia especificada. Resultado directamente comparable con el período de corrección del sistema de estabilización de referencia (~54–92 ms según el trabajo de Edorna et al.).</w:t>
      </w:r>
    </w:p>
    <w:p>
      <w:pPr>
        <w:pStyle w:val="ListParagraph"/>
        <w:numPr>
          <w:ilvl w:val="0"/>
          <w:numId w:val="2"/>
        </w:numPr>
        <w:spacing w:after="70" w:line="264"/>
      </w:pPr>
      <w:r>
        <w:rPr>
          <w:rFonts w:ascii="Helvetica Neue" w:cs="Helvetica Neue" w:eastAsia="Helvetica Neue" w:hAnsi="Helvetica Neue"/>
          <w:sz w:val="21"/>
          <w:szCs w:val="21"/>
        </w:rPr>
        <w:t xml:space="preserve">Frecuencia de corte a −3 dB del lazo cerrado y curva de fase, por eje.</w:t>
      </w:r>
    </w:p>
    <w:p>
      <w:pPr>
        <w:pStyle w:val="ListParagraph"/>
        <w:numPr>
          <w:ilvl w:val="0"/>
          <w:numId w:val="2"/>
        </w:numPr>
        <w:spacing w:after="70" w:line="264"/>
      </w:pPr>
      <w:r>
        <w:rPr>
          <w:rFonts w:ascii="Helvetica Neue" w:cs="Helvetica Neue" w:eastAsia="Helvetica Neue" w:hAnsi="Helvetica Neue"/>
          <w:sz w:val="21"/>
          <w:szCs w:val="21"/>
        </w:rPr>
        <w:t xml:space="preserve">Cuantificación del sobrepico y de la oscilación residual, que fija el límite práctico de la ganancia del controlador PI en un lazo de estabilización externo.</w:t>
      </w:r>
    </w:p>
    <w:p>
      <w:pPr>
        <w:pStyle w:val="ListParagraph"/>
        <w:numPr>
          <w:ilvl w:val="0"/>
          <w:numId w:val="2"/>
        </w:numPr>
        <w:spacing w:after="70" w:line="264"/>
      </w:pPr>
      <w:r>
        <w:rPr>
          <w:rFonts w:ascii="Helvetica Neue" w:cs="Helvetica Neue" w:eastAsia="Helvetica Neue" w:hAnsi="Helvetica Neue"/>
          <w:sz w:val="21"/>
          <w:szCs w:val="21"/>
        </w:rPr>
        <w:t xml:space="preserve">Presupuesto de latencia desagregado (comunicación / firmware / mecánica), con recomendación de tasa de corrección máxima sostenible.</w:t>
      </w:r>
    </w:p>
    <w:p>
      <w:pPr>
        <w:pStyle w:val="ListParagraph"/>
        <w:numPr>
          <w:ilvl w:val="0"/>
          <w:numId w:val="2"/>
        </w:numPr>
        <w:spacing w:after="70" w:line="264"/>
      </w:pPr>
      <w:r>
        <w:rPr>
          <w:rFonts w:ascii="Helvetica Neue" w:cs="Helvetica Neue" w:eastAsia="Helvetica Neue" w:hAnsi="Helvetica Neue"/>
          <w:sz w:val="21"/>
          <w:szCs w:val="21"/>
        </w:rPr>
        <w:t xml:space="preserve">Comparación entre ejes, en particular X e Y frente a Z, cuya masa efectiva y geometría difieren.</w:t>
      </w:r>
    </w:p>
    <w:p>
      <w:pPr>
        <w:spacing w:after="120" w:line="276"/>
        <w:jc w:val="both"/>
      </w:pPr>
      <w:r>
        <w:rPr>
          <w:rFonts w:ascii="Helvetica Neue" w:cs="Helvetica Neue" w:eastAsia="Helvetica Neue" w:hAnsi="Helvetica Neue"/>
          <w:b/>
          <w:bCs/>
          <w:i w:val="false"/>
          <w:iCs w:val="false"/>
          <w:color w:val="000000"/>
          <w:sz w:val="21"/>
          <w:szCs w:val="21"/>
        </w:rPr>
        <w:t xml:space="preserve">Valor para el proyecto: </w:t>
      </w:r>
      <w:r>
        <w:rPr>
          <w:rFonts w:ascii="Helvetica Neue" w:cs="Helvetica Neue" w:eastAsia="Helvetica Neue" w:hAnsi="Helvetica Neue"/>
          <w:b w:val="false"/>
          <w:bCs w:val="false"/>
          <w:i w:val="false"/>
          <w:iCs w:val="false"/>
          <w:color w:val="000000"/>
          <w:sz w:val="21"/>
          <w:szCs w:val="21"/>
        </w:rPr>
        <w:t xml:space="preserve">estos números son el criterio objetivo para decidir si la E-545 mejora efectivamente sobre la platina actual en el contexto de estabilización, y son un requisito previo para dimensionar las ganancias del controlador antes de tocar el setup de p-MINFLUX.</w:t>
      </w:r>
    </w:p>
    <w:p>
      <w:pPr>
        <w:pStyle w:val="Heading2"/>
        <w:spacing w:after="120" w:before="260"/>
      </w:pPr>
      <w:r>
        <w:rPr>
          <w:rFonts w:ascii="Helvetica Neue" w:cs="Helvetica Neue" w:eastAsia="Helvetica Neue" w:hAnsi="Helvetica Neue"/>
          <w:b/>
          <w:bCs/>
          <w:color w:val="1F4E79"/>
          <w:sz w:val="25"/>
          <w:szCs w:val="25"/>
        </w:rPr>
        <w:t xml:space="preserve">2.4 Materiales necesarios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3300"/>
        <w:gridCol w:w="3100"/>
      </w:tblGrid>
      <w:tr>
        <w:trPr>
          <w:tblHeader/>
        </w:trPr>
        <w:tc>
          <w:tcPr>
            <w:tcW w:type="dxa" w:w="26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Elemento</w:t>
            </w:r>
          </w:p>
        </w:tc>
        <w:tc>
          <w:tcPr>
            <w:tcW w:type="dxa" w:w="33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Estado</w:t>
            </w:r>
          </w:p>
        </w:tc>
        <w:tc>
          <w:tcPr>
            <w:tcW w:type="dxa" w:w="31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Comentario</w:t>
            </w:r>
          </w:p>
        </w:tc>
      </w:tr>
      <w:tr>
        <w:tc>
          <w:tcPr>
            <w:tcW w:type="dxa" w:w="26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Platina PI E-545 + controlador</w:t>
            </w:r>
          </w:p>
        </w:tc>
        <w:tc>
          <w:tcPr>
            <w:tcW w:type="dxa" w:w="33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Disponible</w:t>
            </w:r>
          </w:p>
        </w:tc>
        <w:tc>
          <w:tcPr>
            <w:tcW w:type="dxa" w:w="3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Ya en uso en la caracterización estática.</w:t>
            </w:r>
          </w:p>
        </w:tc>
      </w:tr>
      <w:tr>
        <w:tc>
          <w:tcPr>
            <w:tcW w:type="dxa" w:w="26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Interferómetro de Michelson (láser He-Ne, λ = 632,8 nm)</w:t>
            </w:r>
          </w:p>
        </w:tc>
        <w:tc>
          <w:tcPr>
            <w:tcW w:type="dxa" w:w="33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Disponible</w:t>
            </w:r>
          </w:p>
        </w:tc>
        <w:tc>
          <w:tcPr>
            <w:tcW w:type="dxa" w:w="3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Montaje ya validado como referencia independiente.</w:t>
            </w:r>
          </w:p>
        </w:tc>
      </w:tr>
      <w:tr>
        <w:tc>
          <w:tcPr>
            <w:tcW w:type="dxa" w:w="26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Generador de funciones</w:t>
            </w:r>
          </w:p>
        </w:tc>
        <w:tc>
          <w:tcPr>
            <w:tcW w:type="dxa" w:w="33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A conseguir / prestado</w:t>
            </w:r>
          </w:p>
        </w:tc>
        <w:tc>
          <w:tcPr>
            <w:tcW w:type="dxa" w:w="3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Requerido para la vía de excitación externa. Especificación mínima sugerida: salida sinusoidal 0,01 Hz – 1 MHz, amplitud ajustable con offset DC, control de barrido. [VERIFICAR compatibilidad de rango de tensión con la entrada analógica del controlador antes de conectar.]</w:t>
            </w:r>
          </w:p>
        </w:tc>
      </w:tr>
      <w:tr>
        <w:tc>
          <w:tcPr>
            <w:tcW w:type="dxa" w:w="26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Adquisición rápida de la señal del fotodetector</w:t>
            </w:r>
          </w:p>
        </w:tc>
        <w:tc>
          <w:tcPr>
            <w:tcW w:type="dxa" w:w="33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A definir</w:t>
            </w:r>
          </w:p>
        </w:tc>
        <w:tc>
          <w:tcPr>
            <w:tcW w:type="dxa" w:w="3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El DAQ actualmente utilizado no tiene ancho de banda suficiente para medir respuesta al escalón en la escala de milisegundos. Se requiere osciloscopio digital con memoria (o un DAQ de mayor tasa). [VERIFICAR disponibilidad en el laboratorio.]</w:t>
            </w:r>
          </w:p>
        </w:tc>
      </w:tr>
      <w:tr>
        <w:tc>
          <w:tcPr>
            <w:tcW w:type="dxa" w:w="26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Fotodetector del interferómetro</w:t>
            </w:r>
          </w:p>
        </w:tc>
        <w:tc>
          <w:tcPr>
            <w:tcW w:type="dxa" w:w="33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Disponible</w:t>
            </w:r>
          </w:p>
        </w:tc>
        <w:tc>
          <w:tcPr>
            <w:tcW w:type="dxa" w:w="3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Verificar que su ancho de banda no sea el factor limitante de la medición.</w:t>
            </w:r>
          </w:p>
        </w:tc>
      </w:tr>
      <w:tr>
        <w:tc>
          <w:tcPr>
            <w:tcW w:type="dxa" w:w="26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Aislación mecánica</w:t>
            </w:r>
          </w:p>
        </w:tc>
        <w:tc>
          <w:tcPr>
            <w:tcW w:type="dxa" w:w="33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Disponible</w:t>
            </w:r>
          </w:p>
        </w:tc>
        <w:tc>
          <w:tcPr>
            <w:tcW w:type="dxa" w:w="3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Mesa óptica. Relevante porque las mediciones dinámicas son sensibles a vibración ambiente.</w:t>
            </w:r>
          </w:p>
        </w:tc>
      </w:tr>
    </w:tbl>
    <w:p>
      <w:pPr>
        <w:pStyle w:val="Heading1"/>
        <w:spacing w:after="160" w:before="360"/>
      </w:pPr>
      <w:r>
        <w:rPr>
          <w:rFonts w:ascii="Helvetica Neue" w:cs="Helvetica Neue" w:eastAsia="Helvetica Neue" w:hAnsi="Helvetica Neue"/>
          <w:b/>
          <w:bCs/>
          <w:color w:val="1F4E79"/>
          <w:sz w:val="30"/>
          <w:szCs w:val="30"/>
        </w:rPr>
        <w:t xml:space="preserve">3. Propuesta principal B — Módulo independiente de estabilización activa</w:t>
      </w:r>
    </w:p>
    <w:p>
      <w:pPr>
        <w:pStyle w:val="Heading2"/>
        <w:spacing w:after="120" w:before="260"/>
      </w:pPr>
      <w:r>
        <w:rPr>
          <w:rFonts w:ascii="Helvetica Neue" w:cs="Helvetica Neue" w:eastAsia="Helvetica Neue" w:hAnsi="Helvetica Neue"/>
          <w:b/>
          <w:bCs/>
          <w:color w:val="1F4E79"/>
          <w:sz w:val="25"/>
          <w:szCs w:val="25"/>
        </w:rPr>
        <w:t xml:space="preserve">3.1 Idea</w:t>
      </w:r>
    </w:p>
    <w:p>
      <w:pPr>
        <w:spacing w:after="120" w:line="276"/>
        <w:jc w:val="both"/>
      </w:pPr>
      <w:r>
        <w:rPr>
          <w:rFonts w:ascii="Helvetica Neue" w:cs="Helvetica Neue" w:eastAsia="Helvetica Neue" w:hAnsi="Helvetica Neue"/>
          <w:i w:val="false"/>
          <w:iCs w:val="false"/>
          <w:color w:val="000000"/>
          <w:sz w:val="21"/>
          <w:szCs w:val="21"/>
        </w:rPr>
        <w:t xml:space="preserve">Montar, en banco óptico propio y de forma independiente del instrumento de p-MINFLUX, un módulo de estabilización activa con la arquitectura descrita por Edorna et al. (Light Sci. Appl. 14, 385, 2025), controlado por la biblioteca takyaq desarrollada por el codirector. El objetivo es demostrar el desempeño de estabilización alcanzable con la E-545 sin intervenir el setup compartido.</w:t>
      </w:r>
    </w:p>
    <w:p>
      <w:pPr>
        <w:spacing w:after="120" w:line="276"/>
        <w:jc w:val="both"/>
      </w:pPr>
      <w:r>
        <w:rPr>
          <w:rFonts w:ascii="Helvetica Neue" w:cs="Helvetica Neue" w:eastAsia="Helvetica Neue" w:hAnsi="Helvetica Neue"/>
          <w:i w:val="false"/>
          <w:iCs w:val="false"/>
          <w:color w:val="000000"/>
          <w:sz w:val="21"/>
          <w:szCs w:val="21"/>
        </w:rPr>
        <w:t xml:space="preserve">La arquitectura es la siguiente: un haz de infrarrojo cercano se divide en dos caminos. Uno ilumina en campo ancho un conjunto de marcadores fiduciales (nanopartículas de oro) cuya posición lateral se determina por ajuste gaussiano bidimensional, dando la deriva en X e Y. El otro se enfoca fuera del eje óptico, de modo que incide inclinado sobre la interfaz de la muestra; una deriva axial Δz desplaza lateralmente el haz reflejado en Δr = 2·Δz·tan θ, y el centro de masa de esa reflexión da la deriva en Z. Ambas señales se detectan en la misma cámara y realimentan la platina mediante un controlador PI.</w:t>
      </w:r>
    </w:p>
    <w:p>
      <w:pPr>
        <w:spacing w:after="120" w:line="276"/>
        <w:jc w:val="both"/>
      </w:pPr>
      <w:r>
        <w:rPr>
          <w:rFonts w:ascii="Helvetica Neue" w:cs="Helvetica Neue" w:eastAsia="Helvetica Neue" w:hAnsi="Helvetica Neue"/>
          <w:b/>
          <w:bCs/>
          <w:i w:val="false"/>
          <w:iCs w:val="false"/>
          <w:color w:val="000000"/>
          <w:sz w:val="21"/>
          <w:szCs w:val="21"/>
        </w:rPr>
        <w:t xml:space="preserve">Observación de alcance. </w:t>
      </w:r>
      <w:r>
        <w:rPr>
          <w:rFonts w:ascii="Helvetica Neue" w:cs="Helvetica Neue" w:eastAsia="Helvetica Neue" w:hAnsi="Helvetica Neue"/>
          <w:b w:val="false"/>
          <w:bCs w:val="false"/>
          <w:i w:val="false"/>
          <w:iCs w:val="false"/>
          <w:color w:val="000000"/>
          <w:sz w:val="21"/>
          <w:szCs w:val="21"/>
        </w:rPr>
        <w:t xml:space="preserve">El montaje completo tridimensional es un proyecto de instrumentación no trivial. Se propone discutir con la dirección si conviene apuntar a una versión reducida (estabilización lateral únicamente, o estabilización sobre un solo eje como prueba de concepto) compatible con el calendario del cuatrimestre, con la posibilidad de escalar después.</w:t>
      </w:r>
    </w:p>
    <w:p>
      <w:pPr>
        <w:pStyle w:val="Heading2"/>
        <w:spacing w:after="120" w:before="260"/>
      </w:pPr>
      <w:r>
        <w:rPr>
          <w:rFonts w:ascii="Helvetica Neue" w:cs="Helvetica Neue" w:eastAsia="Helvetica Neue" w:hAnsi="Helvetica Neue"/>
          <w:b/>
          <w:bCs/>
          <w:color w:val="1F4E79"/>
          <w:sz w:val="25"/>
          <w:szCs w:val="25"/>
        </w:rPr>
        <w:t xml:space="preserve">3.2 Idea del análisis</w:t>
      </w:r>
    </w:p>
    <w:p>
      <w:pPr>
        <w:pStyle w:val="ListParagraph"/>
        <w:numPr>
          <w:ilvl w:val="0"/>
          <w:numId w:val="2"/>
        </w:numPr>
        <w:spacing w:after="70" w:line="264"/>
      </w:pPr>
      <w:r>
        <w:rPr>
          <w:rFonts w:ascii="Helvetica Neue" w:cs="Helvetica Neue" w:eastAsia="Helvetica Neue" w:hAnsi="Helvetica Neue"/>
          <w:sz w:val="21"/>
          <w:szCs w:val="21"/>
        </w:rPr>
        <w:t xml:space="preserve">Calibración del sistema: determinación del factor nanómetros por píxel para los ejes laterales, y del par (ángulo acimutal, sensibilidad) para el canal axial, usando el desplazamiento comandado de la platina como referencia.</w:t>
      </w:r>
    </w:p>
    <w:p>
      <w:pPr>
        <w:pStyle w:val="ListParagraph"/>
        <w:numPr>
          <w:ilvl w:val="0"/>
          <w:numId w:val="2"/>
        </w:numPr>
        <w:spacing w:after="70" w:line="264"/>
      </w:pPr>
      <w:r>
        <w:rPr>
          <w:rFonts w:ascii="Helvetica Neue" w:cs="Helvetica Neue" w:eastAsia="Helvetica Neue" w:hAnsi="Helvetica Neue"/>
          <w:sz w:val="21"/>
          <w:szCs w:val="21"/>
        </w:rPr>
        <w:t xml:space="preserve">Caracterización de la deriva sin estabilización: registro de posición en las tres direcciones durante decenas de minutos, para cuantificar la magnitud y la velocidad de deriva del banco.</w:t>
      </w:r>
    </w:p>
    <w:p>
      <w:pPr>
        <w:pStyle w:val="ListParagraph"/>
        <w:numPr>
          <w:ilvl w:val="0"/>
          <w:numId w:val="2"/>
        </w:numPr>
        <w:spacing w:after="70" w:line="264"/>
      </w:pPr>
      <w:r>
        <w:rPr>
          <w:rFonts w:ascii="Helvetica Neue" w:cs="Helvetica Neue" w:eastAsia="Helvetica Neue" w:hAnsi="Helvetica Neue"/>
          <w:sz w:val="21"/>
          <w:szCs w:val="21"/>
        </w:rPr>
        <w:t xml:space="preserve">Desempeño con el lazo cerrado: registro prolongado (objetivo, &gt; 1 hora) de la posición estabilizada, y determinación de la desviación estándar residual por eje mediante ajuste gaussiano de los histogramas de desplazamiento.</w:t>
      </w:r>
    </w:p>
    <w:p>
      <w:pPr>
        <w:pStyle w:val="ListParagraph"/>
        <w:numPr>
          <w:ilvl w:val="0"/>
          <w:numId w:val="2"/>
        </w:numPr>
        <w:spacing w:after="70" w:line="264"/>
      </w:pPr>
      <w:r>
        <w:rPr>
          <w:rFonts w:ascii="Helvetica Neue" w:cs="Helvetica Neue" w:eastAsia="Helvetica Neue" w:hAnsi="Helvetica Neue"/>
          <w:sz w:val="21"/>
          <w:szCs w:val="21"/>
        </w:rPr>
        <w:t xml:space="preserve">Sintonización del controlador PI: barrido de las ganancias proporcional e integral, identificando el compromiso entre rechazo de deriva y amplificación de ruido. Los resultados de la Propuesta A entran aquí como restricción de diseño.</w:t>
      </w:r>
    </w:p>
    <w:p>
      <w:pPr>
        <w:pStyle w:val="ListParagraph"/>
        <w:numPr>
          <w:ilvl w:val="0"/>
          <w:numId w:val="2"/>
        </w:numPr>
        <w:spacing w:after="70" w:line="264"/>
      </w:pPr>
      <w:r>
        <w:rPr>
          <w:rFonts w:ascii="Helvetica Neue" w:cs="Helvetica Neue" w:eastAsia="Helvetica Neue" w:hAnsi="Helvetica Neue"/>
          <w:sz w:val="21"/>
          <w:szCs w:val="21"/>
        </w:rPr>
        <w:t xml:space="preserve">Análisis de varianza de Allan sobre las trayectorias estabilizadas y no estabilizadas, para identificar en qué escalas temporales el lazo efectivamente mejora la estabilidad y a partir de cuál deja de hacerlo.</w:t>
      </w:r>
    </w:p>
    <w:p>
      <w:pPr>
        <w:pStyle w:val="Heading2"/>
        <w:spacing w:after="120" w:before="260"/>
      </w:pPr>
      <w:r>
        <w:rPr>
          <w:rFonts w:ascii="Helvetica Neue" w:cs="Helvetica Neue" w:eastAsia="Helvetica Neue" w:hAnsi="Helvetica Neue"/>
          <w:b/>
          <w:bCs/>
          <w:color w:val="1F4E79"/>
          <w:sz w:val="25"/>
          <w:szCs w:val="25"/>
        </w:rPr>
        <w:t xml:space="preserve">3.3 Resultados esperados</w:t>
      </w:r>
    </w:p>
    <w:p>
      <w:pPr>
        <w:pStyle w:val="ListParagraph"/>
        <w:numPr>
          <w:ilvl w:val="0"/>
          <w:numId w:val="2"/>
        </w:numPr>
        <w:spacing w:after="70" w:line="264"/>
      </w:pPr>
      <w:r>
        <w:rPr>
          <w:rFonts w:ascii="Helvetica Neue" w:cs="Helvetica Neue" w:eastAsia="Helvetica Neue" w:hAnsi="Helvetica Neue"/>
          <w:sz w:val="21"/>
          <w:szCs w:val="21"/>
        </w:rPr>
        <w:t xml:space="preserve">Precisión de estabilización σx, σy, σz alcanzada con la E-545, directamente comparable con los valores de referencia del trabajo de Edorna et al. (σ ≈ 0,76–0,84 nm con una platina de resolución 0,61 nm).</w:t>
      </w:r>
    </w:p>
    <w:p>
      <w:pPr>
        <w:pStyle w:val="ListParagraph"/>
        <w:numPr>
          <w:ilvl w:val="0"/>
          <w:numId w:val="2"/>
        </w:numPr>
        <w:spacing w:after="70" w:line="264"/>
      </w:pPr>
      <w:r>
        <w:rPr>
          <w:rFonts w:ascii="Helvetica Neue" w:cs="Helvetica Neue" w:eastAsia="Helvetica Neue" w:hAnsi="Helvetica Neue"/>
          <w:sz w:val="21"/>
          <w:szCs w:val="21"/>
        </w:rPr>
        <w:t xml:space="preserve">Determinación de si el factor limitante es la resolución de la platina, la precisión de localización óptica o la latencia del lazo. Esta es la pregunta central del proyecto y hasta ahora no está respondida.</w:t>
      </w:r>
    </w:p>
    <w:p>
      <w:pPr>
        <w:pStyle w:val="ListParagraph"/>
        <w:numPr>
          <w:ilvl w:val="0"/>
          <w:numId w:val="2"/>
        </w:numPr>
        <w:spacing w:after="70" w:line="264"/>
      </w:pPr>
      <w:r>
        <w:rPr>
          <w:rFonts w:ascii="Helvetica Neue" w:cs="Helvetica Neue" w:eastAsia="Helvetica Neue" w:hAnsi="Helvetica Neue"/>
          <w:sz w:val="21"/>
          <w:szCs w:val="21"/>
        </w:rPr>
        <w:t xml:space="preserve">Un conjunto de ganancias PI validadas experimentalmente, transferible al setup de p-MINFLUX cuando se autorice la intervención.</w:t>
      </w:r>
    </w:p>
    <w:p>
      <w:pPr>
        <w:pStyle w:val="ListParagraph"/>
        <w:numPr>
          <w:ilvl w:val="0"/>
          <w:numId w:val="2"/>
        </w:numPr>
        <w:spacing w:after="70" w:line="264"/>
      </w:pPr>
      <w:r>
        <w:rPr>
          <w:rFonts w:ascii="Helvetica Neue" w:cs="Helvetica Neue" w:eastAsia="Helvetica Neue" w:hAnsi="Helvetica Neue"/>
          <w:sz w:val="21"/>
          <w:szCs w:val="21"/>
        </w:rPr>
        <w:t xml:space="preserve">Un módulo funcional y documentado que puede acoplarse posteriormente al instrumento, reduciendo el tiempo de indisponibilidad del equipo compartido.</w:t>
      </w:r>
    </w:p>
    <w:p>
      <w:pPr>
        <w:pStyle w:val="Heading2"/>
        <w:spacing w:after="120" w:before="260"/>
      </w:pPr>
      <w:r>
        <w:rPr>
          <w:rFonts w:ascii="Helvetica Neue" w:cs="Helvetica Neue" w:eastAsia="Helvetica Neue" w:hAnsi="Helvetica Neue"/>
          <w:b/>
          <w:bCs/>
          <w:color w:val="1F4E79"/>
          <w:sz w:val="25"/>
          <w:szCs w:val="25"/>
        </w:rPr>
        <w:t xml:space="preserve">3.4 Materiales necesarios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3300"/>
        <w:gridCol w:w="3100"/>
      </w:tblGrid>
      <w:tr>
        <w:trPr>
          <w:tblHeader/>
        </w:trPr>
        <w:tc>
          <w:tcPr>
            <w:tcW w:type="dxa" w:w="26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Elemento</w:t>
            </w:r>
          </w:p>
        </w:tc>
        <w:tc>
          <w:tcPr>
            <w:tcW w:type="dxa" w:w="33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Función</w:t>
            </w:r>
          </w:p>
        </w:tc>
        <w:tc>
          <w:tcPr>
            <w:tcW w:type="dxa" w:w="31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Estado / comentario</w:t>
            </w:r>
          </w:p>
        </w:tc>
      </w:tr>
      <w:tr>
        <w:tc>
          <w:tcPr>
            <w:tcW w:type="dxa" w:w="26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Fuente láser de infrarrojo cercano (750–830 nm)</w:t>
            </w:r>
          </w:p>
        </w:tc>
        <w:tc>
          <w:tcPr>
            <w:tcW w:type="dxa" w:w="33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Iluminación de fiduciales y haz de referencia axial. Se elige NIR para no perturbar la fluorescencia en la aplicación final.</w:t>
            </w:r>
          </w:p>
        </w:tc>
        <w:tc>
          <w:tcPr>
            <w:tcW w:type="dxa" w:w="3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A conseguir. [VERIFICAR disponibilidad de un diodo NIR libre en el laboratorio.]</w:t>
            </w:r>
          </w:p>
        </w:tc>
      </w:tr>
      <w:tr>
        <w:tc>
          <w:tcPr>
            <w:tcW w:type="dxa" w:w="26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Cámara científica (obturador global)</w:t>
            </w:r>
          </w:p>
        </w:tc>
        <w:tc>
          <w:tcPr>
            <w:tcW w:type="dxa" w:w="33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Detección simultánea de fiduciales y reflexión axial.</w:t>
            </w:r>
          </w:p>
        </w:tc>
        <w:tc>
          <w:tcPr>
            <w:tcW w:type="dxa" w:w="3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A conseguir. El obturador global es requisito: con obturador de barrido la platina puede moverse durante la exposición e introducir error de sincronismo.</w:t>
            </w:r>
          </w:p>
        </w:tc>
      </w:tr>
      <w:tr>
        <w:tc>
          <w:tcPr>
            <w:tcW w:type="dxa" w:w="26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Objetivo de microscopio de alta apertura numérica</w:t>
            </w:r>
          </w:p>
        </w:tc>
        <w:tc>
          <w:tcPr>
            <w:tcW w:type="dxa" w:w="33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Enfoque de ambos haces y colección de la señal.</w:t>
            </w:r>
          </w:p>
        </w:tc>
        <w:tc>
          <w:tcPr>
            <w:tcW w:type="dxa" w:w="3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Punto crítico de costo y disponibilidad. [VERIFICAR si existe un objetivo disponible fuera del instrumento en uso.]</w:t>
            </w:r>
          </w:p>
        </w:tc>
      </w:tr>
      <w:tr>
        <w:tc>
          <w:tcPr>
            <w:tcW w:type="dxa" w:w="26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Divisores de haz, lentes, espejos, montura de apertura</w:t>
            </w:r>
          </w:p>
        </w:tc>
        <w:tc>
          <w:tcPr>
            <w:tcW w:type="dxa" w:w="33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Formación de los dos caminos ópticos y rechazo de fondo.</w:t>
            </w:r>
          </w:p>
        </w:tc>
        <w:tc>
          <w:tcPr>
            <w:tcW w:type="dxa" w:w="3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Componentes estándar; verificar existencias.</w:t>
            </w:r>
          </w:p>
        </w:tc>
      </w:tr>
      <w:tr>
        <w:tc>
          <w:tcPr>
            <w:tcW w:type="dxa" w:w="26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Nanopartículas de oro de 200 nm</w:t>
            </w:r>
          </w:p>
        </w:tc>
        <w:tc>
          <w:tcPr>
            <w:tcW w:type="dxa" w:w="33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Marcadores fiduciales.</w:t>
            </w:r>
          </w:p>
        </w:tc>
        <w:tc>
          <w:tcPr>
            <w:tcW w:type="dxa" w:w="3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A conseguir. Requiere además protocolo de funcionalización del cubreobjetos.</w:t>
            </w:r>
          </w:p>
        </w:tc>
      </w:tr>
      <w:tr>
        <w:tc>
          <w:tcPr>
            <w:tcW w:type="dxa" w:w="26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Platina E-545 + controlador</w:t>
            </w:r>
          </w:p>
        </w:tc>
        <w:tc>
          <w:tcPr>
            <w:tcW w:type="dxa" w:w="33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Actuador del lazo.</w:t>
            </w:r>
          </w:p>
        </w:tc>
        <w:tc>
          <w:tcPr>
            <w:tcW w:type="dxa" w:w="3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Disponible.</w:t>
            </w:r>
          </w:p>
        </w:tc>
      </w:tr>
      <w:tr>
        <w:tc>
          <w:tcPr>
            <w:tcW w:type="dxa" w:w="26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Biblioteca takyaq</w:t>
            </w:r>
          </w:p>
        </w:tc>
        <w:tc>
          <w:tcPr>
            <w:tcW w:type="dxa" w:w="33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Software de control del lazo.</w:t>
            </w:r>
          </w:p>
        </w:tc>
        <w:tc>
          <w:tcPr>
            <w:tcW w:type="dxa" w:w="3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Disponible (repositorio del codirector). Requiere el desarrollo descrito en la sección 4.1.</w:t>
            </w:r>
          </w:p>
        </w:tc>
      </w:tr>
    </w:tbl>
    <w:p>
      <w:pPr>
        <w:pStyle w:val="Heading1"/>
        <w:spacing w:after="160" w:before="360"/>
      </w:pPr>
      <w:r>
        <w:rPr>
          <w:rFonts w:ascii="Helvetica Neue" w:cs="Helvetica Neue" w:eastAsia="Helvetica Neue" w:hAnsi="Helvetica Neue"/>
          <w:b/>
          <w:bCs/>
          <w:color w:val="1F4E79"/>
          <w:sz w:val="30"/>
          <w:szCs w:val="30"/>
        </w:rPr>
        <w:t xml:space="preserve">4. Actividades secundarias — Contribuciones a takyaq</w:t>
      </w:r>
    </w:p>
    <w:p>
      <w:pPr>
        <w:spacing w:after="120" w:line="276"/>
        <w:jc w:val="both"/>
      </w:pPr>
      <w:r>
        <w:rPr>
          <w:rFonts w:ascii="Helvetica Neue" w:cs="Helvetica Neue" w:eastAsia="Helvetica Neue" w:hAnsi="Helvetica Neue"/>
          <w:i w:val="false"/>
          <w:iCs w:val="false"/>
          <w:color w:val="000000"/>
          <w:sz w:val="21"/>
          <w:szCs w:val="21"/>
        </w:rPr>
        <w:t xml:space="preserve">Las siguientes tareas son de software, de bajo riesgo y ejecutables en paralelo a las propuestas principales. Se listan en orden de utilidad decreciente para el proyecto. La primera es, de hecho, un prerrequisito de la Propuesta B.</w:t>
      </w:r>
    </w:p>
    <w:p>
      <w:pPr>
        <w:pStyle w:val="Heading2"/>
        <w:spacing w:after="120" w:before="260"/>
      </w:pPr>
      <w:r>
        <w:rPr>
          <w:rFonts w:ascii="Helvetica Neue" w:cs="Helvetica Neue" w:eastAsia="Helvetica Neue" w:hAnsi="Helvetica Neue"/>
          <w:b/>
          <w:bCs/>
          <w:color w:val="1F4E79"/>
          <w:sz w:val="25"/>
          <w:szCs w:val="25"/>
        </w:rPr>
        <w:t xml:space="preserve">4.1 Implementación del controlador de la platina E-545</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900"/>
        <w:gridCol w:w="7100"/>
      </w:tblGrid>
      <w:tr>
        <w:trPr>
          <w:tblHeader/>
        </w:trPr>
        <w:tc>
          <w:tcPr>
            <w:tcW w:type="dxa" w:w="19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Ítem</w:t>
            </w:r>
          </w:p>
        </w:tc>
        <w:tc>
          <w:tcPr>
            <w:tcW w:type="dxa" w:w="71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Detalle</w:t>
            </w:r>
          </w:p>
        </w:tc>
      </w:tr>
      <w:tr>
        <w:tc>
          <w:tcPr>
            <w:tcW w:type="dxa" w:w="1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Idea</w:t>
            </w:r>
          </w:p>
        </w:tc>
        <w:tc>
          <w:tcPr>
            <w:tcW w:type="dxa" w:w="7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Escribir la clase que integra la platina PI a takyaq, implementando la interfaz abstracta de actuador que define la biblioteca. Actualmente el repositorio no incluye ningún controlador para equipamiento de Physik Instrumente: el único adaptador de hardware provisto es para cámaras.</w:t>
            </w:r>
          </w:p>
        </w:tc>
      </w:tr>
      <w:tr>
        <w:tc>
          <w:tcPr>
            <w:tcW w:type="dxa" w:w="1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Análisis / desarrollo</w:t>
            </w:r>
          </w:p>
        </w:tc>
        <w:tc>
          <w:tcPr>
            <w:tcW w:type="dxa" w:w="7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La interfaz requerida es acotada: lectura de posición y escritura de posición lateral y axial. El trabajo consiste en traducir entre las unidades de takyaq (nanómetros) y las nativas del controlador (micrómetros), y en gestionar la conexión y el estado de servo. Se reutiliza directamente el código de control ya desarrollado durante la caracterización estática. Debe probarse contra los módulos simulados que la biblioteca ya provee antes de conectar el equipo real.</w:t>
            </w:r>
          </w:p>
        </w:tc>
      </w:tr>
      <w:tr>
        <w:tc>
          <w:tcPr>
            <w:tcW w:type="dxa" w:w="1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Resultado esperado</w:t>
            </w:r>
          </w:p>
        </w:tc>
        <w:tc>
          <w:tcPr>
            <w:tcW w:type="dxa" w:w="7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Un módulo funcional que habilita el uso de la E-545 con takyaq, incorporable al repositorio como contribución. Es el paso que conecta el trabajo de caracterización ya hecho con la aplicación final.</w:t>
            </w:r>
          </w:p>
        </w:tc>
      </w:tr>
      <w:tr>
        <w:tc>
          <w:tcPr>
            <w:tcW w:type="dxa" w:w="1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Materiales</w:t>
            </w:r>
          </w:p>
        </w:tc>
        <w:tc>
          <w:tcPr>
            <w:tcW w:type="dxa" w:w="7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Ninguno adicional. Desarrollable sin ocupar el equipo, gracias a los módulos simulados.</w:t>
            </w:r>
          </w:p>
        </w:tc>
      </w:tr>
    </w:tbl>
    <w:p>
      <w:pPr>
        <w:pStyle w:val="Heading2"/>
        <w:spacing w:after="120" w:before="260"/>
      </w:pPr>
      <w:r>
        <w:rPr>
          <w:rFonts w:ascii="Helvetica Neue" w:cs="Helvetica Neue" w:eastAsia="Helvetica Neue" w:hAnsi="Helvetica Neue"/>
          <w:b/>
          <w:bCs/>
          <w:color w:val="1F4E79"/>
          <w:sz w:val="25"/>
          <w:szCs w:val="25"/>
        </w:rPr>
        <w:t xml:space="preserve">4.2 Análisis de acoplamiento entre ejes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900"/>
        <w:gridCol w:w="7100"/>
      </w:tblGrid>
      <w:tr>
        <w:trPr>
          <w:tblHeader/>
        </w:trPr>
        <w:tc>
          <w:tcPr>
            <w:tcW w:type="dxa" w:w="19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Ítem</w:t>
            </w:r>
          </w:p>
        </w:tc>
        <w:tc>
          <w:tcPr>
            <w:tcW w:type="dxa" w:w="71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Detalle</w:t>
            </w:r>
          </w:p>
        </w:tc>
      </w:tr>
      <w:tr>
        <w:tc>
          <w:tcPr>
            <w:tcW w:type="dxa" w:w="1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Idea</w:t>
            </w:r>
          </w:p>
        </w:tc>
        <w:tc>
          <w:tcPr>
            <w:tcW w:type="dxa" w:w="7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La documentación del repositorio señala explícitamente que del procedimiento de calibración podría extraerse información adicional, como el acoplamiento entre ejes, y que ese análisis está pendiente de implementación.</w:t>
            </w:r>
          </w:p>
        </w:tc>
      </w:tr>
      <w:tr>
        <w:tc>
          <w:tcPr>
            <w:tcW w:type="dxa" w:w="1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Análisis</w:t>
            </w:r>
          </w:p>
        </w:tc>
        <w:tc>
          <w:tcPr>
            <w:tcW w:type="dxa" w:w="7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Extensión natural de la caracterización ya realizada: en lugar de caracterizar cada eje por separado, medir si un desplazamiento comandado en un eje induce desplazamiento medible en los otros dos. Es medible tanto con el interferómetro (Propuesta A) como con la cámara del módulo de estabilización (Propuesta B).</w:t>
            </w:r>
          </w:p>
        </w:tc>
      </w:tr>
      <w:tr>
        <w:tc>
          <w:tcPr>
            <w:tcW w:type="dxa" w:w="1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Resultado esperado</w:t>
            </w:r>
          </w:p>
        </w:tc>
        <w:tc>
          <w:tcPr>
            <w:tcW w:type="dxa" w:w="7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Matriz de acoplamiento cruzado de la platina. Relevante para la aplicación: un acoplamiento no compensado degrada la estabilización en los ejes no corregidos. Especialmente interesante el acoplamiento del canal axial hacia los laterales, que en la geometría de haz inclinado no está caracterizado.</w:t>
            </w:r>
          </w:p>
        </w:tc>
      </w:tr>
      <w:tr>
        <w:tc>
          <w:tcPr>
            <w:tcW w:type="dxa" w:w="1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Materiales</w:t>
            </w:r>
          </w:p>
        </w:tc>
        <w:tc>
          <w:tcPr>
            <w:tcW w:type="dxa" w:w="7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Ninguno adicional respecto de las propuestas principales.</w:t>
            </w:r>
          </w:p>
        </w:tc>
      </w:tr>
    </w:tbl>
    <w:p>
      <w:pPr>
        <w:pStyle w:val="Heading2"/>
        <w:spacing w:after="120" w:before="260"/>
      </w:pPr>
      <w:r>
        <w:rPr>
          <w:rFonts w:ascii="Helvetica Neue" w:cs="Helvetica Neue" w:eastAsia="Helvetica Neue" w:hAnsi="Helvetica Neue"/>
          <w:b/>
          <w:bCs/>
          <w:color w:val="1F4E79"/>
          <w:sz w:val="25"/>
          <w:szCs w:val="25"/>
        </w:rPr>
        <w:t xml:space="preserve">4.3 Reporte de calibración</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900"/>
        <w:gridCol w:w="7100"/>
      </w:tblGrid>
      <w:tr>
        <w:trPr>
          <w:tblHeader/>
        </w:trPr>
        <w:tc>
          <w:tcPr>
            <w:tcW w:type="dxa" w:w="19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Ítem</w:t>
            </w:r>
          </w:p>
        </w:tc>
        <w:tc>
          <w:tcPr>
            <w:tcW w:type="dxa" w:w="71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Detalle</w:t>
            </w:r>
          </w:p>
        </w:tc>
      </w:tr>
      <w:tr>
        <w:tc>
          <w:tcPr>
            <w:tcW w:type="dxa" w:w="1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Idea</w:t>
            </w:r>
          </w:p>
        </w:tc>
        <w:tc>
          <w:tcPr>
            <w:tcW w:type="dxa" w:w="7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La documentación del repositorio indica que los datos de calibración se vuelcan actualmente por consola y que un reporte más adecuado está previsto para el futuro.</w:t>
            </w:r>
          </w:p>
        </w:tc>
      </w:tr>
      <w:tr>
        <w:tc>
          <w:tcPr>
            <w:tcW w:type="dxa" w:w="1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Análisis / desarrollo</w:t>
            </w:r>
          </w:p>
        </w:tc>
        <w:tc>
          <w:tcPr>
            <w:tcW w:type="dxa" w:w="7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Implementar la generación de un reporte de calibración con las curvas de ajuste, los residuos y las incertidumbres de los parámetros obtenidos, siguiendo las convenciones de figura ya adoptadas en el informe de Laboratorio 6 y 7.</w:t>
            </w:r>
          </w:p>
        </w:tc>
      </w:tr>
      <w:tr>
        <w:tc>
          <w:tcPr>
            <w:tcW w:type="dxa" w:w="1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Resultado esperado</w:t>
            </w:r>
          </w:p>
        </w:tc>
        <w:tc>
          <w:tcPr>
            <w:tcW w:type="dxa" w:w="7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Trazabilidad de la calibración del sistema de estabilización, y una contribución de software de utilidad general para los usuarios de la biblioteca.</w:t>
            </w:r>
          </w:p>
        </w:tc>
      </w:tr>
      <w:tr>
        <w:tc>
          <w:tcPr>
            <w:tcW w:type="dxa" w:w="1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Materiales</w:t>
            </w:r>
          </w:p>
        </w:tc>
        <w:tc>
          <w:tcPr>
            <w:tcW w:type="dxa" w:w="71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Ninguno adicional.</w:t>
            </w:r>
          </w:p>
        </w:tc>
      </w:tr>
    </w:tbl>
    <w:p>
      <w:pPr>
        <w:pStyle w:val="Heading2"/>
        <w:spacing w:after="120" w:before="260"/>
      </w:pPr>
      <w:r>
        <w:rPr>
          <w:rFonts w:ascii="Helvetica Neue" w:cs="Helvetica Neue" w:eastAsia="Helvetica Neue" w:hAnsi="Helvetica Neue"/>
          <w:b/>
          <w:bCs/>
          <w:color w:val="1F4E79"/>
          <w:sz w:val="25"/>
          <w:szCs w:val="25"/>
        </w:rPr>
        <w:t xml:space="preserve">4.4 Líneas complementarias de caracterización</w:t>
      </w:r>
    </w:p>
    <w:p>
      <w:pPr>
        <w:pStyle w:val="ListParagraph"/>
        <w:numPr>
          <w:ilvl w:val="0"/>
          <w:numId w:val="2"/>
        </w:numPr>
        <w:spacing w:after="70" w:line="264"/>
      </w:pPr>
      <w:r>
        <w:rPr>
          <w:rFonts w:ascii="Helvetica Neue" w:cs="Helvetica Neue" w:eastAsia="Helvetica Neue" w:hAnsi="Helvetica Neue"/>
          <w:sz w:val="21"/>
          <w:szCs w:val="21"/>
        </w:rPr>
        <w:t xml:space="preserve">Histéresis: barrido bidireccional del rango de desplazamiento con lectura interferométrica, para cuantificar el ancho del ciclo en lazo cerrado. Existe ya un guion de análisis preliminar.</w:t>
      </w:r>
    </w:p>
    <w:p>
      <w:pPr>
        <w:pStyle w:val="ListParagraph"/>
        <w:numPr>
          <w:ilvl w:val="0"/>
          <w:numId w:val="2"/>
        </w:numPr>
        <w:spacing w:after="70" w:line="264"/>
      </w:pPr>
      <w:r>
        <w:rPr>
          <w:rFonts w:ascii="Helvetica Neue" w:cs="Helvetica Neue" w:eastAsia="Helvetica Neue" w:hAnsi="Helvetica Neue"/>
          <w:sz w:val="21"/>
          <w:szCs w:val="21"/>
        </w:rPr>
        <w:t xml:space="preserve">Linealidad en el rango completo: verificar si el error de ganancia del sensor interno determinado en la caracterización estática es constante a lo largo de todo el recorrido o depende de la posición.</w:t>
      </w:r>
    </w:p>
    <w:p>
      <w:pPr>
        <w:pStyle w:val="ListParagraph"/>
        <w:numPr>
          <w:ilvl w:val="0"/>
          <w:numId w:val="2"/>
        </w:numPr>
        <w:spacing w:after="70" w:line="264"/>
      </w:pPr>
      <w:r>
        <w:rPr>
          <w:rFonts w:ascii="Helvetica Neue" w:cs="Helvetica Neue" w:eastAsia="Helvetica Neue" w:hAnsi="Helvetica Neue"/>
          <w:sz w:val="21"/>
          <w:szCs w:val="21"/>
        </w:rPr>
        <w:t xml:space="preserve">Estabilidad térmica: repetición de la medición de deriva en distintos momentos del día, para correlacionar la deriva observada con la temperatura ambiente del laboratorio.</w:t>
      </w:r>
    </w:p>
    <w:p>
      <w:pPr>
        <w:pStyle w:val="Heading1"/>
        <w:spacing w:after="160" w:before="360"/>
      </w:pPr>
      <w:r>
        <w:rPr>
          <w:rFonts w:ascii="Helvetica Neue" w:cs="Helvetica Neue" w:eastAsia="Helvetica Neue" w:hAnsi="Helvetica Neue"/>
          <w:b/>
          <w:bCs/>
          <w:color w:val="1F4E79"/>
          <w:sz w:val="30"/>
          <w:szCs w:val="30"/>
        </w:rPr>
        <w:t xml:space="preserve">5. Priorización propuesta</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900"/>
        <w:gridCol w:w="3400"/>
        <w:gridCol w:w="4700"/>
      </w:tblGrid>
      <w:tr>
        <w:trPr>
          <w:tblHeader/>
        </w:trPr>
        <w:tc>
          <w:tcPr>
            <w:tcW w:type="dxa" w:w="9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Orden</w:t>
            </w:r>
          </w:p>
        </w:tc>
        <w:tc>
          <w:tcPr>
            <w:tcW w:type="dxa" w:w="34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Línea</w:t>
            </w:r>
          </w:p>
        </w:tc>
        <w:tc>
          <w:tcPr>
            <w:tcW w:type="dxa" w:w="4700"/>
            <w:shd w:fill="EAF0F6" w:color="auto" w:val="clear"/>
            <w:tcMar>
              <w:top w:type="dxa" w:w="90"/>
              <w:left w:type="dxa" w:w="120"/>
              <w:bottom w:type="dxa" w:w="90"/>
              <w:right w:type="dxa" w:w="120"/>
            </w:tcMar>
          </w:tcPr>
          <w:p>
            <w:pPr>
              <w:spacing w:after="0" w:line="252"/>
              <w:jc w:val="left"/>
            </w:pPr>
            <w:r>
              <w:rPr>
                <w:rFonts w:ascii="Helvetica Neue" w:cs="Helvetica Neue" w:eastAsia="Helvetica Neue" w:hAnsi="Helvetica Neue"/>
                <w:b/>
                <w:bCs/>
                <w:sz w:val="19"/>
                <w:szCs w:val="19"/>
              </w:rPr>
              <w:t xml:space="preserve">Justificación</w:t>
            </w:r>
          </w:p>
        </w:tc>
      </w:tr>
      <w:tr>
        <w:tc>
          <w:tcPr>
            <w:tcW w:type="dxa" w:w="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1</w:t>
            </w:r>
          </w:p>
        </w:tc>
        <w:tc>
          <w:tcPr>
            <w:tcW w:type="dxa" w:w="34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Implementación del controlador de la platina en takyaq (4.1)</w:t>
            </w:r>
          </w:p>
        </w:tc>
        <w:tc>
          <w:tcPr>
            <w:tcW w:type="dxa" w:w="47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Costo bajo, sin requerimientos materiales, prerrequisito de la Propuesta B y aprovechamiento directo del trabajo ya realizado.</w:t>
            </w:r>
          </w:p>
        </w:tc>
      </w:tr>
      <w:tr>
        <w:tc>
          <w:tcPr>
            <w:tcW w:type="dxa" w:w="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2</w:t>
            </w:r>
          </w:p>
        </w:tc>
        <w:tc>
          <w:tcPr>
            <w:tcW w:type="dxa" w:w="34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Caracterización dinámica (Propuesta A)</w:t>
            </w:r>
          </w:p>
        </w:tc>
        <w:tc>
          <w:tcPr>
            <w:tcW w:type="dxa" w:w="47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Ejecutable con el montaje ya existente. Produce resultados nuevos y presentables de forma autónoma, y define las restricciones de diseño del lazo de estabilización.</w:t>
            </w:r>
          </w:p>
        </w:tc>
      </w:tr>
      <w:tr>
        <w:tc>
          <w:tcPr>
            <w:tcW w:type="dxa" w:w="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3</w:t>
            </w:r>
          </w:p>
        </w:tc>
        <w:tc>
          <w:tcPr>
            <w:tcW w:type="dxa" w:w="34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Módulo de estabilización (Propuesta B)</w:t>
            </w:r>
          </w:p>
        </w:tc>
        <w:tc>
          <w:tcPr>
            <w:tcW w:type="dxa" w:w="47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Mayor valor científico, pero condicionado a la disponibilidad de material óptico. Conviene definir el alcance antes de comprometer el calendario.</w:t>
            </w:r>
          </w:p>
        </w:tc>
      </w:tr>
      <w:tr>
        <w:tc>
          <w:tcPr>
            <w:tcW w:type="dxa" w:w="9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4</w:t>
            </w:r>
          </w:p>
        </w:tc>
        <w:tc>
          <w:tcPr>
            <w:tcW w:type="dxa" w:w="34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Acoplamiento entre ejes y reporte de calibración (4.2, 4.3)</w:t>
            </w:r>
          </w:p>
        </w:tc>
        <w:tc>
          <w:tcPr>
            <w:tcW w:type="dxa" w:w="4700"/>
            <w:tcMar>
              <w:top w:type="dxa" w:w="90"/>
              <w:left w:type="dxa" w:w="120"/>
              <w:bottom w:type="dxa" w:w="90"/>
              <w:right w:type="dxa" w:w="120"/>
            </w:tcMar>
          </w:tcPr>
          <w:p>
            <w:pPr>
              <w:spacing w:after="0" w:line="252"/>
              <w:jc w:val="left"/>
            </w:pPr>
            <w:r>
              <w:rPr>
                <w:rFonts w:ascii="Helvetica Neue" w:cs="Helvetica Neue" w:eastAsia="Helvetica Neue" w:hAnsi="Helvetica Neue"/>
                <w:b w:val="false"/>
                <w:bCs w:val="false"/>
                <w:sz w:val="19"/>
                <w:szCs w:val="19"/>
              </w:rPr>
              <w:t xml:space="preserve">Aportes de menor peso para el informe, pero de bajo riesgo y útiles como trabajo paralelizable.</w:t>
            </w:r>
          </w:p>
        </w:tc>
      </w:tr>
    </w:tbl>
    <w:p>
      <w:pPr>
        <w:pStyle w:val="Heading1"/>
        <w:spacing w:after="160" w:before="360"/>
      </w:pPr>
      <w:r>
        <w:rPr>
          <w:rFonts w:ascii="Helvetica Neue" w:cs="Helvetica Neue" w:eastAsia="Helvetica Neue" w:hAnsi="Helvetica Neue"/>
          <w:b/>
          <w:bCs/>
          <w:color w:val="1F4E79"/>
          <w:sz w:val="30"/>
          <w:szCs w:val="30"/>
        </w:rPr>
        <w:t xml:space="preserve">6. Puntos a definir con la dirección</w:t>
      </w:r>
    </w:p>
    <w:p>
      <w:pPr>
        <w:pStyle w:val="ListParagraph"/>
        <w:numPr>
          <w:ilvl w:val="0"/>
          <w:numId w:val="2"/>
        </w:numPr>
        <w:spacing w:after="70" w:line="264"/>
      </w:pPr>
      <w:r>
        <w:rPr>
          <w:rFonts w:ascii="Helvetica Neue" w:cs="Helvetica Neue" w:eastAsia="Helvetica Neue" w:hAnsi="Helvetica Neue"/>
          <w:sz w:val="21"/>
          <w:szCs w:val="21"/>
        </w:rPr>
        <w:t xml:space="preserve">Disponibilidad de material óptico para el módulo independiente: en particular objetivo de alta apertura numérica, cámara de obturador global y fuente de infrarrojo cercano. De esto depende que la Propuesta B sea viable en el plazo del cuatrimestre.</w:t>
      </w:r>
    </w:p>
    <w:p>
      <w:pPr>
        <w:pStyle w:val="ListParagraph"/>
        <w:numPr>
          <w:ilvl w:val="0"/>
          <w:numId w:val="2"/>
        </w:numPr>
        <w:spacing w:after="70" w:line="264"/>
      </w:pPr>
      <w:r>
        <w:rPr>
          <w:rFonts w:ascii="Helvetica Neue" w:cs="Helvetica Neue" w:eastAsia="Helvetica Neue" w:hAnsi="Helvetica Neue"/>
          <w:sz w:val="21"/>
          <w:szCs w:val="21"/>
        </w:rPr>
        <w:t xml:space="preserve">Alcance de la Propuesta B: montaje tridimensional completo frente a una versión reducida como prueba de concepto.</w:t>
      </w:r>
    </w:p>
    <w:p>
      <w:pPr>
        <w:pStyle w:val="ListParagraph"/>
        <w:numPr>
          <w:ilvl w:val="0"/>
          <w:numId w:val="2"/>
        </w:numPr>
        <w:spacing w:after="70" w:line="264"/>
      </w:pPr>
      <w:r>
        <w:rPr>
          <w:rFonts w:ascii="Helvetica Neue" w:cs="Helvetica Neue" w:eastAsia="Helvetica Neue" w:hAnsi="Helvetica Neue"/>
          <w:sz w:val="21"/>
          <w:szCs w:val="21"/>
        </w:rPr>
        <w:t xml:space="preserve">Disponibilidad de generador de funciones y de instrumento de adquisición rápida (osciloscopio con memoria) para la Propuesta A.</w:t>
      </w:r>
    </w:p>
    <w:p>
      <w:pPr>
        <w:pStyle w:val="ListParagraph"/>
        <w:numPr>
          <w:ilvl w:val="0"/>
          <w:numId w:val="2"/>
        </w:numPr>
        <w:spacing w:after="70" w:line="264"/>
      </w:pPr>
      <w:r>
        <w:rPr>
          <w:rFonts w:ascii="Helvetica Neue" w:cs="Helvetica Neue" w:eastAsia="Helvetica Neue" w:hAnsi="Helvetica Neue"/>
          <w:sz w:val="21"/>
          <w:szCs w:val="21"/>
        </w:rPr>
        <w:t xml:space="preserve">Confirmación de si la unidad de controlador disponible cuenta con entrada analógica de consigna, lo que determina cuál de las dos vías de excitación es aplicable.</w:t>
      </w:r>
    </w:p>
    <w:p>
      <w:pPr>
        <w:pStyle w:val="ListParagraph"/>
        <w:numPr>
          <w:ilvl w:val="0"/>
          <w:numId w:val="2"/>
        </w:numPr>
        <w:spacing w:after="70" w:line="264"/>
      </w:pPr>
      <w:r>
        <w:rPr>
          <w:rFonts w:ascii="Helvetica Neue" w:cs="Helvetica Neue" w:eastAsia="Helvetica Neue" w:hAnsi="Helvetica Neue"/>
          <w:sz w:val="21"/>
          <w:szCs w:val="21"/>
        </w:rPr>
        <w:t xml:space="preserve">Prioridad relativa entre aporte de software al repositorio y producción de resultados experimentales nuevos, de cara al informe y la presentación final.</w:t>
      </w:r>
    </w:p>
    <w:p>
      <w:pPr>
        <w:pStyle w:val="ListParagraph"/>
        <w:numPr>
          <w:ilvl w:val="0"/>
          <w:numId w:val="2"/>
        </w:numPr>
        <w:spacing w:after="70" w:line="264"/>
      </w:pPr>
      <w:r>
        <w:rPr>
          <w:rFonts w:ascii="Helvetica Neue" w:cs="Helvetica Neue" w:eastAsia="Helvetica Neue" w:hAnsi="Helvetica Neue"/>
          <w:sz w:val="21"/>
          <w:szCs w:val="21"/>
        </w:rPr>
        <w:t xml:space="preserve">Verificación de la denominación del controlador utilizado en la documentación del proyecto, donde aparecen referencias tanto al modelo E-545 como al E-517.</w:t>
      </w:r>
    </w:p>
    <w:p>
      <w:pPr>
        <w:pBdr>
          <w:bottom w:val="single" w:color="BFBFBF" w:sz="6"/>
        </w:pBdr>
        <w:spacing w:after="160" w:before="60"/>
      </w:pPr>
      <w:r>
        <w:rPr>
          <w:sz w:val="2"/>
          <w:szCs w:val="2"/>
        </w:rPr>
        <w:t xml:space="preserve"/>
      </w:r>
    </w:p>
    <w:p>
      <w:pPr>
        <w:spacing w:after="120" w:line="276"/>
        <w:jc w:val="left"/>
      </w:pPr>
      <w:r>
        <w:rPr>
          <w:rFonts w:ascii="Helvetica Neue" w:cs="Helvetica Neue" w:eastAsia="Helvetica Neue" w:hAnsi="Helvetica Neue"/>
          <w:i/>
          <w:iCs/>
          <w:color w:val="595959"/>
          <w:sz w:val="21"/>
          <w:szCs w:val="21"/>
        </w:rPr>
        <w:t xml:space="preserve">Nota sobre trazabilidad: los elementos señalados como [VERIFICAR] requieren confirmación antes de comprometer recursos o calendario. Los elementos señalados como [INFERENCIA] corresponden a interpretaciones no verificadas experimentalmente en este montaje.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2026-08-09T23:51:56.361Z</dcterms:created>
  <dcterms:modified xsi:type="dcterms:W3CDTF">2026-08-09T23:51:56.362Z</dcterms:modified>
</cp:coreProperties>
</file>

<file path=docProps/custom.xml><?xml version="1.0" encoding="utf-8"?>
<Properties xmlns="http://schemas.openxmlformats.org/officeDocument/2006/custom-properties" xmlns:vt="http://schemas.openxmlformats.org/officeDocument/2006/docPropsVTypes"/>
</file>