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9" w:type="dxa"/>
        <w:tblLook w:val="04A0" w:firstRow="1" w:lastRow="0" w:firstColumn="1" w:lastColumn="0" w:noHBand="0" w:noVBand="1"/>
      </w:tblPr>
      <w:tblGrid>
        <w:gridCol w:w="2733"/>
        <w:gridCol w:w="2654"/>
        <w:gridCol w:w="1984"/>
        <w:gridCol w:w="851"/>
        <w:gridCol w:w="992"/>
        <w:gridCol w:w="325"/>
      </w:tblGrid>
      <w:tr w:rsidR="005616E0" w:rsidRPr="005616E0" w14:paraId="5B598611" w14:textId="77777777" w:rsidTr="00033969">
        <w:trPr>
          <w:gridAfter w:val="1"/>
          <w:wAfter w:w="325" w:type="dxa"/>
          <w:trHeight w:val="132"/>
        </w:trPr>
        <w:tc>
          <w:tcPr>
            <w:tcW w:w="2733" w:type="dxa"/>
            <w:tcBorders>
              <w:top w:val="single" w:sz="4" w:space="0" w:color="auto"/>
              <w:left w:val="nil"/>
              <w:bottom w:val="single" w:sz="4" w:space="0" w:color="auto"/>
              <w:right w:val="nil"/>
            </w:tcBorders>
            <w:shd w:val="clear" w:color="auto" w:fill="auto"/>
            <w:vAlign w:val="center"/>
            <w:hideMark/>
          </w:tcPr>
          <w:p w14:paraId="420B3101" w14:textId="77777777" w:rsidR="005616E0" w:rsidRPr="005616E0" w:rsidRDefault="005616E0" w:rsidP="005616E0">
            <w:pPr>
              <w:spacing w:after="0" w:line="240" w:lineRule="auto"/>
              <w:rPr>
                <w:rFonts w:ascii="Aptos Narrow" w:eastAsia="Times New Roman" w:hAnsi="Aptos Narrow" w:cs="Times New Roman"/>
                <w:b/>
                <w:bCs/>
                <w:color w:val="000000"/>
                <w:kern w:val="0"/>
                <w:sz w:val="20"/>
                <w:szCs w:val="20"/>
                <w:lang w:eastAsia="en-GB"/>
                <w14:ligatures w14:val="none"/>
              </w:rPr>
            </w:pPr>
            <w:r w:rsidRPr="005616E0">
              <w:rPr>
                <w:rFonts w:ascii="Aptos Narrow" w:eastAsia="Times New Roman" w:hAnsi="Aptos Narrow" w:cs="Times New Roman"/>
                <w:b/>
                <w:bCs/>
                <w:color w:val="000000"/>
                <w:kern w:val="0"/>
                <w:sz w:val="20"/>
                <w:szCs w:val="20"/>
                <w:lang w:eastAsia="en-GB"/>
                <w14:ligatures w14:val="none"/>
              </w:rPr>
              <w:t>Module</w:t>
            </w:r>
          </w:p>
        </w:tc>
        <w:tc>
          <w:tcPr>
            <w:tcW w:w="2654" w:type="dxa"/>
            <w:tcBorders>
              <w:top w:val="single" w:sz="4" w:space="0" w:color="auto"/>
              <w:left w:val="nil"/>
              <w:bottom w:val="single" w:sz="4" w:space="0" w:color="auto"/>
              <w:right w:val="nil"/>
            </w:tcBorders>
            <w:shd w:val="clear" w:color="auto" w:fill="auto"/>
            <w:vAlign w:val="center"/>
            <w:hideMark/>
          </w:tcPr>
          <w:p w14:paraId="4263DDD6" w14:textId="77777777" w:rsidR="005616E0" w:rsidRPr="005616E0" w:rsidRDefault="005616E0" w:rsidP="005616E0">
            <w:pPr>
              <w:spacing w:after="0" w:line="240" w:lineRule="auto"/>
              <w:rPr>
                <w:rFonts w:ascii="Aptos Narrow" w:eastAsia="Times New Roman" w:hAnsi="Aptos Narrow" w:cs="Times New Roman"/>
                <w:b/>
                <w:bCs/>
                <w:color w:val="000000"/>
                <w:kern w:val="0"/>
                <w:sz w:val="20"/>
                <w:szCs w:val="20"/>
                <w:lang w:eastAsia="en-GB"/>
                <w14:ligatures w14:val="none"/>
              </w:rPr>
            </w:pPr>
            <w:r w:rsidRPr="005616E0">
              <w:rPr>
                <w:rFonts w:ascii="Aptos Narrow" w:eastAsia="Times New Roman" w:hAnsi="Aptos Narrow" w:cs="Times New Roman"/>
                <w:b/>
                <w:bCs/>
                <w:color w:val="000000"/>
                <w:kern w:val="0"/>
                <w:sz w:val="20"/>
                <w:szCs w:val="20"/>
                <w:lang w:eastAsia="en-GB"/>
                <w14:ligatures w14:val="none"/>
              </w:rPr>
              <w:t>Parameter</w:t>
            </w:r>
          </w:p>
        </w:tc>
        <w:tc>
          <w:tcPr>
            <w:tcW w:w="1984" w:type="dxa"/>
            <w:tcBorders>
              <w:top w:val="single" w:sz="4" w:space="0" w:color="auto"/>
              <w:left w:val="nil"/>
              <w:bottom w:val="single" w:sz="4" w:space="0" w:color="auto"/>
              <w:right w:val="nil"/>
            </w:tcBorders>
            <w:shd w:val="clear" w:color="auto" w:fill="auto"/>
            <w:vAlign w:val="center"/>
            <w:hideMark/>
          </w:tcPr>
          <w:p w14:paraId="0C4238DB" w14:textId="77777777" w:rsidR="005616E0" w:rsidRPr="005616E0" w:rsidRDefault="005616E0" w:rsidP="005616E0">
            <w:pPr>
              <w:spacing w:after="0" w:line="240" w:lineRule="auto"/>
              <w:rPr>
                <w:rFonts w:ascii="Aptos Narrow" w:eastAsia="Times New Roman" w:hAnsi="Aptos Narrow" w:cs="Times New Roman"/>
                <w:b/>
                <w:bCs/>
                <w:color w:val="000000"/>
                <w:kern w:val="0"/>
                <w:sz w:val="20"/>
                <w:szCs w:val="20"/>
                <w:lang w:eastAsia="en-GB"/>
                <w14:ligatures w14:val="none"/>
              </w:rPr>
            </w:pPr>
            <w:r w:rsidRPr="005616E0">
              <w:rPr>
                <w:rFonts w:ascii="Aptos Narrow" w:eastAsia="Times New Roman" w:hAnsi="Aptos Narrow" w:cs="Times New Roman"/>
                <w:b/>
                <w:bCs/>
                <w:color w:val="000000"/>
                <w:kern w:val="0"/>
                <w:sz w:val="20"/>
                <w:szCs w:val="20"/>
                <w:lang w:eastAsia="en-GB"/>
                <w14:ligatures w14:val="none"/>
              </w:rPr>
              <w:t>Argument</w:t>
            </w:r>
          </w:p>
        </w:tc>
        <w:tc>
          <w:tcPr>
            <w:tcW w:w="851" w:type="dxa"/>
            <w:tcBorders>
              <w:top w:val="single" w:sz="4" w:space="0" w:color="auto"/>
              <w:left w:val="nil"/>
              <w:bottom w:val="single" w:sz="4" w:space="0" w:color="auto"/>
              <w:right w:val="nil"/>
            </w:tcBorders>
            <w:shd w:val="clear" w:color="auto" w:fill="auto"/>
            <w:vAlign w:val="center"/>
            <w:hideMark/>
          </w:tcPr>
          <w:p w14:paraId="638BE26D" w14:textId="77777777" w:rsidR="005616E0" w:rsidRPr="005616E0" w:rsidRDefault="005616E0" w:rsidP="005616E0">
            <w:pPr>
              <w:spacing w:after="0" w:line="240" w:lineRule="auto"/>
              <w:rPr>
                <w:rFonts w:ascii="Aptos Narrow" w:eastAsia="Times New Roman" w:hAnsi="Aptos Narrow" w:cs="Times New Roman"/>
                <w:b/>
                <w:bCs/>
                <w:color w:val="000000"/>
                <w:kern w:val="0"/>
                <w:sz w:val="18"/>
                <w:szCs w:val="18"/>
                <w:lang w:eastAsia="en-GB"/>
                <w14:ligatures w14:val="none"/>
              </w:rPr>
            </w:pPr>
            <w:r w:rsidRPr="005616E0">
              <w:rPr>
                <w:rFonts w:ascii="Aptos Narrow" w:eastAsia="Times New Roman" w:hAnsi="Aptos Narrow" w:cs="Times New Roman"/>
                <w:b/>
                <w:bCs/>
                <w:color w:val="000000"/>
                <w:kern w:val="0"/>
                <w:sz w:val="18"/>
                <w:szCs w:val="18"/>
                <w:lang w:eastAsia="en-GB"/>
                <w14:ligatures w14:val="none"/>
              </w:rPr>
              <w:t>Unit</w:t>
            </w:r>
          </w:p>
        </w:tc>
        <w:tc>
          <w:tcPr>
            <w:tcW w:w="992" w:type="dxa"/>
            <w:tcBorders>
              <w:top w:val="single" w:sz="4" w:space="0" w:color="auto"/>
              <w:left w:val="nil"/>
              <w:bottom w:val="single" w:sz="4" w:space="0" w:color="auto"/>
              <w:right w:val="nil"/>
            </w:tcBorders>
            <w:shd w:val="clear" w:color="auto" w:fill="auto"/>
            <w:vAlign w:val="center"/>
            <w:hideMark/>
          </w:tcPr>
          <w:p w14:paraId="087A6AA2" w14:textId="77777777" w:rsidR="005616E0" w:rsidRPr="005616E0" w:rsidRDefault="005616E0" w:rsidP="005616E0">
            <w:pPr>
              <w:spacing w:after="0" w:line="240" w:lineRule="auto"/>
              <w:jc w:val="right"/>
              <w:rPr>
                <w:rFonts w:ascii="Aptos Narrow" w:eastAsia="Times New Roman" w:hAnsi="Aptos Narrow" w:cs="Times New Roman"/>
                <w:b/>
                <w:bCs/>
                <w:color w:val="000000"/>
                <w:kern w:val="0"/>
                <w:sz w:val="20"/>
                <w:szCs w:val="20"/>
                <w:lang w:eastAsia="en-GB"/>
                <w14:ligatures w14:val="none"/>
              </w:rPr>
            </w:pPr>
            <w:r w:rsidRPr="005616E0">
              <w:rPr>
                <w:rFonts w:ascii="Aptos Narrow" w:eastAsia="Times New Roman" w:hAnsi="Aptos Narrow" w:cs="Times New Roman"/>
                <w:b/>
                <w:bCs/>
                <w:color w:val="000000"/>
                <w:kern w:val="0"/>
                <w:sz w:val="20"/>
                <w:szCs w:val="20"/>
                <w:lang w:eastAsia="en-GB"/>
                <w14:ligatures w14:val="none"/>
              </w:rPr>
              <w:t xml:space="preserve">Default </w:t>
            </w:r>
          </w:p>
        </w:tc>
      </w:tr>
      <w:tr w:rsidR="005616E0" w:rsidRPr="005616E0" w14:paraId="54C20087" w14:textId="77777777" w:rsidTr="00033969">
        <w:trPr>
          <w:gridAfter w:val="1"/>
          <w:wAfter w:w="325" w:type="dxa"/>
          <w:trHeight w:val="173"/>
        </w:trPr>
        <w:tc>
          <w:tcPr>
            <w:tcW w:w="2733" w:type="dxa"/>
            <w:vMerge w:val="restart"/>
            <w:tcBorders>
              <w:top w:val="nil"/>
              <w:left w:val="nil"/>
              <w:bottom w:val="nil"/>
              <w:right w:val="nil"/>
            </w:tcBorders>
            <w:shd w:val="clear" w:color="auto" w:fill="auto"/>
            <w:vAlign w:val="center"/>
            <w:hideMark/>
          </w:tcPr>
          <w:p w14:paraId="14792361"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 xml:space="preserve">Time period </w:t>
            </w:r>
            <w:proofErr w:type="spellStart"/>
            <w:r w:rsidRPr="005616E0">
              <w:rPr>
                <w:rFonts w:ascii="Courier New" w:eastAsia="Times New Roman" w:hAnsi="Courier New" w:cs="Courier New"/>
                <w:color w:val="000000"/>
                <w:kern w:val="0"/>
                <w:sz w:val="18"/>
                <w:szCs w:val="18"/>
                <w:lang w:eastAsia="en-GB"/>
                <w14:ligatures w14:val="none"/>
              </w:rPr>
              <w:t>define_</w:t>
            </w:r>
            <w:proofErr w:type="gramStart"/>
            <w:r w:rsidRPr="005616E0">
              <w:rPr>
                <w:rFonts w:ascii="Courier New" w:eastAsia="Times New Roman" w:hAnsi="Courier New" w:cs="Courier New"/>
                <w:color w:val="000000"/>
                <w:kern w:val="0"/>
                <w:sz w:val="18"/>
                <w:szCs w:val="18"/>
                <w:lang w:eastAsia="en-GB"/>
                <w14:ligatures w14:val="none"/>
              </w:rPr>
              <w:t>timeperiod</w:t>
            </w:r>
            <w:proofErr w:type="spellEnd"/>
            <w:r w:rsidRPr="005616E0">
              <w:rPr>
                <w:rFonts w:ascii="Courier New" w:eastAsia="Times New Roman" w:hAnsi="Courier New" w:cs="Courier New"/>
                <w:color w:val="000000"/>
                <w:kern w:val="0"/>
                <w:sz w:val="18"/>
                <w:szCs w:val="18"/>
                <w:lang w:eastAsia="en-GB"/>
                <w14:ligatures w14:val="none"/>
              </w:rPr>
              <w:t>(</w:t>
            </w:r>
            <w:proofErr w:type="gramEnd"/>
            <w:r w:rsidRPr="005616E0">
              <w:rPr>
                <w:rFonts w:ascii="Courier New" w:eastAsia="Times New Roman" w:hAnsi="Courier New" w:cs="Courier New"/>
                <w:color w:val="000000"/>
                <w:kern w:val="0"/>
                <w:sz w:val="18"/>
                <w:szCs w:val="18"/>
                <w:lang w:eastAsia="en-GB"/>
                <w14:ligatures w14:val="none"/>
              </w:rPr>
              <w:t>)</w:t>
            </w:r>
          </w:p>
        </w:tc>
        <w:tc>
          <w:tcPr>
            <w:tcW w:w="2654" w:type="dxa"/>
            <w:tcBorders>
              <w:top w:val="nil"/>
              <w:left w:val="nil"/>
              <w:bottom w:val="nil"/>
              <w:right w:val="nil"/>
            </w:tcBorders>
            <w:shd w:val="clear" w:color="auto" w:fill="auto"/>
            <w:noWrap/>
            <w:vAlign w:val="bottom"/>
            <w:hideMark/>
          </w:tcPr>
          <w:p w14:paraId="064EF49E"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Starting year</w:t>
            </w:r>
            <w:r w:rsidRPr="005616E0">
              <w:rPr>
                <w:rFonts w:ascii="Aptos Narrow" w:eastAsia="Times New Roman" w:hAnsi="Aptos Narrow" w:cs="Times New Roman"/>
                <w:color w:val="000000"/>
                <w:kern w:val="0"/>
                <w:sz w:val="20"/>
                <w:szCs w:val="20"/>
                <w:vertAlign w:val="superscript"/>
                <w:lang w:eastAsia="en-GB"/>
                <w14:ligatures w14:val="none"/>
              </w:rPr>
              <w:t>1</w:t>
            </w:r>
          </w:p>
        </w:tc>
        <w:tc>
          <w:tcPr>
            <w:tcW w:w="1984" w:type="dxa"/>
            <w:tcBorders>
              <w:top w:val="nil"/>
              <w:left w:val="nil"/>
              <w:bottom w:val="nil"/>
              <w:right w:val="nil"/>
            </w:tcBorders>
            <w:shd w:val="clear" w:color="auto" w:fill="auto"/>
            <w:noWrap/>
            <w:vAlign w:val="bottom"/>
            <w:hideMark/>
          </w:tcPr>
          <w:p w14:paraId="1E0B039A"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yr_start</w:t>
            </w:r>
            <w:proofErr w:type="spellEnd"/>
          </w:p>
        </w:tc>
        <w:tc>
          <w:tcPr>
            <w:tcW w:w="851" w:type="dxa"/>
            <w:tcBorders>
              <w:top w:val="nil"/>
              <w:left w:val="nil"/>
              <w:bottom w:val="nil"/>
              <w:right w:val="nil"/>
            </w:tcBorders>
            <w:shd w:val="clear" w:color="auto" w:fill="auto"/>
            <w:noWrap/>
            <w:vAlign w:val="bottom"/>
            <w:hideMark/>
          </w:tcPr>
          <w:p w14:paraId="2795F93F"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w:t>
            </w:r>
          </w:p>
        </w:tc>
        <w:tc>
          <w:tcPr>
            <w:tcW w:w="992" w:type="dxa"/>
            <w:tcBorders>
              <w:top w:val="nil"/>
              <w:left w:val="nil"/>
              <w:bottom w:val="nil"/>
              <w:right w:val="nil"/>
            </w:tcBorders>
            <w:shd w:val="clear" w:color="auto" w:fill="auto"/>
            <w:noWrap/>
            <w:vAlign w:val="bottom"/>
            <w:hideMark/>
          </w:tcPr>
          <w:p w14:paraId="3F87B89C"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r>
      <w:tr w:rsidR="005616E0" w:rsidRPr="005616E0" w14:paraId="406F01D7" w14:textId="77777777" w:rsidTr="00033969">
        <w:trPr>
          <w:gridAfter w:val="1"/>
          <w:wAfter w:w="325" w:type="dxa"/>
          <w:trHeight w:val="173"/>
        </w:trPr>
        <w:tc>
          <w:tcPr>
            <w:tcW w:w="2733" w:type="dxa"/>
            <w:vMerge/>
            <w:vAlign w:val="center"/>
            <w:hideMark/>
          </w:tcPr>
          <w:p w14:paraId="319B1C4D"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269986F9"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Ending year</w:t>
            </w:r>
            <w:r w:rsidRPr="005616E0">
              <w:rPr>
                <w:rFonts w:ascii="Aptos Narrow" w:eastAsia="Times New Roman" w:hAnsi="Aptos Narrow" w:cs="Times New Roman"/>
                <w:color w:val="000000"/>
                <w:kern w:val="0"/>
                <w:sz w:val="20"/>
                <w:szCs w:val="20"/>
                <w:vertAlign w:val="superscript"/>
                <w:lang w:eastAsia="en-GB"/>
                <w14:ligatures w14:val="none"/>
              </w:rPr>
              <w:t>1</w:t>
            </w:r>
          </w:p>
        </w:tc>
        <w:tc>
          <w:tcPr>
            <w:tcW w:w="1984" w:type="dxa"/>
            <w:tcBorders>
              <w:top w:val="nil"/>
              <w:left w:val="nil"/>
              <w:bottom w:val="nil"/>
              <w:right w:val="nil"/>
            </w:tcBorders>
            <w:shd w:val="clear" w:color="auto" w:fill="auto"/>
            <w:noWrap/>
            <w:vAlign w:val="bottom"/>
            <w:hideMark/>
          </w:tcPr>
          <w:p w14:paraId="6ADBBF7E"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yr_end</w:t>
            </w:r>
            <w:proofErr w:type="spellEnd"/>
          </w:p>
        </w:tc>
        <w:tc>
          <w:tcPr>
            <w:tcW w:w="851" w:type="dxa"/>
            <w:tcBorders>
              <w:top w:val="nil"/>
              <w:left w:val="nil"/>
              <w:bottom w:val="nil"/>
              <w:right w:val="nil"/>
            </w:tcBorders>
            <w:shd w:val="clear" w:color="auto" w:fill="auto"/>
            <w:noWrap/>
            <w:vAlign w:val="bottom"/>
            <w:hideMark/>
          </w:tcPr>
          <w:p w14:paraId="0B4E3817"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p>
        </w:tc>
        <w:tc>
          <w:tcPr>
            <w:tcW w:w="992" w:type="dxa"/>
            <w:tcBorders>
              <w:top w:val="nil"/>
              <w:left w:val="nil"/>
              <w:bottom w:val="nil"/>
              <w:right w:val="nil"/>
            </w:tcBorders>
            <w:shd w:val="clear" w:color="auto" w:fill="auto"/>
            <w:noWrap/>
            <w:vAlign w:val="bottom"/>
            <w:hideMark/>
          </w:tcPr>
          <w:p w14:paraId="52CA92CF"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r>
      <w:tr w:rsidR="005616E0" w:rsidRPr="005616E0" w14:paraId="304CC73E" w14:textId="77777777" w:rsidTr="00033969">
        <w:trPr>
          <w:gridAfter w:val="1"/>
          <w:wAfter w:w="325" w:type="dxa"/>
          <w:trHeight w:val="57"/>
        </w:trPr>
        <w:tc>
          <w:tcPr>
            <w:tcW w:w="2733" w:type="dxa"/>
            <w:tcBorders>
              <w:top w:val="nil"/>
              <w:left w:val="nil"/>
              <w:bottom w:val="nil"/>
              <w:right w:val="nil"/>
            </w:tcBorders>
            <w:shd w:val="clear" w:color="auto" w:fill="auto"/>
            <w:vAlign w:val="center"/>
            <w:hideMark/>
          </w:tcPr>
          <w:p w14:paraId="7DA66B7F"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7476D188"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c>
          <w:tcPr>
            <w:tcW w:w="1984" w:type="dxa"/>
            <w:tcBorders>
              <w:top w:val="nil"/>
              <w:left w:val="nil"/>
              <w:bottom w:val="nil"/>
              <w:right w:val="nil"/>
            </w:tcBorders>
            <w:shd w:val="clear" w:color="auto" w:fill="auto"/>
            <w:noWrap/>
            <w:vAlign w:val="bottom"/>
            <w:hideMark/>
          </w:tcPr>
          <w:p w14:paraId="0D514BEA" w14:textId="77777777" w:rsidR="005616E0" w:rsidRPr="005616E0" w:rsidRDefault="005616E0" w:rsidP="005616E0">
            <w:pPr>
              <w:spacing w:after="0" w:line="240" w:lineRule="auto"/>
              <w:rPr>
                <w:rFonts w:ascii="Courier New" w:eastAsia="Times New Roman" w:hAnsi="Courier New" w:cs="Courier New"/>
                <w:kern w:val="0"/>
                <w:sz w:val="18"/>
                <w:szCs w:val="18"/>
                <w:lang w:eastAsia="en-GB"/>
                <w14:ligatures w14:val="none"/>
              </w:rPr>
            </w:pPr>
          </w:p>
        </w:tc>
        <w:tc>
          <w:tcPr>
            <w:tcW w:w="851" w:type="dxa"/>
            <w:tcBorders>
              <w:top w:val="nil"/>
              <w:left w:val="nil"/>
              <w:bottom w:val="nil"/>
              <w:right w:val="nil"/>
            </w:tcBorders>
            <w:shd w:val="clear" w:color="auto" w:fill="auto"/>
            <w:noWrap/>
            <w:vAlign w:val="bottom"/>
            <w:hideMark/>
          </w:tcPr>
          <w:p w14:paraId="02DA0D14" w14:textId="77777777" w:rsidR="005616E0" w:rsidRPr="005616E0" w:rsidRDefault="005616E0" w:rsidP="005616E0">
            <w:pPr>
              <w:spacing w:after="0" w:line="240" w:lineRule="auto"/>
              <w:rPr>
                <w:rFonts w:ascii="Times New Roman" w:eastAsia="Times New Roman" w:hAnsi="Times New Roman" w:cs="Times New Roman"/>
                <w:kern w:val="0"/>
                <w:sz w:val="18"/>
                <w:szCs w:val="18"/>
                <w:lang w:eastAsia="en-GB"/>
                <w14:ligatures w14:val="none"/>
              </w:rPr>
            </w:pPr>
          </w:p>
        </w:tc>
        <w:tc>
          <w:tcPr>
            <w:tcW w:w="992" w:type="dxa"/>
            <w:tcBorders>
              <w:top w:val="nil"/>
              <w:left w:val="nil"/>
              <w:bottom w:val="nil"/>
              <w:right w:val="nil"/>
            </w:tcBorders>
            <w:shd w:val="clear" w:color="auto" w:fill="auto"/>
            <w:noWrap/>
            <w:vAlign w:val="bottom"/>
            <w:hideMark/>
          </w:tcPr>
          <w:p w14:paraId="02346D2B"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r>
      <w:tr w:rsidR="005616E0" w:rsidRPr="005616E0" w14:paraId="01842B40" w14:textId="77777777" w:rsidTr="00033969">
        <w:trPr>
          <w:gridAfter w:val="1"/>
          <w:wAfter w:w="325" w:type="dxa"/>
          <w:trHeight w:val="173"/>
        </w:trPr>
        <w:tc>
          <w:tcPr>
            <w:tcW w:w="2733" w:type="dxa"/>
            <w:vMerge w:val="restart"/>
            <w:tcBorders>
              <w:top w:val="nil"/>
              <w:left w:val="nil"/>
              <w:bottom w:val="nil"/>
              <w:right w:val="nil"/>
            </w:tcBorders>
            <w:shd w:val="clear" w:color="auto" w:fill="auto"/>
            <w:vAlign w:val="center"/>
            <w:hideMark/>
          </w:tcPr>
          <w:p w14:paraId="0C845DFA"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 xml:space="preserve">Management </w:t>
            </w:r>
            <w:proofErr w:type="spellStart"/>
            <w:r w:rsidRPr="005616E0">
              <w:rPr>
                <w:rFonts w:ascii="Courier New" w:eastAsia="Times New Roman" w:hAnsi="Courier New" w:cs="Courier New"/>
                <w:color w:val="000000"/>
                <w:kern w:val="0"/>
                <w:sz w:val="18"/>
                <w:szCs w:val="18"/>
                <w:lang w:eastAsia="en-GB"/>
                <w14:ligatures w14:val="none"/>
              </w:rPr>
              <w:t>management_</w:t>
            </w:r>
            <w:proofErr w:type="gramStart"/>
            <w:r w:rsidRPr="005616E0">
              <w:rPr>
                <w:rFonts w:ascii="Courier New" w:eastAsia="Times New Roman" w:hAnsi="Courier New" w:cs="Courier New"/>
                <w:color w:val="000000"/>
                <w:kern w:val="0"/>
                <w:sz w:val="18"/>
                <w:szCs w:val="18"/>
                <w:lang w:eastAsia="en-GB"/>
                <w14:ligatures w14:val="none"/>
              </w:rPr>
              <w:t>config</w:t>
            </w:r>
            <w:proofErr w:type="spellEnd"/>
            <w:r w:rsidRPr="005616E0">
              <w:rPr>
                <w:rFonts w:ascii="Courier New" w:eastAsia="Times New Roman" w:hAnsi="Courier New" w:cs="Courier New"/>
                <w:color w:val="000000"/>
                <w:kern w:val="0"/>
                <w:sz w:val="18"/>
                <w:szCs w:val="18"/>
                <w:lang w:eastAsia="en-GB"/>
                <w14:ligatures w14:val="none"/>
              </w:rPr>
              <w:t>(</w:t>
            </w:r>
            <w:proofErr w:type="gramEnd"/>
            <w:r w:rsidRPr="005616E0">
              <w:rPr>
                <w:rFonts w:ascii="Courier New" w:eastAsia="Times New Roman" w:hAnsi="Courier New" w:cs="Courier New"/>
                <w:color w:val="000000"/>
                <w:kern w:val="0"/>
                <w:sz w:val="18"/>
                <w:szCs w:val="18"/>
                <w:lang w:eastAsia="en-GB"/>
                <w14:ligatures w14:val="none"/>
              </w:rPr>
              <w:t>)</w:t>
            </w:r>
          </w:p>
        </w:tc>
        <w:tc>
          <w:tcPr>
            <w:tcW w:w="2654" w:type="dxa"/>
            <w:tcBorders>
              <w:top w:val="nil"/>
              <w:left w:val="nil"/>
              <w:bottom w:val="nil"/>
              <w:right w:val="nil"/>
            </w:tcBorders>
            <w:shd w:val="clear" w:color="auto" w:fill="auto"/>
            <w:vAlign w:val="bottom"/>
            <w:hideMark/>
          </w:tcPr>
          <w:p w14:paraId="4D160474"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Monthly distribution of plant C inputs</w:t>
            </w:r>
            <w:r w:rsidRPr="005616E0">
              <w:rPr>
                <w:rFonts w:ascii="Aptos Narrow" w:eastAsia="Times New Roman" w:hAnsi="Aptos Narrow" w:cs="Times New Roman"/>
                <w:color w:val="000000"/>
                <w:kern w:val="0"/>
                <w:sz w:val="20"/>
                <w:szCs w:val="20"/>
                <w:vertAlign w:val="superscript"/>
                <w:lang w:eastAsia="en-GB"/>
                <w14:ligatures w14:val="none"/>
              </w:rPr>
              <w:t>2</w:t>
            </w:r>
          </w:p>
        </w:tc>
        <w:tc>
          <w:tcPr>
            <w:tcW w:w="1984" w:type="dxa"/>
            <w:tcBorders>
              <w:top w:val="nil"/>
              <w:left w:val="nil"/>
              <w:bottom w:val="nil"/>
              <w:right w:val="nil"/>
            </w:tcBorders>
            <w:shd w:val="clear" w:color="auto" w:fill="auto"/>
            <w:noWrap/>
            <w:vAlign w:val="center"/>
            <w:hideMark/>
          </w:tcPr>
          <w:p w14:paraId="60B5BEAA"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plant_mth_alloc</w:t>
            </w:r>
            <w:proofErr w:type="spellEnd"/>
          </w:p>
        </w:tc>
        <w:tc>
          <w:tcPr>
            <w:tcW w:w="851" w:type="dxa"/>
            <w:tcBorders>
              <w:top w:val="nil"/>
              <w:left w:val="nil"/>
              <w:bottom w:val="nil"/>
              <w:right w:val="nil"/>
            </w:tcBorders>
            <w:shd w:val="clear" w:color="auto" w:fill="auto"/>
            <w:noWrap/>
            <w:vAlign w:val="bottom"/>
            <w:hideMark/>
          </w:tcPr>
          <w:p w14:paraId="37606882"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08961A86"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r>
      <w:tr w:rsidR="005616E0" w:rsidRPr="005616E0" w14:paraId="233FC671" w14:textId="77777777" w:rsidTr="00033969">
        <w:trPr>
          <w:gridAfter w:val="1"/>
          <w:wAfter w:w="325" w:type="dxa"/>
          <w:trHeight w:val="173"/>
        </w:trPr>
        <w:tc>
          <w:tcPr>
            <w:tcW w:w="2733" w:type="dxa"/>
            <w:vMerge/>
            <w:vAlign w:val="center"/>
            <w:hideMark/>
          </w:tcPr>
          <w:p w14:paraId="467BDBF0"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vAlign w:val="bottom"/>
            <w:hideMark/>
          </w:tcPr>
          <w:p w14:paraId="18B16E0B"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Monthly distribution of manure inputs</w:t>
            </w:r>
            <w:r w:rsidRPr="005616E0">
              <w:rPr>
                <w:rFonts w:ascii="Aptos Narrow" w:eastAsia="Times New Roman" w:hAnsi="Aptos Narrow" w:cs="Times New Roman"/>
                <w:color w:val="000000"/>
                <w:kern w:val="0"/>
                <w:sz w:val="20"/>
                <w:szCs w:val="20"/>
                <w:vertAlign w:val="superscript"/>
                <w:lang w:eastAsia="en-GB"/>
                <w14:ligatures w14:val="none"/>
              </w:rPr>
              <w:t>2</w:t>
            </w:r>
          </w:p>
        </w:tc>
        <w:tc>
          <w:tcPr>
            <w:tcW w:w="1984" w:type="dxa"/>
            <w:tcBorders>
              <w:top w:val="nil"/>
              <w:left w:val="nil"/>
              <w:bottom w:val="nil"/>
              <w:right w:val="nil"/>
            </w:tcBorders>
            <w:shd w:val="clear" w:color="auto" w:fill="auto"/>
            <w:noWrap/>
            <w:vAlign w:val="bottom"/>
            <w:hideMark/>
          </w:tcPr>
          <w:p w14:paraId="69D7517E"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manure_mth_alloc</w:t>
            </w:r>
            <w:proofErr w:type="spellEnd"/>
          </w:p>
        </w:tc>
        <w:tc>
          <w:tcPr>
            <w:tcW w:w="851" w:type="dxa"/>
            <w:tcBorders>
              <w:top w:val="nil"/>
              <w:left w:val="nil"/>
              <w:bottom w:val="nil"/>
              <w:right w:val="nil"/>
            </w:tcBorders>
            <w:shd w:val="clear" w:color="auto" w:fill="auto"/>
            <w:noWrap/>
            <w:vAlign w:val="bottom"/>
            <w:hideMark/>
          </w:tcPr>
          <w:p w14:paraId="045E4324"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2F4272ED"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r>
      <w:tr w:rsidR="005616E0" w:rsidRPr="005616E0" w14:paraId="71918B98" w14:textId="77777777" w:rsidTr="00033969">
        <w:trPr>
          <w:gridAfter w:val="1"/>
          <w:wAfter w:w="325" w:type="dxa"/>
          <w:trHeight w:val="173"/>
        </w:trPr>
        <w:tc>
          <w:tcPr>
            <w:tcW w:w="2733" w:type="dxa"/>
            <w:vMerge/>
            <w:vAlign w:val="center"/>
            <w:hideMark/>
          </w:tcPr>
          <w:p w14:paraId="60AC9672"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5814727F"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Fraction of manure to HUM</w:t>
            </w:r>
            <w:r w:rsidRPr="005616E0">
              <w:rPr>
                <w:rFonts w:ascii="Aptos Narrow" w:eastAsia="Times New Roman" w:hAnsi="Aptos Narrow" w:cs="Times New Roman"/>
                <w:color w:val="000000"/>
                <w:kern w:val="0"/>
                <w:sz w:val="20"/>
                <w:szCs w:val="20"/>
                <w:vertAlign w:val="superscript"/>
                <w:lang w:eastAsia="en-GB"/>
                <w14:ligatures w14:val="none"/>
              </w:rPr>
              <w:t>3</w:t>
            </w:r>
          </w:p>
        </w:tc>
        <w:tc>
          <w:tcPr>
            <w:tcW w:w="1984" w:type="dxa"/>
            <w:tcBorders>
              <w:top w:val="nil"/>
              <w:left w:val="nil"/>
              <w:bottom w:val="nil"/>
              <w:right w:val="nil"/>
            </w:tcBorders>
            <w:shd w:val="clear" w:color="auto" w:fill="auto"/>
            <w:noWrap/>
            <w:vAlign w:val="bottom"/>
            <w:hideMark/>
          </w:tcPr>
          <w:p w14:paraId="23795F3C"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f_man_hum</w:t>
            </w:r>
            <w:proofErr w:type="spellEnd"/>
          </w:p>
        </w:tc>
        <w:tc>
          <w:tcPr>
            <w:tcW w:w="851" w:type="dxa"/>
            <w:tcBorders>
              <w:top w:val="nil"/>
              <w:left w:val="nil"/>
              <w:bottom w:val="nil"/>
              <w:right w:val="nil"/>
            </w:tcBorders>
            <w:shd w:val="clear" w:color="auto" w:fill="auto"/>
            <w:noWrap/>
            <w:vAlign w:val="bottom"/>
            <w:hideMark/>
          </w:tcPr>
          <w:p w14:paraId="02474642"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035F1411"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0.192</w:t>
            </w:r>
          </w:p>
        </w:tc>
      </w:tr>
      <w:tr w:rsidR="005616E0" w:rsidRPr="005616E0" w14:paraId="7F616EB8" w14:textId="77777777" w:rsidTr="00033969">
        <w:trPr>
          <w:gridAfter w:val="1"/>
          <w:wAfter w:w="325" w:type="dxa"/>
          <w:trHeight w:val="57"/>
        </w:trPr>
        <w:tc>
          <w:tcPr>
            <w:tcW w:w="2733" w:type="dxa"/>
            <w:tcBorders>
              <w:top w:val="nil"/>
              <w:left w:val="nil"/>
              <w:bottom w:val="nil"/>
              <w:right w:val="nil"/>
            </w:tcBorders>
            <w:shd w:val="clear" w:color="auto" w:fill="auto"/>
            <w:vAlign w:val="center"/>
            <w:hideMark/>
          </w:tcPr>
          <w:p w14:paraId="77A5389F"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187A2AC5"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c>
          <w:tcPr>
            <w:tcW w:w="1984" w:type="dxa"/>
            <w:tcBorders>
              <w:top w:val="nil"/>
              <w:left w:val="nil"/>
              <w:bottom w:val="nil"/>
              <w:right w:val="nil"/>
            </w:tcBorders>
            <w:shd w:val="clear" w:color="auto" w:fill="auto"/>
            <w:noWrap/>
            <w:vAlign w:val="bottom"/>
            <w:hideMark/>
          </w:tcPr>
          <w:p w14:paraId="21C7768C" w14:textId="77777777" w:rsidR="005616E0" w:rsidRPr="005616E0" w:rsidRDefault="005616E0" w:rsidP="005616E0">
            <w:pPr>
              <w:spacing w:after="0" w:line="240" w:lineRule="auto"/>
              <w:rPr>
                <w:rFonts w:ascii="Courier New" w:eastAsia="Times New Roman" w:hAnsi="Courier New" w:cs="Courier New"/>
                <w:kern w:val="0"/>
                <w:sz w:val="18"/>
                <w:szCs w:val="18"/>
                <w:lang w:eastAsia="en-GB"/>
                <w14:ligatures w14:val="none"/>
              </w:rPr>
            </w:pPr>
          </w:p>
        </w:tc>
        <w:tc>
          <w:tcPr>
            <w:tcW w:w="851" w:type="dxa"/>
            <w:tcBorders>
              <w:top w:val="nil"/>
              <w:left w:val="nil"/>
              <w:bottom w:val="nil"/>
              <w:right w:val="nil"/>
            </w:tcBorders>
            <w:shd w:val="clear" w:color="auto" w:fill="auto"/>
            <w:noWrap/>
            <w:vAlign w:val="bottom"/>
            <w:hideMark/>
          </w:tcPr>
          <w:p w14:paraId="7C1BAE6D" w14:textId="77777777" w:rsidR="005616E0" w:rsidRPr="005616E0" w:rsidRDefault="005616E0" w:rsidP="005616E0">
            <w:pPr>
              <w:spacing w:after="0" w:line="240" w:lineRule="auto"/>
              <w:rPr>
                <w:rFonts w:ascii="Times New Roman" w:eastAsia="Times New Roman" w:hAnsi="Times New Roman" w:cs="Times New Roman"/>
                <w:kern w:val="0"/>
                <w:sz w:val="18"/>
                <w:szCs w:val="18"/>
                <w:lang w:eastAsia="en-GB"/>
                <w14:ligatures w14:val="none"/>
              </w:rPr>
            </w:pPr>
          </w:p>
        </w:tc>
        <w:tc>
          <w:tcPr>
            <w:tcW w:w="992" w:type="dxa"/>
            <w:tcBorders>
              <w:top w:val="nil"/>
              <w:left w:val="nil"/>
              <w:bottom w:val="nil"/>
              <w:right w:val="nil"/>
            </w:tcBorders>
            <w:shd w:val="clear" w:color="auto" w:fill="auto"/>
            <w:noWrap/>
            <w:vAlign w:val="bottom"/>
            <w:hideMark/>
          </w:tcPr>
          <w:p w14:paraId="4CFF7612"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r>
      <w:tr w:rsidR="005616E0" w:rsidRPr="005616E0" w14:paraId="17CF03E8" w14:textId="77777777" w:rsidTr="00033969">
        <w:trPr>
          <w:gridAfter w:val="1"/>
          <w:wAfter w:w="325" w:type="dxa"/>
          <w:trHeight w:val="173"/>
        </w:trPr>
        <w:tc>
          <w:tcPr>
            <w:tcW w:w="2733" w:type="dxa"/>
            <w:tcBorders>
              <w:top w:val="nil"/>
              <w:left w:val="nil"/>
              <w:bottom w:val="nil"/>
              <w:right w:val="nil"/>
            </w:tcBorders>
            <w:shd w:val="clear" w:color="auto" w:fill="auto"/>
            <w:vAlign w:val="center"/>
            <w:hideMark/>
          </w:tcPr>
          <w:p w14:paraId="57E19568"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C inputs</w:t>
            </w:r>
          </w:p>
          <w:p w14:paraId="042DADB2"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define_</w:t>
            </w:r>
            <w:proofErr w:type="gramStart"/>
            <w:r w:rsidRPr="005616E0">
              <w:rPr>
                <w:rFonts w:ascii="Courier New" w:eastAsia="Times New Roman" w:hAnsi="Courier New" w:cs="Courier New"/>
                <w:color w:val="000000"/>
                <w:kern w:val="0"/>
                <w:sz w:val="18"/>
                <w:szCs w:val="18"/>
                <w:lang w:eastAsia="en-GB"/>
                <w14:ligatures w14:val="none"/>
              </w:rPr>
              <w:t>Cinputs</w:t>
            </w:r>
            <w:proofErr w:type="spellEnd"/>
            <w:r w:rsidRPr="005616E0">
              <w:rPr>
                <w:rFonts w:ascii="Courier New" w:eastAsia="Times New Roman" w:hAnsi="Courier New" w:cs="Courier New"/>
                <w:color w:val="000000"/>
                <w:kern w:val="0"/>
                <w:sz w:val="18"/>
                <w:szCs w:val="18"/>
                <w:lang w:eastAsia="en-GB"/>
                <w14:ligatures w14:val="none"/>
              </w:rPr>
              <w:t>(</w:t>
            </w:r>
            <w:proofErr w:type="gramEnd"/>
            <w:r w:rsidRPr="005616E0">
              <w:rPr>
                <w:rFonts w:ascii="Courier New" w:eastAsia="Times New Roman" w:hAnsi="Courier New" w:cs="Courier New"/>
                <w:color w:val="000000"/>
                <w:kern w:val="0"/>
                <w:sz w:val="18"/>
                <w:szCs w:val="18"/>
                <w:lang w:eastAsia="en-GB"/>
                <w14:ligatures w14:val="none"/>
              </w:rPr>
              <w:t>)</w:t>
            </w:r>
          </w:p>
        </w:tc>
        <w:tc>
          <w:tcPr>
            <w:tcW w:w="2654" w:type="dxa"/>
            <w:tcBorders>
              <w:top w:val="nil"/>
              <w:left w:val="nil"/>
              <w:bottom w:val="nil"/>
              <w:right w:val="nil"/>
            </w:tcBorders>
            <w:shd w:val="clear" w:color="auto" w:fill="auto"/>
            <w:noWrap/>
            <w:vAlign w:val="bottom"/>
            <w:hideMark/>
          </w:tcPr>
          <w:p w14:paraId="676D4341"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From plants in the topsoil</w:t>
            </w:r>
            <w:r w:rsidRPr="005616E0">
              <w:rPr>
                <w:rFonts w:ascii="Aptos Narrow" w:eastAsia="Times New Roman" w:hAnsi="Aptos Narrow" w:cs="Times New Roman"/>
                <w:color w:val="000000"/>
                <w:kern w:val="0"/>
                <w:sz w:val="20"/>
                <w:szCs w:val="20"/>
                <w:vertAlign w:val="superscript"/>
                <w:lang w:eastAsia="en-GB"/>
                <w14:ligatures w14:val="none"/>
              </w:rPr>
              <w:t>4</w:t>
            </w:r>
          </w:p>
        </w:tc>
        <w:tc>
          <w:tcPr>
            <w:tcW w:w="1984" w:type="dxa"/>
            <w:tcBorders>
              <w:top w:val="nil"/>
              <w:left w:val="nil"/>
              <w:bottom w:val="nil"/>
              <w:right w:val="nil"/>
            </w:tcBorders>
            <w:shd w:val="clear" w:color="auto" w:fill="auto"/>
            <w:noWrap/>
            <w:vAlign w:val="bottom"/>
            <w:hideMark/>
          </w:tcPr>
          <w:p w14:paraId="65B9FA4A"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Cin_top</w:t>
            </w:r>
            <w:proofErr w:type="spellEnd"/>
          </w:p>
        </w:tc>
        <w:tc>
          <w:tcPr>
            <w:tcW w:w="851" w:type="dxa"/>
            <w:tcBorders>
              <w:top w:val="nil"/>
              <w:left w:val="nil"/>
              <w:bottom w:val="nil"/>
              <w:right w:val="nil"/>
            </w:tcBorders>
            <w:shd w:val="clear" w:color="auto" w:fill="auto"/>
            <w:noWrap/>
            <w:vAlign w:val="bottom"/>
            <w:hideMark/>
          </w:tcPr>
          <w:p w14:paraId="2AC3D561"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Mg/ha </w:t>
            </w:r>
            <w:proofErr w:type="spellStart"/>
            <w:r w:rsidRPr="005616E0">
              <w:rPr>
                <w:rFonts w:ascii="Aptos Narrow" w:eastAsia="Times New Roman" w:hAnsi="Aptos Narrow" w:cs="Times New Roman"/>
                <w:color w:val="000000"/>
                <w:kern w:val="0"/>
                <w:sz w:val="18"/>
                <w:szCs w:val="18"/>
                <w:lang w:eastAsia="en-GB"/>
                <w14:ligatures w14:val="none"/>
              </w:rPr>
              <w:t>yr</w:t>
            </w:r>
            <w:proofErr w:type="spellEnd"/>
          </w:p>
        </w:tc>
        <w:tc>
          <w:tcPr>
            <w:tcW w:w="992" w:type="dxa"/>
            <w:tcBorders>
              <w:top w:val="nil"/>
              <w:left w:val="nil"/>
              <w:bottom w:val="nil"/>
              <w:right w:val="nil"/>
            </w:tcBorders>
            <w:shd w:val="clear" w:color="auto" w:fill="auto"/>
            <w:noWrap/>
            <w:vAlign w:val="bottom"/>
            <w:hideMark/>
          </w:tcPr>
          <w:p w14:paraId="35DDC4AD"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 xml:space="preserve">  </w:t>
            </w:r>
          </w:p>
        </w:tc>
      </w:tr>
      <w:tr w:rsidR="005616E0" w:rsidRPr="005616E0" w14:paraId="4B26962C" w14:textId="77777777" w:rsidTr="00033969">
        <w:trPr>
          <w:gridAfter w:val="1"/>
          <w:wAfter w:w="325" w:type="dxa"/>
          <w:trHeight w:val="173"/>
        </w:trPr>
        <w:tc>
          <w:tcPr>
            <w:tcW w:w="2733" w:type="dxa"/>
            <w:tcBorders>
              <w:top w:val="nil"/>
              <w:left w:val="nil"/>
              <w:bottom w:val="nil"/>
              <w:right w:val="nil"/>
            </w:tcBorders>
            <w:shd w:val="clear" w:color="auto" w:fill="auto"/>
            <w:vAlign w:val="center"/>
            <w:hideMark/>
          </w:tcPr>
          <w:p w14:paraId="7BD593B3"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4B90319D"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From plants in the subpsoil</w:t>
            </w:r>
            <w:r w:rsidRPr="005616E0">
              <w:rPr>
                <w:rFonts w:ascii="Aptos Narrow" w:eastAsia="Times New Roman" w:hAnsi="Aptos Narrow" w:cs="Times New Roman"/>
                <w:color w:val="000000"/>
                <w:kern w:val="0"/>
                <w:sz w:val="20"/>
                <w:szCs w:val="20"/>
                <w:vertAlign w:val="superscript"/>
                <w:lang w:eastAsia="en-GB"/>
                <w14:ligatures w14:val="none"/>
              </w:rPr>
              <w:t>4</w:t>
            </w:r>
          </w:p>
        </w:tc>
        <w:tc>
          <w:tcPr>
            <w:tcW w:w="1984" w:type="dxa"/>
            <w:tcBorders>
              <w:top w:val="nil"/>
              <w:left w:val="nil"/>
              <w:bottom w:val="nil"/>
              <w:right w:val="nil"/>
            </w:tcBorders>
            <w:shd w:val="clear" w:color="auto" w:fill="auto"/>
            <w:noWrap/>
            <w:vAlign w:val="bottom"/>
            <w:hideMark/>
          </w:tcPr>
          <w:p w14:paraId="75CC29FA"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Cin_sub</w:t>
            </w:r>
            <w:proofErr w:type="spellEnd"/>
          </w:p>
        </w:tc>
        <w:tc>
          <w:tcPr>
            <w:tcW w:w="851" w:type="dxa"/>
            <w:tcBorders>
              <w:top w:val="nil"/>
              <w:left w:val="nil"/>
              <w:bottom w:val="nil"/>
              <w:right w:val="nil"/>
            </w:tcBorders>
            <w:shd w:val="clear" w:color="auto" w:fill="auto"/>
            <w:noWrap/>
            <w:vAlign w:val="bottom"/>
            <w:hideMark/>
          </w:tcPr>
          <w:p w14:paraId="347342C6"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Mg/ha </w:t>
            </w:r>
            <w:proofErr w:type="spellStart"/>
            <w:r w:rsidRPr="005616E0">
              <w:rPr>
                <w:rFonts w:ascii="Aptos Narrow" w:eastAsia="Times New Roman" w:hAnsi="Aptos Narrow" w:cs="Times New Roman"/>
                <w:color w:val="000000"/>
                <w:kern w:val="0"/>
                <w:sz w:val="18"/>
                <w:szCs w:val="18"/>
                <w:lang w:eastAsia="en-GB"/>
                <w14:ligatures w14:val="none"/>
              </w:rPr>
              <w:t>yr</w:t>
            </w:r>
            <w:proofErr w:type="spellEnd"/>
          </w:p>
        </w:tc>
        <w:tc>
          <w:tcPr>
            <w:tcW w:w="992" w:type="dxa"/>
            <w:tcBorders>
              <w:top w:val="nil"/>
              <w:left w:val="nil"/>
              <w:bottom w:val="nil"/>
              <w:right w:val="nil"/>
            </w:tcBorders>
            <w:shd w:val="clear" w:color="auto" w:fill="auto"/>
            <w:noWrap/>
            <w:vAlign w:val="bottom"/>
            <w:hideMark/>
          </w:tcPr>
          <w:p w14:paraId="44D56F96"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r>
      <w:tr w:rsidR="005616E0" w:rsidRPr="005616E0" w14:paraId="7C2D4BEA" w14:textId="77777777" w:rsidTr="00033969">
        <w:trPr>
          <w:gridAfter w:val="1"/>
          <w:wAfter w:w="325" w:type="dxa"/>
          <w:trHeight w:val="173"/>
        </w:trPr>
        <w:tc>
          <w:tcPr>
            <w:tcW w:w="2733" w:type="dxa"/>
            <w:tcBorders>
              <w:top w:val="nil"/>
              <w:left w:val="nil"/>
              <w:bottom w:val="nil"/>
              <w:right w:val="nil"/>
            </w:tcBorders>
            <w:shd w:val="clear" w:color="auto" w:fill="auto"/>
            <w:vAlign w:val="center"/>
            <w:hideMark/>
          </w:tcPr>
          <w:p w14:paraId="225BF72B"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3D25F6A7"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From manure</w:t>
            </w:r>
            <w:r w:rsidRPr="005616E0">
              <w:rPr>
                <w:rFonts w:ascii="Aptos Narrow" w:eastAsia="Times New Roman" w:hAnsi="Aptos Narrow" w:cs="Times New Roman"/>
                <w:color w:val="000000"/>
                <w:kern w:val="0"/>
                <w:sz w:val="20"/>
                <w:szCs w:val="20"/>
                <w:vertAlign w:val="superscript"/>
                <w:lang w:eastAsia="en-GB"/>
                <w14:ligatures w14:val="none"/>
              </w:rPr>
              <w:t>4</w:t>
            </w:r>
          </w:p>
        </w:tc>
        <w:tc>
          <w:tcPr>
            <w:tcW w:w="1984" w:type="dxa"/>
            <w:tcBorders>
              <w:top w:val="nil"/>
              <w:left w:val="nil"/>
              <w:bottom w:val="nil"/>
              <w:right w:val="nil"/>
            </w:tcBorders>
            <w:shd w:val="clear" w:color="auto" w:fill="auto"/>
            <w:noWrap/>
            <w:vAlign w:val="bottom"/>
            <w:hideMark/>
          </w:tcPr>
          <w:p w14:paraId="747429D3"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Cin_man</w:t>
            </w:r>
            <w:proofErr w:type="spellEnd"/>
          </w:p>
        </w:tc>
        <w:tc>
          <w:tcPr>
            <w:tcW w:w="851" w:type="dxa"/>
            <w:tcBorders>
              <w:top w:val="nil"/>
              <w:left w:val="nil"/>
              <w:bottom w:val="nil"/>
              <w:right w:val="nil"/>
            </w:tcBorders>
            <w:shd w:val="clear" w:color="auto" w:fill="auto"/>
            <w:noWrap/>
            <w:vAlign w:val="bottom"/>
            <w:hideMark/>
          </w:tcPr>
          <w:p w14:paraId="27757698"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Mg/ha </w:t>
            </w:r>
            <w:proofErr w:type="spellStart"/>
            <w:r w:rsidRPr="005616E0">
              <w:rPr>
                <w:rFonts w:ascii="Aptos Narrow" w:eastAsia="Times New Roman" w:hAnsi="Aptos Narrow" w:cs="Times New Roman"/>
                <w:color w:val="000000"/>
                <w:kern w:val="0"/>
                <w:sz w:val="18"/>
                <w:szCs w:val="18"/>
                <w:lang w:eastAsia="en-GB"/>
                <w14:ligatures w14:val="none"/>
              </w:rPr>
              <w:t>yr</w:t>
            </w:r>
            <w:proofErr w:type="spellEnd"/>
          </w:p>
        </w:tc>
        <w:tc>
          <w:tcPr>
            <w:tcW w:w="992" w:type="dxa"/>
            <w:tcBorders>
              <w:top w:val="nil"/>
              <w:left w:val="nil"/>
              <w:bottom w:val="nil"/>
              <w:right w:val="nil"/>
            </w:tcBorders>
            <w:shd w:val="clear" w:color="auto" w:fill="auto"/>
            <w:noWrap/>
            <w:vAlign w:val="bottom"/>
            <w:hideMark/>
          </w:tcPr>
          <w:p w14:paraId="60537145"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r>
      <w:tr w:rsidR="005616E0" w:rsidRPr="005616E0" w14:paraId="0BDFE493" w14:textId="77777777" w:rsidTr="00033969">
        <w:trPr>
          <w:gridAfter w:val="1"/>
          <w:wAfter w:w="325" w:type="dxa"/>
          <w:trHeight w:val="57"/>
        </w:trPr>
        <w:tc>
          <w:tcPr>
            <w:tcW w:w="2733" w:type="dxa"/>
            <w:tcBorders>
              <w:top w:val="nil"/>
              <w:left w:val="nil"/>
              <w:bottom w:val="nil"/>
              <w:right w:val="nil"/>
            </w:tcBorders>
            <w:shd w:val="clear" w:color="auto" w:fill="auto"/>
            <w:vAlign w:val="center"/>
            <w:hideMark/>
          </w:tcPr>
          <w:p w14:paraId="70C646C4"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0195C9AA"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c>
          <w:tcPr>
            <w:tcW w:w="1984" w:type="dxa"/>
            <w:tcBorders>
              <w:top w:val="nil"/>
              <w:left w:val="nil"/>
              <w:bottom w:val="nil"/>
              <w:right w:val="nil"/>
            </w:tcBorders>
            <w:shd w:val="clear" w:color="auto" w:fill="auto"/>
            <w:noWrap/>
            <w:vAlign w:val="bottom"/>
            <w:hideMark/>
          </w:tcPr>
          <w:p w14:paraId="6A6626FE" w14:textId="77777777" w:rsidR="005616E0" w:rsidRPr="005616E0" w:rsidRDefault="005616E0" w:rsidP="005616E0">
            <w:pPr>
              <w:spacing w:after="0" w:line="240" w:lineRule="auto"/>
              <w:rPr>
                <w:rFonts w:ascii="Courier New" w:eastAsia="Times New Roman" w:hAnsi="Courier New" w:cs="Courier New"/>
                <w:kern w:val="0"/>
                <w:sz w:val="18"/>
                <w:szCs w:val="18"/>
                <w:lang w:eastAsia="en-GB"/>
                <w14:ligatures w14:val="none"/>
              </w:rPr>
            </w:pPr>
          </w:p>
        </w:tc>
        <w:tc>
          <w:tcPr>
            <w:tcW w:w="851" w:type="dxa"/>
            <w:tcBorders>
              <w:top w:val="nil"/>
              <w:left w:val="nil"/>
              <w:bottom w:val="nil"/>
              <w:right w:val="nil"/>
            </w:tcBorders>
            <w:shd w:val="clear" w:color="auto" w:fill="auto"/>
            <w:noWrap/>
            <w:vAlign w:val="bottom"/>
            <w:hideMark/>
          </w:tcPr>
          <w:p w14:paraId="6BF2CCDE" w14:textId="77777777" w:rsidR="005616E0" w:rsidRPr="005616E0" w:rsidRDefault="005616E0" w:rsidP="005616E0">
            <w:pPr>
              <w:spacing w:after="0" w:line="240" w:lineRule="auto"/>
              <w:rPr>
                <w:rFonts w:ascii="Times New Roman" w:eastAsia="Times New Roman" w:hAnsi="Times New Roman" w:cs="Times New Roman"/>
                <w:kern w:val="0"/>
                <w:sz w:val="18"/>
                <w:szCs w:val="18"/>
                <w:lang w:eastAsia="en-GB"/>
                <w14:ligatures w14:val="none"/>
              </w:rPr>
            </w:pPr>
          </w:p>
        </w:tc>
        <w:tc>
          <w:tcPr>
            <w:tcW w:w="992" w:type="dxa"/>
            <w:tcBorders>
              <w:top w:val="nil"/>
              <w:left w:val="nil"/>
              <w:bottom w:val="nil"/>
              <w:right w:val="nil"/>
            </w:tcBorders>
            <w:shd w:val="clear" w:color="auto" w:fill="auto"/>
            <w:noWrap/>
            <w:vAlign w:val="bottom"/>
            <w:hideMark/>
          </w:tcPr>
          <w:p w14:paraId="5CAA49D9"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r>
      <w:tr w:rsidR="005616E0" w:rsidRPr="005616E0" w14:paraId="5B0105E5" w14:textId="77777777" w:rsidTr="00033969">
        <w:trPr>
          <w:gridAfter w:val="1"/>
          <w:wAfter w:w="325" w:type="dxa"/>
          <w:trHeight w:val="173"/>
        </w:trPr>
        <w:tc>
          <w:tcPr>
            <w:tcW w:w="2733" w:type="dxa"/>
            <w:vMerge w:val="restart"/>
            <w:tcBorders>
              <w:top w:val="nil"/>
              <w:left w:val="nil"/>
              <w:bottom w:val="nil"/>
              <w:right w:val="nil"/>
            </w:tcBorders>
            <w:shd w:val="clear" w:color="auto" w:fill="auto"/>
            <w:vAlign w:val="center"/>
            <w:hideMark/>
          </w:tcPr>
          <w:p w14:paraId="27508D9B"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 xml:space="preserve">Temperature </w:t>
            </w:r>
            <w:proofErr w:type="spellStart"/>
            <w:r w:rsidRPr="005616E0">
              <w:rPr>
                <w:rFonts w:ascii="Courier New" w:eastAsia="Times New Roman" w:hAnsi="Courier New" w:cs="Courier New"/>
                <w:color w:val="000000"/>
                <w:kern w:val="0"/>
                <w:sz w:val="18"/>
                <w:szCs w:val="18"/>
                <w:lang w:eastAsia="en-GB"/>
                <w14:ligatures w14:val="none"/>
              </w:rPr>
              <w:t>prepare_</w:t>
            </w:r>
            <w:proofErr w:type="gramStart"/>
            <w:r w:rsidRPr="005616E0">
              <w:rPr>
                <w:rFonts w:ascii="Courier New" w:eastAsia="Times New Roman" w:hAnsi="Courier New" w:cs="Courier New"/>
                <w:color w:val="000000"/>
                <w:kern w:val="0"/>
                <w:sz w:val="18"/>
                <w:szCs w:val="18"/>
                <w:lang w:eastAsia="en-GB"/>
                <w14:ligatures w14:val="none"/>
              </w:rPr>
              <w:t>temperature</w:t>
            </w:r>
            <w:proofErr w:type="spellEnd"/>
            <w:r w:rsidRPr="005616E0">
              <w:rPr>
                <w:rFonts w:ascii="Courier New" w:eastAsia="Times New Roman" w:hAnsi="Courier New" w:cs="Courier New"/>
                <w:color w:val="000000"/>
                <w:kern w:val="0"/>
                <w:sz w:val="18"/>
                <w:szCs w:val="18"/>
                <w:lang w:eastAsia="en-GB"/>
                <w14:ligatures w14:val="none"/>
              </w:rPr>
              <w:t>(</w:t>
            </w:r>
            <w:proofErr w:type="gramEnd"/>
            <w:r w:rsidRPr="005616E0">
              <w:rPr>
                <w:rFonts w:ascii="Courier New" w:eastAsia="Times New Roman" w:hAnsi="Courier New" w:cs="Courier New"/>
                <w:color w:val="000000"/>
                <w:kern w:val="0"/>
                <w:sz w:val="18"/>
                <w:szCs w:val="18"/>
                <w:lang w:eastAsia="en-GB"/>
                <w14:ligatures w14:val="none"/>
              </w:rPr>
              <w:t>)</w:t>
            </w:r>
          </w:p>
        </w:tc>
        <w:tc>
          <w:tcPr>
            <w:tcW w:w="2654" w:type="dxa"/>
            <w:tcBorders>
              <w:top w:val="nil"/>
              <w:left w:val="nil"/>
              <w:bottom w:val="nil"/>
              <w:right w:val="nil"/>
            </w:tcBorders>
            <w:shd w:val="clear" w:color="auto" w:fill="auto"/>
            <w:noWrap/>
            <w:vAlign w:val="bottom"/>
            <w:hideMark/>
          </w:tcPr>
          <w:p w14:paraId="5855419C"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 xml:space="preserve">Average monthly daily air temperature </w:t>
            </w:r>
          </w:p>
        </w:tc>
        <w:tc>
          <w:tcPr>
            <w:tcW w:w="1984" w:type="dxa"/>
            <w:tcBorders>
              <w:top w:val="nil"/>
              <w:left w:val="nil"/>
              <w:bottom w:val="nil"/>
              <w:right w:val="nil"/>
            </w:tcBorders>
            <w:shd w:val="clear" w:color="auto" w:fill="auto"/>
            <w:noWrap/>
            <w:vAlign w:val="bottom"/>
            <w:hideMark/>
          </w:tcPr>
          <w:p w14:paraId="59C2D064"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Tave_col</w:t>
            </w:r>
            <w:proofErr w:type="spellEnd"/>
          </w:p>
        </w:tc>
        <w:tc>
          <w:tcPr>
            <w:tcW w:w="851" w:type="dxa"/>
            <w:tcBorders>
              <w:top w:val="nil"/>
              <w:left w:val="nil"/>
              <w:bottom w:val="nil"/>
              <w:right w:val="nil"/>
            </w:tcBorders>
            <w:shd w:val="clear" w:color="auto" w:fill="auto"/>
            <w:noWrap/>
            <w:vAlign w:val="bottom"/>
            <w:hideMark/>
          </w:tcPr>
          <w:p w14:paraId="21C17A8D" w14:textId="77777777" w:rsidR="005616E0" w:rsidRPr="005616E0" w:rsidRDefault="005616E0" w:rsidP="005616E0">
            <w:pPr>
              <w:spacing w:after="0" w:line="240" w:lineRule="auto"/>
              <w:rPr>
                <w:rFonts w:ascii="Calibri" w:eastAsia="Times New Roman" w:hAnsi="Calibri" w:cs="Calibri"/>
                <w:color w:val="000000"/>
                <w:kern w:val="0"/>
                <w:sz w:val="18"/>
                <w:szCs w:val="18"/>
                <w:lang w:eastAsia="en-GB"/>
                <w14:ligatures w14:val="none"/>
              </w:rPr>
            </w:pPr>
            <w:r w:rsidRPr="005616E0">
              <w:rPr>
                <w:rFonts w:ascii="Calibri" w:eastAsia="Times New Roman" w:hAnsi="Calibri" w:cs="Calibri"/>
                <w:color w:val="000000"/>
                <w:kern w:val="0"/>
                <w:sz w:val="18"/>
                <w:szCs w:val="18"/>
                <w:vertAlign w:val="superscript"/>
                <w:lang w:eastAsia="en-GB"/>
                <w14:ligatures w14:val="none"/>
              </w:rPr>
              <w:t>◦</w:t>
            </w:r>
            <w:r w:rsidRPr="005616E0">
              <w:rPr>
                <w:rFonts w:ascii="Calibri" w:eastAsia="Times New Roman" w:hAnsi="Calibri" w:cs="Calibri"/>
                <w:color w:val="000000"/>
                <w:kern w:val="0"/>
                <w:sz w:val="18"/>
                <w:szCs w:val="18"/>
                <w:lang w:eastAsia="en-GB"/>
                <w14:ligatures w14:val="none"/>
              </w:rPr>
              <w:t>C</w:t>
            </w:r>
          </w:p>
        </w:tc>
        <w:tc>
          <w:tcPr>
            <w:tcW w:w="992" w:type="dxa"/>
            <w:tcBorders>
              <w:top w:val="nil"/>
              <w:left w:val="nil"/>
              <w:bottom w:val="nil"/>
              <w:right w:val="nil"/>
            </w:tcBorders>
            <w:shd w:val="clear" w:color="auto" w:fill="auto"/>
            <w:noWrap/>
            <w:vAlign w:val="bottom"/>
            <w:hideMark/>
          </w:tcPr>
          <w:p w14:paraId="16872E1F" w14:textId="77777777" w:rsidR="005616E0" w:rsidRPr="005616E0" w:rsidRDefault="005616E0" w:rsidP="005616E0">
            <w:pPr>
              <w:spacing w:after="0" w:line="240" w:lineRule="auto"/>
              <w:rPr>
                <w:rFonts w:ascii="Calibri" w:eastAsia="Times New Roman" w:hAnsi="Calibri" w:cs="Calibri"/>
                <w:color w:val="000000"/>
                <w:kern w:val="0"/>
                <w:sz w:val="20"/>
                <w:szCs w:val="20"/>
                <w:lang w:eastAsia="en-GB"/>
                <w14:ligatures w14:val="none"/>
              </w:rPr>
            </w:pPr>
          </w:p>
        </w:tc>
      </w:tr>
      <w:tr w:rsidR="005616E0" w:rsidRPr="005616E0" w14:paraId="50172A21" w14:textId="77777777" w:rsidTr="00033969">
        <w:trPr>
          <w:gridAfter w:val="1"/>
          <w:wAfter w:w="325" w:type="dxa"/>
          <w:trHeight w:val="173"/>
        </w:trPr>
        <w:tc>
          <w:tcPr>
            <w:tcW w:w="2733" w:type="dxa"/>
            <w:vMerge/>
            <w:vAlign w:val="center"/>
            <w:hideMark/>
          </w:tcPr>
          <w:p w14:paraId="514C0997"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6D18D92B"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Average monthly daily air amplitude</w:t>
            </w:r>
          </w:p>
        </w:tc>
        <w:tc>
          <w:tcPr>
            <w:tcW w:w="1984" w:type="dxa"/>
            <w:tcBorders>
              <w:top w:val="nil"/>
              <w:left w:val="nil"/>
              <w:bottom w:val="nil"/>
              <w:right w:val="nil"/>
            </w:tcBorders>
            <w:shd w:val="clear" w:color="auto" w:fill="auto"/>
            <w:noWrap/>
            <w:vAlign w:val="bottom"/>
            <w:hideMark/>
          </w:tcPr>
          <w:p w14:paraId="6D50355D"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Trange_col</w:t>
            </w:r>
            <w:proofErr w:type="spellEnd"/>
          </w:p>
        </w:tc>
        <w:tc>
          <w:tcPr>
            <w:tcW w:w="851" w:type="dxa"/>
            <w:tcBorders>
              <w:top w:val="nil"/>
              <w:left w:val="nil"/>
              <w:bottom w:val="nil"/>
              <w:right w:val="nil"/>
            </w:tcBorders>
            <w:shd w:val="clear" w:color="auto" w:fill="auto"/>
            <w:noWrap/>
            <w:vAlign w:val="bottom"/>
            <w:hideMark/>
          </w:tcPr>
          <w:p w14:paraId="391C1C9C" w14:textId="77777777" w:rsidR="005616E0" w:rsidRPr="005616E0" w:rsidRDefault="005616E0" w:rsidP="005616E0">
            <w:pPr>
              <w:spacing w:after="0" w:line="240" w:lineRule="auto"/>
              <w:rPr>
                <w:rFonts w:ascii="Calibri" w:eastAsia="Times New Roman" w:hAnsi="Calibri" w:cs="Calibri"/>
                <w:color w:val="000000"/>
                <w:kern w:val="0"/>
                <w:sz w:val="18"/>
                <w:szCs w:val="18"/>
                <w:lang w:eastAsia="en-GB"/>
                <w14:ligatures w14:val="none"/>
              </w:rPr>
            </w:pPr>
            <w:r w:rsidRPr="005616E0">
              <w:rPr>
                <w:rFonts w:ascii="Calibri" w:eastAsia="Times New Roman" w:hAnsi="Calibri" w:cs="Calibri"/>
                <w:color w:val="000000"/>
                <w:kern w:val="0"/>
                <w:sz w:val="18"/>
                <w:szCs w:val="18"/>
                <w:vertAlign w:val="superscript"/>
                <w:lang w:eastAsia="en-GB"/>
                <w14:ligatures w14:val="none"/>
              </w:rPr>
              <w:t>◦</w:t>
            </w:r>
            <w:r w:rsidRPr="005616E0">
              <w:rPr>
                <w:rFonts w:ascii="Calibri" w:eastAsia="Times New Roman" w:hAnsi="Calibri" w:cs="Calibri"/>
                <w:color w:val="000000"/>
                <w:kern w:val="0"/>
                <w:sz w:val="18"/>
                <w:szCs w:val="18"/>
                <w:lang w:eastAsia="en-GB"/>
                <w14:ligatures w14:val="none"/>
              </w:rPr>
              <w:t>C</w:t>
            </w:r>
          </w:p>
        </w:tc>
        <w:tc>
          <w:tcPr>
            <w:tcW w:w="992" w:type="dxa"/>
            <w:tcBorders>
              <w:top w:val="nil"/>
              <w:left w:val="nil"/>
              <w:bottom w:val="nil"/>
              <w:right w:val="nil"/>
            </w:tcBorders>
            <w:shd w:val="clear" w:color="auto" w:fill="auto"/>
            <w:noWrap/>
            <w:vAlign w:val="bottom"/>
            <w:hideMark/>
          </w:tcPr>
          <w:p w14:paraId="06824ED6" w14:textId="77777777" w:rsidR="005616E0" w:rsidRPr="005616E0" w:rsidRDefault="005616E0" w:rsidP="005616E0">
            <w:pPr>
              <w:spacing w:after="0" w:line="240" w:lineRule="auto"/>
              <w:rPr>
                <w:rFonts w:ascii="Calibri" w:eastAsia="Times New Roman" w:hAnsi="Calibri" w:cs="Calibri"/>
                <w:color w:val="000000"/>
                <w:kern w:val="0"/>
                <w:sz w:val="20"/>
                <w:szCs w:val="20"/>
                <w:lang w:eastAsia="en-GB"/>
                <w14:ligatures w14:val="none"/>
              </w:rPr>
            </w:pPr>
          </w:p>
        </w:tc>
      </w:tr>
      <w:tr w:rsidR="005616E0" w:rsidRPr="005616E0" w14:paraId="356B8F74" w14:textId="77777777" w:rsidTr="00033969">
        <w:trPr>
          <w:gridAfter w:val="1"/>
          <w:wAfter w:w="325" w:type="dxa"/>
          <w:trHeight w:val="57"/>
        </w:trPr>
        <w:tc>
          <w:tcPr>
            <w:tcW w:w="2733" w:type="dxa"/>
            <w:tcBorders>
              <w:top w:val="nil"/>
              <w:left w:val="nil"/>
              <w:bottom w:val="nil"/>
              <w:right w:val="nil"/>
            </w:tcBorders>
            <w:shd w:val="clear" w:color="auto" w:fill="auto"/>
            <w:vAlign w:val="center"/>
            <w:hideMark/>
          </w:tcPr>
          <w:p w14:paraId="23B80B48"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66959415"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c>
          <w:tcPr>
            <w:tcW w:w="1984" w:type="dxa"/>
            <w:tcBorders>
              <w:top w:val="nil"/>
              <w:left w:val="nil"/>
              <w:bottom w:val="nil"/>
              <w:right w:val="nil"/>
            </w:tcBorders>
            <w:shd w:val="clear" w:color="auto" w:fill="auto"/>
            <w:noWrap/>
            <w:vAlign w:val="bottom"/>
            <w:hideMark/>
          </w:tcPr>
          <w:p w14:paraId="135EDC0C" w14:textId="77777777" w:rsidR="005616E0" w:rsidRPr="005616E0" w:rsidRDefault="005616E0" w:rsidP="005616E0">
            <w:pPr>
              <w:spacing w:after="0" w:line="240" w:lineRule="auto"/>
              <w:rPr>
                <w:rFonts w:ascii="Courier New" w:eastAsia="Times New Roman" w:hAnsi="Courier New" w:cs="Courier New"/>
                <w:kern w:val="0"/>
                <w:sz w:val="18"/>
                <w:szCs w:val="18"/>
                <w:lang w:eastAsia="en-GB"/>
                <w14:ligatures w14:val="none"/>
              </w:rPr>
            </w:pPr>
          </w:p>
        </w:tc>
        <w:tc>
          <w:tcPr>
            <w:tcW w:w="851" w:type="dxa"/>
            <w:tcBorders>
              <w:top w:val="nil"/>
              <w:left w:val="nil"/>
              <w:bottom w:val="nil"/>
              <w:right w:val="nil"/>
            </w:tcBorders>
            <w:shd w:val="clear" w:color="auto" w:fill="auto"/>
            <w:noWrap/>
            <w:vAlign w:val="bottom"/>
            <w:hideMark/>
          </w:tcPr>
          <w:p w14:paraId="392C79D9" w14:textId="77777777" w:rsidR="005616E0" w:rsidRPr="005616E0" w:rsidRDefault="005616E0" w:rsidP="005616E0">
            <w:pPr>
              <w:spacing w:after="0" w:line="240" w:lineRule="auto"/>
              <w:rPr>
                <w:rFonts w:ascii="Times New Roman" w:eastAsia="Times New Roman" w:hAnsi="Times New Roman" w:cs="Times New Roman"/>
                <w:kern w:val="0"/>
                <w:sz w:val="18"/>
                <w:szCs w:val="18"/>
                <w:lang w:eastAsia="en-GB"/>
                <w14:ligatures w14:val="none"/>
              </w:rPr>
            </w:pPr>
          </w:p>
        </w:tc>
        <w:tc>
          <w:tcPr>
            <w:tcW w:w="992" w:type="dxa"/>
            <w:tcBorders>
              <w:top w:val="nil"/>
              <w:left w:val="nil"/>
              <w:bottom w:val="nil"/>
              <w:right w:val="nil"/>
            </w:tcBorders>
            <w:shd w:val="clear" w:color="auto" w:fill="auto"/>
            <w:noWrap/>
            <w:vAlign w:val="bottom"/>
            <w:hideMark/>
          </w:tcPr>
          <w:p w14:paraId="7A4B4A3A"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r>
      <w:tr w:rsidR="005616E0" w:rsidRPr="005616E0" w14:paraId="51EAD1E7" w14:textId="77777777" w:rsidTr="00033969">
        <w:trPr>
          <w:gridAfter w:val="1"/>
          <w:wAfter w:w="325" w:type="dxa"/>
          <w:trHeight w:val="173"/>
        </w:trPr>
        <w:tc>
          <w:tcPr>
            <w:tcW w:w="2733" w:type="dxa"/>
            <w:vMerge w:val="restart"/>
            <w:tcBorders>
              <w:top w:val="nil"/>
              <w:left w:val="nil"/>
              <w:bottom w:val="nil"/>
              <w:right w:val="nil"/>
            </w:tcBorders>
            <w:shd w:val="clear" w:color="auto" w:fill="auto"/>
            <w:vAlign w:val="center"/>
            <w:hideMark/>
          </w:tcPr>
          <w:p w14:paraId="7A6B1CB2"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 xml:space="preserve">Soil </w:t>
            </w:r>
          </w:p>
          <w:p w14:paraId="7A38C468"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soil_</w:t>
            </w:r>
            <w:proofErr w:type="gramStart"/>
            <w:r w:rsidRPr="005616E0">
              <w:rPr>
                <w:rFonts w:ascii="Courier New" w:eastAsia="Times New Roman" w:hAnsi="Courier New" w:cs="Courier New"/>
                <w:color w:val="000000"/>
                <w:kern w:val="0"/>
                <w:sz w:val="18"/>
                <w:szCs w:val="18"/>
                <w:lang w:eastAsia="en-GB"/>
                <w14:ligatures w14:val="none"/>
              </w:rPr>
              <w:t>config</w:t>
            </w:r>
            <w:proofErr w:type="spellEnd"/>
            <w:r w:rsidRPr="005616E0">
              <w:rPr>
                <w:rFonts w:ascii="Courier New" w:eastAsia="Times New Roman" w:hAnsi="Courier New" w:cs="Courier New"/>
                <w:color w:val="000000"/>
                <w:kern w:val="0"/>
                <w:sz w:val="18"/>
                <w:szCs w:val="18"/>
                <w:lang w:eastAsia="en-GB"/>
                <w14:ligatures w14:val="none"/>
              </w:rPr>
              <w:t>(</w:t>
            </w:r>
            <w:proofErr w:type="gramEnd"/>
            <w:r w:rsidRPr="005616E0">
              <w:rPr>
                <w:rFonts w:ascii="Courier New" w:eastAsia="Times New Roman" w:hAnsi="Courier New" w:cs="Courier New"/>
                <w:color w:val="000000"/>
                <w:kern w:val="0"/>
                <w:sz w:val="18"/>
                <w:szCs w:val="18"/>
                <w:lang w:eastAsia="en-GB"/>
                <w14:ligatures w14:val="none"/>
              </w:rPr>
              <w:t>)</w:t>
            </w:r>
          </w:p>
        </w:tc>
        <w:tc>
          <w:tcPr>
            <w:tcW w:w="2654" w:type="dxa"/>
            <w:tcBorders>
              <w:top w:val="nil"/>
              <w:left w:val="nil"/>
              <w:bottom w:val="nil"/>
              <w:right w:val="nil"/>
            </w:tcBorders>
            <w:shd w:val="clear" w:color="auto" w:fill="auto"/>
            <w:noWrap/>
            <w:vAlign w:val="bottom"/>
            <w:hideMark/>
          </w:tcPr>
          <w:p w14:paraId="6ED3D1C6"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Clay content in the topsoil</w:t>
            </w:r>
            <w:r w:rsidRPr="005616E0">
              <w:rPr>
                <w:rFonts w:ascii="Aptos Narrow" w:eastAsia="Times New Roman" w:hAnsi="Aptos Narrow" w:cs="Times New Roman"/>
                <w:color w:val="000000"/>
                <w:kern w:val="0"/>
                <w:sz w:val="20"/>
                <w:szCs w:val="20"/>
                <w:vertAlign w:val="superscript"/>
                <w:lang w:eastAsia="en-GB"/>
                <w14:ligatures w14:val="none"/>
              </w:rPr>
              <w:t>6</w:t>
            </w:r>
          </w:p>
        </w:tc>
        <w:tc>
          <w:tcPr>
            <w:tcW w:w="1984" w:type="dxa"/>
            <w:tcBorders>
              <w:top w:val="nil"/>
              <w:left w:val="nil"/>
              <w:bottom w:val="nil"/>
              <w:right w:val="nil"/>
            </w:tcBorders>
            <w:shd w:val="clear" w:color="auto" w:fill="auto"/>
            <w:noWrap/>
            <w:vAlign w:val="bottom"/>
            <w:hideMark/>
          </w:tcPr>
          <w:p w14:paraId="4F238CD8"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clay_top</w:t>
            </w:r>
            <w:proofErr w:type="spellEnd"/>
            <w:r w:rsidRPr="005616E0">
              <w:rPr>
                <w:rFonts w:ascii="Courier New" w:eastAsia="Times New Roman" w:hAnsi="Courier New" w:cs="Courier New"/>
                <w:color w:val="000000"/>
                <w:kern w:val="0"/>
                <w:sz w:val="18"/>
                <w:szCs w:val="18"/>
                <w:lang w:eastAsia="en-GB"/>
                <w14:ligatures w14:val="none"/>
              </w:rPr>
              <w:t>,</w:t>
            </w:r>
          </w:p>
        </w:tc>
        <w:tc>
          <w:tcPr>
            <w:tcW w:w="851" w:type="dxa"/>
            <w:tcBorders>
              <w:top w:val="nil"/>
              <w:left w:val="nil"/>
              <w:bottom w:val="nil"/>
              <w:right w:val="nil"/>
            </w:tcBorders>
            <w:shd w:val="clear" w:color="auto" w:fill="auto"/>
            <w:noWrap/>
            <w:vAlign w:val="bottom"/>
            <w:hideMark/>
          </w:tcPr>
          <w:p w14:paraId="21DF144F"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061AEC60"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r>
      <w:tr w:rsidR="005616E0" w:rsidRPr="005616E0" w14:paraId="14F0321C" w14:textId="77777777" w:rsidTr="00033969">
        <w:trPr>
          <w:gridAfter w:val="1"/>
          <w:wAfter w:w="325" w:type="dxa"/>
          <w:trHeight w:val="173"/>
        </w:trPr>
        <w:tc>
          <w:tcPr>
            <w:tcW w:w="2733" w:type="dxa"/>
            <w:vMerge/>
            <w:vAlign w:val="center"/>
            <w:hideMark/>
          </w:tcPr>
          <w:p w14:paraId="38835925"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21FFAC32"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Clay content in the subsoil</w:t>
            </w:r>
            <w:r w:rsidRPr="005616E0">
              <w:rPr>
                <w:rFonts w:ascii="Aptos Narrow" w:eastAsia="Times New Roman" w:hAnsi="Aptos Narrow" w:cs="Times New Roman"/>
                <w:color w:val="000000"/>
                <w:kern w:val="0"/>
                <w:sz w:val="20"/>
                <w:szCs w:val="20"/>
                <w:vertAlign w:val="superscript"/>
                <w:lang w:eastAsia="en-GB"/>
                <w14:ligatures w14:val="none"/>
              </w:rPr>
              <w:t>6</w:t>
            </w:r>
          </w:p>
        </w:tc>
        <w:tc>
          <w:tcPr>
            <w:tcW w:w="1984" w:type="dxa"/>
            <w:tcBorders>
              <w:top w:val="nil"/>
              <w:left w:val="nil"/>
              <w:bottom w:val="nil"/>
              <w:right w:val="nil"/>
            </w:tcBorders>
            <w:shd w:val="clear" w:color="auto" w:fill="auto"/>
            <w:noWrap/>
            <w:vAlign w:val="bottom"/>
            <w:hideMark/>
          </w:tcPr>
          <w:p w14:paraId="687DC624"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clay_sub</w:t>
            </w:r>
            <w:proofErr w:type="spellEnd"/>
          </w:p>
        </w:tc>
        <w:tc>
          <w:tcPr>
            <w:tcW w:w="851" w:type="dxa"/>
            <w:tcBorders>
              <w:top w:val="nil"/>
              <w:left w:val="nil"/>
              <w:bottom w:val="nil"/>
              <w:right w:val="nil"/>
            </w:tcBorders>
            <w:shd w:val="clear" w:color="auto" w:fill="auto"/>
            <w:noWrap/>
            <w:vAlign w:val="bottom"/>
            <w:hideMark/>
          </w:tcPr>
          <w:p w14:paraId="3C2733F6"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470138E3"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r>
      <w:tr w:rsidR="005616E0" w:rsidRPr="005616E0" w14:paraId="5563AD36" w14:textId="77777777" w:rsidTr="00033969">
        <w:trPr>
          <w:gridAfter w:val="1"/>
          <w:wAfter w:w="325" w:type="dxa"/>
          <w:trHeight w:val="173"/>
        </w:trPr>
        <w:tc>
          <w:tcPr>
            <w:tcW w:w="2733" w:type="dxa"/>
            <w:vMerge/>
            <w:vAlign w:val="center"/>
            <w:hideMark/>
          </w:tcPr>
          <w:p w14:paraId="5DBF2740"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09519C3E"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Thermal diffusivity coefficient</w:t>
            </w:r>
            <w:r w:rsidRPr="005616E0">
              <w:rPr>
                <w:rFonts w:ascii="Aptos Narrow" w:eastAsia="Times New Roman" w:hAnsi="Aptos Narrow" w:cs="Times New Roman"/>
                <w:color w:val="000000"/>
                <w:kern w:val="0"/>
                <w:sz w:val="20"/>
                <w:szCs w:val="20"/>
                <w:vertAlign w:val="superscript"/>
                <w:lang w:eastAsia="en-GB"/>
                <w14:ligatures w14:val="none"/>
              </w:rPr>
              <w:t>7</w:t>
            </w:r>
          </w:p>
        </w:tc>
        <w:tc>
          <w:tcPr>
            <w:tcW w:w="1984" w:type="dxa"/>
            <w:tcBorders>
              <w:top w:val="nil"/>
              <w:left w:val="nil"/>
              <w:bottom w:val="nil"/>
              <w:right w:val="nil"/>
            </w:tcBorders>
            <w:shd w:val="clear" w:color="auto" w:fill="auto"/>
            <w:noWrap/>
            <w:vAlign w:val="bottom"/>
            <w:hideMark/>
          </w:tcPr>
          <w:p w14:paraId="1AE3AFC5"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r w:rsidRPr="005616E0">
              <w:rPr>
                <w:rFonts w:ascii="Courier New" w:eastAsia="Times New Roman" w:hAnsi="Courier New" w:cs="Courier New"/>
                <w:color w:val="000000"/>
                <w:kern w:val="0"/>
                <w:sz w:val="18"/>
                <w:szCs w:val="18"/>
                <w:lang w:eastAsia="en-GB"/>
                <w14:ligatures w14:val="none"/>
              </w:rPr>
              <w:t>phi</w:t>
            </w:r>
          </w:p>
        </w:tc>
        <w:tc>
          <w:tcPr>
            <w:tcW w:w="851" w:type="dxa"/>
            <w:tcBorders>
              <w:top w:val="nil"/>
              <w:left w:val="nil"/>
              <w:bottom w:val="nil"/>
              <w:right w:val="nil"/>
            </w:tcBorders>
            <w:shd w:val="clear" w:color="auto" w:fill="auto"/>
            <w:noWrap/>
            <w:vAlign w:val="bottom"/>
            <w:hideMark/>
          </w:tcPr>
          <w:p w14:paraId="2BDAE9B7"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m2/day </w:t>
            </w:r>
          </w:p>
        </w:tc>
        <w:tc>
          <w:tcPr>
            <w:tcW w:w="992" w:type="dxa"/>
            <w:tcBorders>
              <w:top w:val="nil"/>
              <w:left w:val="nil"/>
              <w:bottom w:val="nil"/>
              <w:right w:val="nil"/>
            </w:tcBorders>
            <w:shd w:val="clear" w:color="auto" w:fill="auto"/>
            <w:noWrap/>
            <w:vAlign w:val="bottom"/>
            <w:hideMark/>
          </w:tcPr>
          <w:p w14:paraId="0844E075"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0.035</w:t>
            </w:r>
          </w:p>
        </w:tc>
      </w:tr>
      <w:tr w:rsidR="005616E0" w:rsidRPr="005616E0" w14:paraId="16A1277D" w14:textId="77777777" w:rsidTr="00033969">
        <w:trPr>
          <w:gridAfter w:val="1"/>
          <w:wAfter w:w="325" w:type="dxa"/>
          <w:trHeight w:val="173"/>
        </w:trPr>
        <w:tc>
          <w:tcPr>
            <w:tcW w:w="2733" w:type="dxa"/>
            <w:vMerge/>
            <w:vAlign w:val="center"/>
            <w:hideMark/>
          </w:tcPr>
          <w:p w14:paraId="6BF8E01C"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45BA76CD"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Initial SOC content</w:t>
            </w:r>
            <w:r w:rsidRPr="005616E0">
              <w:rPr>
                <w:rFonts w:ascii="Aptos Narrow" w:eastAsia="Times New Roman" w:hAnsi="Aptos Narrow" w:cs="Times New Roman"/>
                <w:color w:val="000000"/>
                <w:kern w:val="0"/>
                <w:sz w:val="20"/>
                <w:szCs w:val="20"/>
                <w:vertAlign w:val="superscript"/>
                <w:lang w:eastAsia="en-GB"/>
                <w14:ligatures w14:val="none"/>
              </w:rPr>
              <w:t>6</w:t>
            </w:r>
          </w:p>
        </w:tc>
        <w:tc>
          <w:tcPr>
            <w:tcW w:w="1984" w:type="dxa"/>
            <w:tcBorders>
              <w:top w:val="nil"/>
              <w:left w:val="nil"/>
              <w:bottom w:val="nil"/>
              <w:right w:val="nil"/>
            </w:tcBorders>
            <w:shd w:val="clear" w:color="auto" w:fill="auto"/>
            <w:noWrap/>
            <w:vAlign w:val="bottom"/>
            <w:hideMark/>
          </w:tcPr>
          <w:p w14:paraId="1D6C6E37"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Csoil_init</w:t>
            </w:r>
            <w:proofErr w:type="spellEnd"/>
          </w:p>
        </w:tc>
        <w:tc>
          <w:tcPr>
            <w:tcW w:w="851" w:type="dxa"/>
            <w:tcBorders>
              <w:top w:val="nil"/>
              <w:left w:val="nil"/>
              <w:bottom w:val="nil"/>
              <w:right w:val="nil"/>
            </w:tcBorders>
            <w:shd w:val="clear" w:color="auto" w:fill="auto"/>
            <w:noWrap/>
            <w:vAlign w:val="bottom"/>
            <w:hideMark/>
          </w:tcPr>
          <w:p w14:paraId="63CD025B"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Mg/ha</w:t>
            </w:r>
          </w:p>
        </w:tc>
        <w:tc>
          <w:tcPr>
            <w:tcW w:w="992" w:type="dxa"/>
            <w:tcBorders>
              <w:top w:val="nil"/>
              <w:left w:val="nil"/>
              <w:bottom w:val="nil"/>
              <w:right w:val="nil"/>
            </w:tcBorders>
            <w:shd w:val="clear" w:color="auto" w:fill="auto"/>
            <w:noWrap/>
            <w:vAlign w:val="bottom"/>
            <w:hideMark/>
          </w:tcPr>
          <w:p w14:paraId="4AE036BF"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r>
      <w:tr w:rsidR="005616E0" w:rsidRPr="005616E0" w14:paraId="506CB851" w14:textId="77777777" w:rsidTr="00033969">
        <w:trPr>
          <w:gridAfter w:val="1"/>
          <w:wAfter w:w="325" w:type="dxa"/>
          <w:trHeight w:val="173"/>
        </w:trPr>
        <w:tc>
          <w:tcPr>
            <w:tcW w:w="2733" w:type="dxa"/>
            <w:vMerge/>
            <w:vAlign w:val="center"/>
            <w:hideMark/>
          </w:tcPr>
          <w:p w14:paraId="3F74A1AE"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786B5DAF"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Proportion of C in topsoil</w:t>
            </w:r>
            <w:r w:rsidRPr="005616E0">
              <w:rPr>
                <w:rFonts w:ascii="Aptos Narrow" w:eastAsia="Times New Roman" w:hAnsi="Aptos Narrow" w:cs="Times New Roman"/>
                <w:color w:val="000000"/>
                <w:kern w:val="0"/>
                <w:sz w:val="20"/>
                <w:szCs w:val="20"/>
                <w:vertAlign w:val="superscript"/>
                <w:lang w:eastAsia="en-GB"/>
                <w14:ligatures w14:val="none"/>
              </w:rPr>
              <w:t>8</w:t>
            </w:r>
          </w:p>
        </w:tc>
        <w:tc>
          <w:tcPr>
            <w:tcW w:w="1984" w:type="dxa"/>
            <w:tcBorders>
              <w:top w:val="nil"/>
              <w:left w:val="nil"/>
              <w:bottom w:val="nil"/>
              <w:right w:val="nil"/>
            </w:tcBorders>
            <w:shd w:val="clear" w:color="auto" w:fill="auto"/>
            <w:noWrap/>
            <w:vAlign w:val="bottom"/>
            <w:hideMark/>
          </w:tcPr>
          <w:p w14:paraId="49F5FBBC"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Cproptop</w:t>
            </w:r>
            <w:proofErr w:type="spellEnd"/>
          </w:p>
        </w:tc>
        <w:tc>
          <w:tcPr>
            <w:tcW w:w="851" w:type="dxa"/>
            <w:tcBorders>
              <w:top w:val="nil"/>
              <w:left w:val="nil"/>
              <w:bottom w:val="nil"/>
              <w:right w:val="nil"/>
            </w:tcBorders>
            <w:shd w:val="clear" w:color="auto" w:fill="auto"/>
            <w:noWrap/>
            <w:vAlign w:val="bottom"/>
            <w:hideMark/>
          </w:tcPr>
          <w:p w14:paraId="7CC72A31"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7FAAA444"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0.47</w:t>
            </w:r>
          </w:p>
        </w:tc>
      </w:tr>
      <w:tr w:rsidR="005616E0" w:rsidRPr="005616E0" w14:paraId="1C578C44" w14:textId="77777777" w:rsidTr="00033969">
        <w:trPr>
          <w:gridAfter w:val="1"/>
          <w:wAfter w:w="325" w:type="dxa"/>
          <w:trHeight w:val="173"/>
        </w:trPr>
        <w:tc>
          <w:tcPr>
            <w:tcW w:w="2733" w:type="dxa"/>
            <w:vMerge/>
            <w:vAlign w:val="center"/>
            <w:hideMark/>
          </w:tcPr>
          <w:p w14:paraId="75E7DFC0"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vMerge w:val="restart"/>
            <w:tcBorders>
              <w:top w:val="nil"/>
              <w:left w:val="nil"/>
              <w:bottom w:val="nil"/>
              <w:right w:val="nil"/>
            </w:tcBorders>
            <w:shd w:val="clear" w:color="auto" w:fill="auto"/>
            <w:noWrap/>
            <w:vAlign w:val="center"/>
            <w:hideMark/>
          </w:tcPr>
          <w:p w14:paraId="5B7FD145"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Decomposition rate</w:t>
            </w:r>
            <w:r w:rsidRPr="005616E0">
              <w:rPr>
                <w:rFonts w:ascii="Aptos Narrow" w:eastAsia="Times New Roman" w:hAnsi="Aptos Narrow" w:cs="Times New Roman"/>
                <w:color w:val="000000"/>
                <w:kern w:val="0"/>
                <w:sz w:val="20"/>
                <w:szCs w:val="20"/>
                <w:vertAlign w:val="superscript"/>
                <w:lang w:eastAsia="en-GB"/>
                <w14:ligatures w14:val="none"/>
              </w:rPr>
              <w:t>9,10,11</w:t>
            </w:r>
          </w:p>
        </w:tc>
        <w:tc>
          <w:tcPr>
            <w:tcW w:w="1984" w:type="dxa"/>
            <w:tcBorders>
              <w:top w:val="nil"/>
              <w:left w:val="nil"/>
              <w:bottom w:val="nil"/>
              <w:right w:val="nil"/>
            </w:tcBorders>
            <w:shd w:val="clear" w:color="auto" w:fill="auto"/>
            <w:noWrap/>
            <w:vAlign w:val="bottom"/>
            <w:hideMark/>
          </w:tcPr>
          <w:p w14:paraId="518C1C1B"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k_fom</w:t>
            </w:r>
            <w:proofErr w:type="spellEnd"/>
            <w:r w:rsidRPr="005616E0">
              <w:rPr>
                <w:rFonts w:ascii="Courier New" w:eastAsia="Times New Roman" w:hAnsi="Courier New" w:cs="Courier New"/>
                <w:color w:val="000000"/>
                <w:kern w:val="0"/>
                <w:sz w:val="18"/>
                <w:szCs w:val="18"/>
                <w:lang w:eastAsia="en-GB"/>
                <w14:ligatures w14:val="none"/>
              </w:rPr>
              <w:t xml:space="preserve"> </w:t>
            </w:r>
          </w:p>
        </w:tc>
        <w:tc>
          <w:tcPr>
            <w:tcW w:w="851" w:type="dxa"/>
            <w:tcBorders>
              <w:top w:val="nil"/>
              <w:left w:val="nil"/>
              <w:bottom w:val="nil"/>
              <w:right w:val="nil"/>
            </w:tcBorders>
            <w:shd w:val="clear" w:color="auto" w:fill="auto"/>
            <w:noWrap/>
            <w:vAlign w:val="bottom"/>
            <w:hideMark/>
          </w:tcPr>
          <w:p w14:paraId="071F2210"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Mg/</w:t>
            </w:r>
            <w:proofErr w:type="spellStart"/>
            <w:r w:rsidRPr="005616E0">
              <w:rPr>
                <w:rFonts w:ascii="Aptos Narrow" w:eastAsia="Times New Roman" w:hAnsi="Aptos Narrow" w:cs="Times New Roman"/>
                <w:color w:val="000000"/>
                <w:kern w:val="0"/>
                <w:sz w:val="18"/>
                <w:szCs w:val="18"/>
                <w:lang w:eastAsia="en-GB"/>
                <w14:ligatures w14:val="none"/>
              </w:rPr>
              <w:t>mth</w:t>
            </w:r>
            <w:proofErr w:type="spellEnd"/>
          </w:p>
        </w:tc>
        <w:tc>
          <w:tcPr>
            <w:tcW w:w="992" w:type="dxa"/>
            <w:tcBorders>
              <w:top w:val="nil"/>
              <w:left w:val="nil"/>
              <w:bottom w:val="nil"/>
              <w:right w:val="nil"/>
            </w:tcBorders>
            <w:shd w:val="clear" w:color="auto" w:fill="auto"/>
            <w:noWrap/>
            <w:vAlign w:val="bottom"/>
            <w:hideMark/>
          </w:tcPr>
          <w:p w14:paraId="506A62A7"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0.12</w:t>
            </w:r>
          </w:p>
        </w:tc>
      </w:tr>
      <w:tr w:rsidR="005616E0" w:rsidRPr="005616E0" w14:paraId="33A7838C" w14:textId="77777777" w:rsidTr="00033969">
        <w:trPr>
          <w:gridAfter w:val="1"/>
          <w:wAfter w:w="325" w:type="dxa"/>
          <w:trHeight w:val="173"/>
        </w:trPr>
        <w:tc>
          <w:tcPr>
            <w:tcW w:w="2733" w:type="dxa"/>
            <w:vMerge/>
            <w:vAlign w:val="center"/>
            <w:hideMark/>
          </w:tcPr>
          <w:p w14:paraId="65ACE03F"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vMerge/>
            <w:vAlign w:val="center"/>
            <w:hideMark/>
          </w:tcPr>
          <w:p w14:paraId="3423BF08"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1984" w:type="dxa"/>
            <w:tcBorders>
              <w:top w:val="nil"/>
              <w:left w:val="nil"/>
              <w:bottom w:val="nil"/>
              <w:right w:val="nil"/>
            </w:tcBorders>
            <w:shd w:val="clear" w:color="auto" w:fill="auto"/>
            <w:noWrap/>
            <w:vAlign w:val="bottom"/>
            <w:hideMark/>
          </w:tcPr>
          <w:p w14:paraId="5A647032"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k_hum</w:t>
            </w:r>
            <w:proofErr w:type="spellEnd"/>
          </w:p>
        </w:tc>
        <w:tc>
          <w:tcPr>
            <w:tcW w:w="851" w:type="dxa"/>
            <w:tcBorders>
              <w:top w:val="nil"/>
              <w:left w:val="nil"/>
              <w:bottom w:val="nil"/>
              <w:right w:val="nil"/>
            </w:tcBorders>
            <w:shd w:val="clear" w:color="auto" w:fill="auto"/>
            <w:noWrap/>
            <w:vAlign w:val="bottom"/>
            <w:hideMark/>
          </w:tcPr>
          <w:p w14:paraId="5A310348"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Mg/</w:t>
            </w:r>
            <w:proofErr w:type="spellStart"/>
            <w:r w:rsidRPr="005616E0">
              <w:rPr>
                <w:rFonts w:ascii="Aptos Narrow" w:eastAsia="Times New Roman" w:hAnsi="Aptos Narrow" w:cs="Times New Roman"/>
                <w:color w:val="000000"/>
                <w:kern w:val="0"/>
                <w:sz w:val="18"/>
                <w:szCs w:val="18"/>
                <w:lang w:eastAsia="en-GB"/>
                <w14:ligatures w14:val="none"/>
              </w:rPr>
              <w:t>mth</w:t>
            </w:r>
            <w:proofErr w:type="spellEnd"/>
          </w:p>
        </w:tc>
        <w:tc>
          <w:tcPr>
            <w:tcW w:w="992" w:type="dxa"/>
            <w:tcBorders>
              <w:top w:val="nil"/>
              <w:left w:val="nil"/>
              <w:bottom w:val="nil"/>
              <w:right w:val="nil"/>
            </w:tcBorders>
            <w:shd w:val="clear" w:color="auto" w:fill="auto"/>
            <w:noWrap/>
            <w:vAlign w:val="bottom"/>
            <w:hideMark/>
          </w:tcPr>
          <w:p w14:paraId="2557C82F"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0.028</w:t>
            </w:r>
          </w:p>
        </w:tc>
      </w:tr>
      <w:tr w:rsidR="005616E0" w:rsidRPr="005616E0" w14:paraId="5C6481D4" w14:textId="77777777" w:rsidTr="00033969">
        <w:trPr>
          <w:gridAfter w:val="1"/>
          <w:wAfter w:w="325" w:type="dxa"/>
          <w:trHeight w:val="173"/>
        </w:trPr>
        <w:tc>
          <w:tcPr>
            <w:tcW w:w="2733" w:type="dxa"/>
            <w:vMerge/>
            <w:vAlign w:val="center"/>
            <w:hideMark/>
          </w:tcPr>
          <w:p w14:paraId="3C6E6ED9"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vMerge/>
            <w:vAlign w:val="center"/>
            <w:hideMark/>
          </w:tcPr>
          <w:p w14:paraId="739F3E44"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1984" w:type="dxa"/>
            <w:tcBorders>
              <w:top w:val="nil"/>
              <w:left w:val="nil"/>
              <w:bottom w:val="nil"/>
              <w:right w:val="nil"/>
            </w:tcBorders>
            <w:shd w:val="clear" w:color="auto" w:fill="auto"/>
            <w:noWrap/>
            <w:vAlign w:val="bottom"/>
            <w:hideMark/>
          </w:tcPr>
          <w:p w14:paraId="3F24A2D3"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k_rom</w:t>
            </w:r>
            <w:proofErr w:type="spellEnd"/>
          </w:p>
        </w:tc>
        <w:tc>
          <w:tcPr>
            <w:tcW w:w="851" w:type="dxa"/>
            <w:tcBorders>
              <w:top w:val="nil"/>
              <w:left w:val="nil"/>
              <w:bottom w:val="nil"/>
              <w:right w:val="nil"/>
            </w:tcBorders>
            <w:shd w:val="clear" w:color="auto" w:fill="auto"/>
            <w:noWrap/>
            <w:vAlign w:val="bottom"/>
            <w:hideMark/>
          </w:tcPr>
          <w:p w14:paraId="7B8756AF"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Mg/</w:t>
            </w:r>
            <w:proofErr w:type="spellStart"/>
            <w:r w:rsidRPr="005616E0">
              <w:rPr>
                <w:rFonts w:ascii="Aptos Narrow" w:eastAsia="Times New Roman" w:hAnsi="Aptos Narrow" w:cs="Times New Roman"/>
                <w:color w:val="000000"/>
                <w:kern w:val="0"/>
                <w:sz w:val="18"/>
                <w:szCs w:val="18"/>
                <w:lang w:eastAsia="en-GB"/>
                <w14:ligatures w14:val="none"/>
              </w:rPr>
              <w:t>mth</w:t>
            </w:r>
            <w:proofErr w:type="spellEnd"/>
          </w:p>
        </w:tc>
        <w:tc>
          <w:tcPr>
            <w:tcW w:w="992" w:type="dxa"/>
            <w:tcBorders>
              <w:top w:val="nil"/>
              <w:left w:val="nil"/>
              <w:bottom w:val="nil"/>
              <w:right w:val="nil"/>
            </w:tcBorders>
            <w:shd w:val="clear" w:color="auto" w:fill="auto"/>
            <w:noWrap/>
            <w:vAlign w:val="bottom"/>
            <w:hideMark/>
          </w:tcPr>
          <w:p w14:paraId="12157635"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3.86E-05</w:t>
            </w:r>
          </w:p>
        </w:tc>
      </w:tr>
      <w:tr w:rsidR="005616E0" w:rsidRPr="005616E0" w14:paraId="0609BACF" w14:textId="77777777" w:rsidTr="00033969">
        <w:trPr>
          <w:gridAfter w:val="1"/>
          <w:wAfter w:w="325" w:type="dxa"/>
          <w:trHeight w:val="173"/>
        </w:trPr>
        <w:tc>
          <w:tcPr>
            <w:tcW w:w="2733" w:type="dxa"/>
            <w:vMerge/>
            <w:vAlign w:val="center"/>
            <w:hideMark/>
          </w:tcPr>
          <w:p w14:paraId="16D59329"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1A7B4A03"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Fraction of HUM to ROM</w:t>
            </w:r>
            <w:r w:rsidRPr="005616E0">
              <w:rPr>
                <w:rFonts w:ascii="Aptos Narrow" w:eastAsia="Times New Roman" w:hAnsi="Aptos Narrow" w:cs="Times New Roman"/>
                <w:color w:val="000000"/>
                <w:kern w:val="0"/>
                <w:sz w:val="20"/>
                <w:szCs w:val="20"/>
                <w:vertAlign w:val="superscript"/>
                <w:lang w:eastAsia="en-GB"/>
                <w14:ligatures w14:val="none"/>
              </w:rPr>
              <w:t>12</w:t>
            </w:r>
          </w:p>
        </w:tc>
        <w:tc>
          <w:tcPr>
            <w:tcW w:w="1984" w:type="dxa"/>
            <w:tcBorders>
              <w:top w:val="nil"/>
              <w:left w:val="nil"/>
              <w:bottom w:val="nil"/>
              <w:right w:val="nil"/>
            </w:tcBorders>
            <w:shd w:val="clear" w:color="auto" w:fill="auto"/>
            <w:noWrap/>
            <w:vAlign w:val="bottom"/>
            <w:hideMark/>
          </w:tcPr>
          <w:p w14:paraId="06D31ED3"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f_romi</w:t>
            </w:r>
            <w:proofErr w:type="spellEnd"/>
          </w:p>
        </w:tc>
        <w:tc>
          <w:tcPr>
            <w:tcW w:w="851" w:type="dxa"/>
            <w:tcBorders>
              <w:top w:val="nil"/>
              <w:left w:val="nil"/>
              <w:bottom w:val="nil"/>
              <w:right w:val="nil"/>
            </w:tcBorders>
            <w:shd w:val="clear" w:color="auto" w:fill="auto"/>
            <w:noWrap/>
            <w:vAlign w:val="bottom"/>
            <w:hideMark/>
          </w:tcPr>
          <w:p w14:paraId="6C522DEF"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27B92D40"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0.012</w:t>
            </w:r>
          </w:p>
        </w:tc>
      </w:tr>
      <w:tr w:rsidR="005616E0" w:rsidRPr="005616E0" w14:paraId="746454FB" w14:textId="77777777" w:rsidTr="00033969">
        <w:trPr>
          <w:gridAfter w:val="1"/>
          <w:wAfter w:w="325" w:type="dxa"/>
          <w:trHeight w:val="173"/>
        </w:trPr>
        <w:tc>
          <w:tcPr>
            <w:tcW w:w="2733" w:type="dxa"/>
            <w:vMerge/>
            <w:vAlign w:val="center"/>
            <w:hideMark/>
          </w:tcPr>
          <w:p w14:paraId="3E504069"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27C3D23D"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Respiration fraction</w:t>
            </w:r>
            <w:r w:rsidRPr="005616E0">
              <w:rPr>
                <w:rFonts w:ascii="Aptos Narrow" w:eastAsia="Times New Roman" w:hAnsi="Aptos Narrow" w:cs="Times New Roman"/>
                <w:color w:val="000000"/>
                <w:kern w:val="0"/>
                <w:sz w:val="20"/>
                <w:szCs w:val="20"/>
                <w:vertAlign w:val="superscript"/>
                <w:lang w:eastAsia="en-GB"/>
                <w14:ligatures w14:val="none"/>
              </w:rPr>
              <w:t>13</w:t>
            </w:r>
          </w:p>
        </w:tc>
        <w:tc>
          <w:tcPr>
            <w:tcW w:w="1984" w:type="dxa"/>
            <w:tcBorders>
              <w:top w:val="nil"/>
              <w:left w:val="nil"/>
              <w:bottom w:val="nil"/>
              <w:right w:val="nil"/>
            </w:tcBorders>
            <w:shd w:val="clear" w:color="auto" w:fill="auto"/>
            <w:noWrap/>
            <w:vAlign w:val="bottom"/>
            <w:hideMark/>
          </w:tcPr>
          <w:p w14:paraId="1E653CB0"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r w:rsidRPr="005616E0">
              <w:rPr>
                <w:rFonts w:ascii="Courier New" w:eastAsia="Times New Roman" w:hAnsi="Courier New" w:cs="Courier New"/>
                <w:color w:val="000000"/>
                <w:kern w:val="0"/>
                <w:sz w:val="18"/>
                <w:szCs w:val="18"/>
                <w:lang w:eastAsia="en-GB"/>
                <w14:ligatures w14:val="none"/>
              </w:rPr>
              <w:t>f_co2</w:t>
            </w:r>
          </w:p>
        </w:tc>
        <w:tc>
          <w:tcPr>
            <w:tcW w:w="851" w:type="dxa"/>
            <w:tcBorders>
              <w:top w:val="nil"/>
              <w:left w:val="nil"/>
              <w:bottom w:val="nil"/>
              <w:right w:val="nil"/>
            </w:tcBorders>
            <w:shd w:val="clear" w:color="auto" w:fill="auto"/>
            <w:noWrap/>
            <w:vAlign w:val="bottom"/>
            <w:hideMark/>
          </w:tcPr>
          <w:p w14:paraId="2CD5ED34"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25F99F63"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0.62</w:t>
            </w:r>
          </w:p>
        </w:tc>
      </w:tr>
      <w:tr w:rsidR="005616E0" w:rsidRPr="005616E0" w14:paraId="19ACE0E4" w14:textId="77777777" w:rsidTr="00033969">
        <w:trPr>
          <w:gridAfter w:val="1"/>
          <w:wAfter w:w="325" w:type="dxa"/>
          <w:trHeight w:val="173"/>
        </w:trPr>
        <w:tc>
          <w:tcPr>
            <w:tcW w:w="2733" w:type="dxa"/>
            <w:vMerge/>
            <w:vAlign w:val="center"/>
            <w:hideMark/>
          </w:tcPr>
          <w:p w14:paraId="481D0DFB"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1DAE2622"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Transport fraction</w:t>
            </w:r>
            <w:r w:rsidRPr="005616E0">
              <w:rPr>
                <w:rFonts w:ascii="Aptos Narrow" w:eastAsia="Times New Roman" w:hAnsi="Aptos Narrow" w:cs="Times New Roman"/>
                <w:color w:val="000000"/>
                <w:kern w:val="0"/>
                <w:sz w:val="20"/>
                <w:szCs w:val="20"/>
                <w:vertAlign w:val="superscript"/>
                <w:lang w:eastAsia="en-GB"/>
                <w14:ligatures w14:val="none"/>
              </w:rPr>
              <w:t>14</w:t>
            </w:r>
          </w:p>
        </w:tc>
        <w:tc>
          <w:tcPr>
            <w:tcW w:w="1984" w:type="dxa"/>
            <w:tcBorders>
              <w:top w:val="nil"/>
              <w:left w:val="nil"/>
              <w:bottom w:val="nil"/>
              <w:right w:val="nil"/>
            </w:tcBorders>
            <w:shd w:val="clear" w:color="auto" w:fill="auto"/>
            <w:noWrap/>
            <w:vAlign w:val="bottom"/>
            <w:hideMark/>
          </w:tcPr>
          <w:p w14:paraId="3CF9B8EC"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ftr</w:t>
            </w:r>
            <w:proofErr w:type="spellEnd"/>
          </w:p>
        </w:tc>
        <w:tc>
          <w:tcPr>
            <w:tcW w:w="851" w:type="dxa"/>
            <w:tcBorders>
              <w:top w:val="nil"/>
              <w:left w:val="nil"/>
              <w:bottom w:val="nil"/>
              <w:right w:val="nil"/>
            </w:tcBorders>
            <w:shd w:val="clear" w:color="auto" w:fill="auto"/>
            <w:noWrap/>
            <w:vAlign w:val="bottom"/>
            <w:hideMark/>
          </w:tcPr>
          <w:p w14:paraId="53381604"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29B180F4"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0.0025</w:t>
            </w:r>
          </w:p>
        </w:tc>
      </w:tr>
      <w:tr w:rsidR="005616E0" w:rsidRPr="005616E0" w14:paraId="77C0CAA2" w14:textId="77777777" w:rsidTr="00033969">
        <w:trPr>
          <w:gridAfter w:val="1"/>
          <w:wAfter w:w="325" w:type="dxa"/>
          <w:trHeight w:val="57"/>
        </w:trPr>
        <w:tc>
          <w:tcPr>
            <w:tcW w:w="2733" w:type="dxa"/>
            <w:tcBorders>
              <w:top w:val="nil"/>
              <w:left w:val="nil"/>
              <w:bottom w:val="nil"/>
              <w:right w:val="nil"/>
            </w:tcBorders>
            <w:shd w:val="clear" w:color="auto" w:fill="auto"/>
            <w:vAlign w:val="center"/>
            <w:hideMark/>
          </w:tcPr>
          <w:p w14:paraId="183C52E9"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nil"/>
              <w:right w:val="nil"/>
            </w:tcBorders>
            <w:shd w:val="clear" w:color="auto" w:fill="auto"/>
            <w:noWrap/>
            <w:vAlign w:val="bottom"/>
            <w:hideMark/>
          </w:tcPr>
          <w:p w14:paraId="5D458471" w14:textId="77777777" w:rsidR="005616E0" w:rsidRPr="005616E0" w:rsidRDefault="005616E0" w:rsidP="005616E0">
            <w:pPr>
              <w:spacing w:after="0" w:line="240" w:lineRule="auto"/>
              <w:rPr>
                <w:rFonts w:ascii="Times New Roman" w:eastAsia="Times New Roman" w:hAnsi="Times New Roman" w:cs="Times New Roman"/>
                <w:kern w:val="0"/>
                <w:sz w:val="20"/>
                <w:szCs w:val="20"/>
                <w:lang w:eastAsia="en-GB"/>
                <w14:ligatures w14:val="none"/>
              </w:rPr>
            </w:pPr>
          </w:p>
        </w:tc>
        <w:tc>
          <w:tcPr>
            <w:tcW w:w="1984" w:type="dxa"/>
            <w:tcBorders>
              <w:top w:val="nil"/>
              <w:left w:val="nil"/>
              <w:bottom w:val="nil"/>
              <w:right w:val="nil"/>
            </w:tcBorders>
            <w:shd w:val="clear" w:color="auto" w:fill="auto"/>
            <w:noWrap/>
            <w:vAlign w:val="bottom"/>
            <w:hideMark/>
          </w:tcPr>
          <w:p w14:paraId="4EF6CE0C" w14:textId="77777777" w:rsidR="005616E0" w:rsidRPr="005616E0" w:rsidRDefault="005616E0" w:rsidP="005616E0">
            <w:pPr>
              <w:spacing w:after="0" w:line="240" w:lineRule="auto"/>
              <w:rPr>
                <w:rFonts w:ascii="Courier New" w:eastAsia="Times New Roman" w:hAnsi="Courier New" w:cs="Courier New"/>
                <w:kern w:val="0"/>
                <w:sz w:val="18"/>
                <w:szCs w:val="18"/>
                <w:lang w:eastAsia="en-GB"/>
                <w14:ligatures w14:val="none"/>
              </w:rPr>
            </w:pPr>
          </w:p>
        </w:tc>
        <w:tc>
          <w:tcPr>
            <w:tcW w:w="851" w:type="dxa"/>
            <w:tcBorders>
              <w:top w:val="nil"/>
              <w:left w:val="nil"/>
              <w:bottom w:val="nil"/>
              <w:right w:val="nil"/>
            </w:tcBorders>
            <w:shd w:val="clear" w:color="auto" w:fill="auto"/>
            <w:noWrap/>
            <w:vAlign w:val="bottom"/>
            <w:hideMark/>
          </w:tcPr>
          <w:p w14:paraId="6D4B8AE2"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061BE8DB"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r>
      <w:tr w:rsidR="005616E0" w:rsidRPr="005616E0" w14:paraId="609507EB" w14:textId="77777777" w:rsidTr="005616E0">
        <w:trPr>
          <w:gridAfter w:val="1"/>
          <w:wAfter w:w="325" w:type="dxa"/>
          <w:trHeight w:val="173"/>
        </w:trPr>
        <w:tc>
          <w:tcPr>
            <w:tcW w:w="2733" w:type="dxa"/>
            <w:vMerge w:val="restart"/>
            <w:tcBorders>
              <w:top w:val="nil"/>
              <w:left w:val="nil"/>
              <w:bottom w:val="single" w:sz="4" w:space="0" w:color="000000"/>
              <w:right w:val="nil"/>
            </w:tcBorders>
            <w:shd w:val="clear" w:color="auto" w:fill="auto"/>
            <w:vAlign w:val="center"/>
            <w:hideMark/>
          </w:tcPr>
          <w:p w14:paraId="3A2AA815"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 xml:space="preserve">Initial pool distribution </w:t>
            </w:r>
            <w:proofErr w:type="spellStart"/>
            <w:r w:rsidRPr="005616E0">
              <w:rPr>
                <w:rFonts w:ascii="Courier New" w:eastAsia="Times New Roman" w:hAnsi="Courier New" w:cs="Courier New"/>
                <w:color w:val="000000"/>
                <w:kern w:val="0"/>
                <w:sz w:val="18"/>
                <w:szCs w:val="18"/>
                <w:lang w:eastAsia="en-GB"/>
                <w14:ligatures w14:val="none"/>
              </w:rPr>
              <w:t>initialize_soil_</w:t>
            </w:r>
            <w:proofErr w:type="gramStart"/>
            <w:r w:rsidRPr="005616E0">
              <w:rPr>
                <w:rFonts w:ascii="Courier New" w:eastAsia="Times New Roman" w:hAnsi="Courier New" w:cs="Courier New"/>
                <w:color w:val="000000"/>
                <w:kern w:val="0"/>
                <w:sz w:val="18"/>
                <w:szCs w:val="18"/>
                <w:lang w:eastAsia="en-GB"/>
                <w14:ligatures w14:val="none"/>
              </w:rPr>
              <w:t>pools</w:t>
            </w:r>
            <w:proofErr w:type="spellEnd"/>
            <w:r w:rsidRPr="005616E0">
              <w:rPr>
                <w:rFonts w:ascii="Courier New" w:eastAsia="Times New Roman" w:hAnsi="Courier New" w:cs="Courier New"/>
                <w:color w:val="000000"/>
                <w:kern w:val="0"/>
                <w:sz w:val="18"/>
                <w:szCs w:val="18"/>
                <w:lang w:eastAsia="en-GB"/>
                <w14:ligatures w14:val="none"/>
              </w:rPr>
              <w:t>(</w:t>
            </w:r>
            <w:proofErr w:type="gramEnd"/>
            <w:r w:rsidRPr="005616E0">
              <w:rPr>
                <w:rFonts w:ascii="Courier New" w:eastAsia="Times New Roman" w:hAnsi="Courier New" w:cs="Courier New"/>
                <w:color w:val="000000"/>
                <w:kern w:val="0"/>
                <w:sz w:val="18"/>
                <w:szCs w:val="18"/>
                <w:lang w:eastAsia="en-GB"/>
                <w14:ligatures w14:val="none"/>
              </w:rPr>
              <w:t>)</w:t>
            </w:r>
          </w:p>
        </w:tc>
        <w:tc>
          <w:tcPr>
            <w:tcW w:w="2654" w:type="dxa"/>
            <w:vMerge w:val="restart"/>
            <w:tcBorders>
              <w:top w:val="nil"/>
              <w:left w:val="nil"/>
              <w:bottom w:val="nil"/>
              <w:right w:val="nil"/>
            </w:tcBorders>
            <w:shd w:val="clear" w:color="auto" w:fill="auto"/>
            <w:noWrap/>
            <w:vAlign w:val="center"/>
            <w:hideMark/>
          </w:tcPr>
          <w:p w14:paraId="117EF198"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Pool initial distribution</w:t>
            </w:r>
            <w:r w:rsidRPr="005616E0">
              <w:rPr>
                <w:rFonts w:ascii="Aptos Narrow" w:eastAsia="Times New Roman" w:hAnsi="Aptos Narrow" w:cs="Times New Roman"/>
                <w:color w:val="000000"/>
                <w:kern w:val="0"/>
                <w:sz w:val="20"/>
                <w:szCs w:val="20"/>
                <w:vertAlign w:val="superscript"/>
                <w:lang w:eastAsia="en-GB"/>
                <w14:ligatures w14:val="none"/>
              </w:rPr>
              <w:t>15</w:t>
            </w:r>
          </w:p>
        </w:tc>
        <w:tc>
          <w:tcPr>
            <w:tcW w:w="1984" w:type="dxa"/>
            <w:tcBorders>
              <w:top w:val="nil"/>
              <w:left w:val="nil"/>
              <w:bottom w:val="nil"/>
              <w:right w:val="nil"/>
            </w:tcBorders>
            <w:shd w:val="clear" w:color="auto" w:fill="auto"/>
            <w:noWrap/>
            <w:vAlign w:val="bottom"/>
            <w:hideMark/>
          </w:tcPr>
          <w:p w14:paraId="4E06FE07"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f_hum_top</w:t>
            </w:r>
            <w:proofErr w:type="spellEnd"/>
          </w:p>
        </w:tc>
        <w:tc>
          <w:tcPr>
            <w:tcW w:w="851" w:type="dxa"/>
            <w:tcBorders>
              <w:top w:val="nil"/>
              <w:left w:val="nil"/>
              <w:bottom w:val="nil"/>
              <w:right w:val="nil"/>
            </w:tcBorders>
            <w:shd w:val="clear" w:color="auto" w:fill="auto"/>
            <w:noWrap/>
            <w:vAlign w:val="bottom"/>
            <w:hideMark/>
          </w:tcPr>
          <w:p w14:paraId="7D4C3A04"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705AA5BC"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0.533</w:t>
            </w:r>
          </w:p>
        </w:tc>
      </w:tr>
      <w:tr w:rsidR="005616E0" w:rsidRPr="005616E0" w14:paraId="66E9003E" w14:textId="77777777" w:rsidTr="00033969">
        <w:trPr>
          <w:gridAfter w:val="1"/>
          <w:wAfter w:w="325" w:type="dxa"/>
          <w:trHeight w:val="173"/>
        </w:trPr>
        <w:tc>
          <w:tcPr>
            <w:tcW w:w="2733" w:type="dxa"/>
            <w:vMerge/>
            <w:vAlign w:val="center"/>
            <w:hideMark/>
          </w:tcPr>
          <w:p w14:paraId="505DAE7E"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vMerge/>
            <w:vAlign w:val="center"/>
            <w:hideMark/>
          </w:tcPr>
          <w:p w14:paraId="34FBF5BC"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1984" w:type="dxa"/>
            <w:tcBorders>
              <w:top w:val="nil"/>
              <w:left w:val="nil"/>
              <w:bottom w:val="nil"/>
              <w:right w:val="nil"/>
            </w:tcBorders>
            <w:shd w:val="clear" w:color="auto" w:fill="auto"/>
            <w:noWrap/>
            <w:vAlign w:val="bottom"/>
            <w:hideMark/>
          </w:tcPr>
          <w:p w14:paraId="410EFE98"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f_rom_top</w:t>
            </w:r>
            <w:proofErr w:type="spellEnd"/>
          </w:p>
        </w:tc>
        <w:tc>
          <w:tcPr>
            <w:tcW w:w="851" w:type="dxa"/>
            <w:tcBorders>
              <w:top w:val="nil"/>
              <w:left w:val="nil"/>
              <w:bottom w:val="nil"/>
              <w:right w:val="nil"/>
            </w:tcBorders>
            <w:shd w:val="clear" w:color="auto" w:fill="auto"/>
            <w:noWrap/>
            <w:vAlign w:val="bottom"/>
            <w:hideMark/>
          </w:tcPr>
          <w:p w14:paraId="7749EA20"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69A7D6D1"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0.405</w:t>
            </w:r>
          </w:p>
        </w:tc>
      </w:tr>
      <w:tr w:rsidR="005616E0" w:rsidRPr="005616E0" w14:paraId="55A64AB9" w14:textId="77777777" w:rsidTr="00033969">
        <w:trPr>
          <w:gridAfter w:val="1"/>
          <w:wAfter w:w="325" w:type="dxa"/>
          <w:trHeight w:val="173"/>
        </w:trPr>
        <w:tc>
          <w:tcPr>
            <w:tcW w:w="2733" w:type="dxa"/>
            <w:vMerge/>
            <w:vAlign w:val="center"/>
            <w:hideMark/>
          </w:tcPr>
          <w:p w14:paraId="13BB2F15"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vMerge/>
            <w:vAlign w:val="center"/>
            <w:hideMark/>
          </w:tcPr>
          <w:p w14:paraId="0F09E2F7"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1984" w:type="dxa"/>
            <w:tcBorders>
              <w:top w:val="nil"/>
              <w:left w:val="nil"/>
              <w:bottom w:val="nil"/>
              <w:right w:val="nil"/>
            </w:tcBorders>
            <w:shd w:val="clear" w:color="auto" w:fill="auto"/>
            <w:noWrap/>
            <w:vAlign w:val="bottom"/>
            <w:hideMark/>
          </w:tcPr>
          <w:p w14:paraId="0954E943"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f_hum_sub</w:t>
            </w:r>
            <w:proofErr w:type="spellEnd"/>
          </w:p>
        </w:tc>
        <w:tc>
          <w:tcPr>
            <w:tcW w:w="851" w:type="dxa"/>
            <w:tcBorders>
              <w:top w:val="nil"/>
              <w:left w:val="nil"/>
              <w:bottom w:val="nil"/>
              <w:right w:val="nil"/>
            </w:tcBorders>
            <w:shd w:val="clear" w:color="auto" w:fill="auto"/>
            <w:noWrap/>
            <w:vAlign w:val="bottom"/>
            <w:hideMark/>
          </w:tcPr>
          <w:p w14:paraId="1985666A"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2DB6B764"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0.387</w:t>
            </w:r>
          </w:p>
        </w:tc>
      </w:tr>
      <w:tr w:rsidR="005616E0" w:rsidRPr="005616E0" w14:paraId="4162582A" w14:textId="77777777" w:rsidTr="00033969">
        <w:trPr>
          <w:gridAfter w:val="1"/>
          <w:wAfter w:w="325" w:type="dxa"/>
          <w:trHeight w:val="173"/>
        </w:trPr>
        <w:tc>
          <w:tcPr>
            <w:tcW w:w="2733" w:type="dxa"/>
            <w:vMerge/>
            <w:vAlign w:val="center"/>
            <w:hideMark/>
          </w:tcPr>
          <w:p w14:paraId="678D7B6A"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vMerge/>
            <w:vAlign w:val="center"/>
            <w:hideMark/>
          </w:tcPr>
          <w:p w14:paraId="39C4740A"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1984" w:type="dxa"/>
            <w:tcBorders>
              <w:top w:val="nil"/>
              <w:left w:val="nil"/>
              <w:bottom w:val="nil"/>
              <w:right w:val="nil"/>
            </w:tcBorders>
            <w:shd w:val="clear" w:color="auto" w:fill="auto"/>
            <w:noWrap/>
            <w:vAlign w:val="bottom"/>
            <w:hideMark/>
          </w:tcPr>
          <w:p w14:paraId="40A47801"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f_rom_sub</w:t>
            </w:r>
            <w:proofErr w:type="spellEnd"/>
          </w:p>
        </w:tc>
        <w:tc>
          <w:tcPr>
            <w:tcW w:w="851" w:type="dxa"/>
            <w:tcBorders>
              <w:top w:val="nil"/>
              <w:left w:val="nil"/>
              <w:bottom w:val="nil"/>
              <w:right w:val="nil"/>
            </w:tcBorders>
            <w:shd w:val="clear" w:color="auto" w:fill="auto"/>
            <w:noWrap/>
            <w:vAlign w:val="bottom"/>
            <w:hideMark/>
          </w:tcPr>
          <w:p w14:paraId="009C8613"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xml:space="preserve">‰ </w:t>
            </w:r>
          </w:p>
        </w:tc>
        <w:tc>
          <w:tcPr>
            <w:tcW w:w="992" w:type="dxa"/>
            <w:tcBorders>
              <w:top w:val="nil"/>
              <w:left w:val="nil"/>
              <w:bottom w:val="nil"/>
              <w:right w:val="nil"/>
            </w:tcBorders>
            <w:shd w:val="clear" w:color="auto" w:fill="auto"/>
            <w:noWrap/>
            <w:vAlign w:val="bottom"/>
            <w:hideMark/>
          </w:tcPr>
          <w:p w14:paraId="0FD033DD"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0.610</w:t>
            </w:r>
          </w:p>
        </w:tc>
      </w:tr>
      <w:tr w:rsidR="005616E0" w:rsidRPr="005616E0" w14:paraId="0535D483" w14:textId="77777777" w:rsidTr="00033969">
        <w:trPr>
          <w:gridAfter w:val="1"/>
          <w:wAfter w:w="325" w:type="dxa"/>
          <w:trHeight w:val="173"/>
        </w:trPr>
        <w:tc>
          <w:tcPr>
            <w:tcW w:w="2733" w:type="dxa"/>
            <w:vMerge/>
            <w:vAlign w:val="center"/>
            <w:hideMark/>
          </w:tcPr>
          <w:p w14:paraId="74DD0F0B"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p>
        </w:tc>
        <w:tc>
          <w:tcPr>
            <w:tcW w:w="2654" w:type="dxa"/>
            <w:tcBorders>
              <w:top w:val="nil"/>
              <w:left w:val="nil"/>
              <w:bottom w:val="single" w:sz="4" w:space="0" w:color="auto"/>
              <w:right w:val="nil"/>
            </w:tcBorders>
            <w:shd w:val="clear" w:color="auto" w:fill="auto"/>
            <w:noWrap/>
            <w:vAlign w:val="bottom"/>
            <w:hideMark/>
          </w:tcPr>
          <w:p w14:paraId="5F9721F7" w14:textId="77777777" w:rsidR="005616E0" w:rsidRPr="005616E0" w:rsidRDefault="005616E0" w:rsidP="005616E0">
            <w:pPr>
              <w:spacing w:after="0" w:line="240" w:lineRule="auto"/>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 xml:space="preserve">Initial C/N </w:t>
            </w:r>
          </w:p>
        </w:tc>
        <w:tc>
          <w:tcPr>
            <w:tcW w:w="1984" w:type="dxa"/>
            <w:tcBorders>
              <w:top w:val="nil"/>
              <w:left w:val="nil"/>
              <w:bottom w:val="single" w:sz="4" w:space="0" w:color="auto"/>
              <w:right w:val="nil"/>
            </w:tcBorders>
            <w:shd w:val="clear" w:color="auto" w:fill="auto"/>
            <w:noWrap/>
            <w:vAlign w:val="bottom"/>
            <w:hideMark/>
          </w:tcPr>
          <w:p w14:paraId="43FEDC11" w14:textId="77777777" w:rsidR="005616E0" w:rsidRPr="005616E0" w:rsidRDefault="005616E0" w:rsidP="005616E0">
            <w:pPr>
              <w:spacing w:after="0" w:line="240" w:lineRule="auto"/>
              <w:rPr>
                <w:rFonts w:ascii="Courier New" w:eastAsia="Times New Roman" w:hAnsi="Courier New" w:cs="Courier New"/>
                <w:color w:val="000000"/>
                <w:kern w:val="0"/>
                <w:sz w:val="18"/>
                <w:szCs w:val="18"/>
                <w:lang w:eastAsia="en-GB"/>
                <w14:ligatures w14:val="none"/>
              </w:rPr>
            </w:pPr>
            <w:proofErr w:type="spellStart"/>
            <w:r w:rsidRPr="005616E0">
              <w:rPr>
                <w:rFonts w:ascii="Courier New" w:eastAsia="Times New Roman" w:hAnsi="Courier New" w:cs="Courier New"/>
                <w:color w:val="000000"/>
                <w:kern w:val="0"/>
                <w:sz w:val="18"/>
                <w:szCs w:val="18"/>
                <w:lang w:eastAsia="en-GB"/>
                <w14:ligatures w14:val="none"/>
              </w:rPr>
              <w:t>cn</w:t>
            </w:r>
            <w:proofErr w:type="spellEnd"/>
          </w:p>
        </w:tc>
        <w:tc>
          <w:tcPr>
            <w:tcW w:w="851" w:type="dxa"/>
            <w:tcBorders>
              <w:top w:val="nil"/>
              <w:left w:val="nil"/>
              <w:bottom w:val="single" w:sz="4" w:space="0" w:color="auto"/>
              <w:right w:val="nil"/>
            </w:tcBorders>
            <w:shd w:val="clear" w:color="auto" w:fill="auto"/>
            <w:noWrap/>
            <w:vAlign w:val="bottom"/>
            <w:hideMark/>
          </w:tcPr>
          <w:p w14:paraId="234D6220" w14:textId="77777777" w:rsidR="005616E0" w:rsidRPr="005616E0" w:rsidRDefault="005616E0" w:rsidP="005616E0">
            <w:pPr>
              <w:spacing w:after="0" w:line="240" w:lineRule="auto"/>
              <w:rPr>
                <w:rFonts w:ascii="Aptos Narrow" w:eastAsia="Times New Roman" w:hAnsi="Aptos Narrow" w:cs="Times New Roman"/>
                <w:color w:val="000000"/>
                <w:kern w:val="0"/>
                <w:sz w:val="18"/>
                <w:szCs w:val="18"/>
                <w:lang w:eastAsia="en-GB"/>
                <w14:ligatures w14:val="none"/>
              </w:rPr>
            </w:pPr>
            <w:r w:rsidRPr="005616E0">
              <w:rPr>
                <w:rFonts w:ascii="Aptos Narrow" w:eastAsia="Times New Roman" w:hAnsi="Aptos Narrow" w:cs="Times New Roman"/>
                <w:color w:val="000000"/>
                <w:kern w:val="0"/>
                <w:sz w:val="18"/>
                <w:szCs w:val="18"/>
                <w:lang w:eastAsia="en-GB"/>
                <w14:ligatures w14:val="none"/>
              </w:rPr>
              <w:t> </w:t>
            </w:r>
          </w:p>
        </w:tc>
        <w:tc>
          <w:tcPr>
            <w:tcW w:w="992" w:type="dxa"/>
            <w:tcBorders>
              <w:top w:val="nil"/>
              <w:left w:val="nil"/>
              <w:bottom w:val="single" w:sz="4" w:space="0" w:color="auto"/>
              <w:right w:val="nil"/>
            </w:tcBorders>
            <w:shd w:val="clear" w:color="auto" w:fill="auto"/>
            <w:noWrap/>
            <w:vAlign w:val="bottom"/>
            <w:hideMark/>
          </w:tcPr>
          <w:p w14:paraId="6ABA3951" w14:textId="77777777" w:rsidR="005616E0" w:rsidRPr="005616E0" w:rsidRDefault="005616E0" w:rsidP="005616E0">
            <w:pPr>
              <w:spacing w:after="0" w:line="240" w:lineRule="auto"/>
              <w:jc w:val="right"/>
              <w:rPr>
                <w:rFonts w:ascii="Aptos Narrow" w:eastAsia="Times New Roman" w:hAnsi="Aptos Narrow" w:cs="Times New Roman"/>
                <w:color w:val="000000"/>
                <w:kern w:val="0"/>
                <w:sz w:val="20"/>
                <w:szCs w:val="20"/>
                <w:lang w:eastAsia="en-GB"/>
                <w14:ligatures w14:val="none"/>
              </w:rPr>
            </w:pPr>
            <w:r w:rsidRPr="005616E0">
              <w:rPr>
                <w:rFonts w:ascii="Aptos Narrow" w:eastAsia="Times New Roman" w:hAnsi="Aptos Narrow" w:cs="Times New Roman"/>
                <w:color w:val="000000"/>
                <w:kern w:val="0"/>
                <w:sz w:val="20"/>
                <w:szCs w:val="20"/>
                <w:lang w:eastAsia="en-GB"/>
                <w14:ligatures w14:val="none"/>
              </w:rPr>
              <w:t>10</w:t>
            </w:r>
          </w:p>
        </w:tc>
      </w:tr>
      <w:tr w:rsidR="005616E0" w:rsidRPr="005616E0" w14:paraId="4208C04C" w14:textId="77777777" w:rsidTr="00033969">
        <w:trPr>
          <w:trHeight w:val="176"/>
        </w:trPr>
        <w:tc>
          <w:tcPr>
            <w:tcW w:w="9539" w:type="dxa"/>
            <w:gridSpan w:val="6"/>
            <w:tcBorders>
              <w:top w:val="single" w:sz="4" w:space="0" w:color="auto"/>
              <w:left w:val="nil"/>
              <w:bottom w:val="nil"/>
              <w:right w:val="nil"/>
            </w:tcBorders>
            <w:shd w:val="clear" w:color="auto" w:fill="auto"/>
            <w:vAlign w:val="bottom"/>
            <w:hideMark/>
          </w:tcPr>
          <w:p w14:paraId="7D265145"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1</w:t>
            </w:r>
            <w:r w:rsidRPr="005616E0">
              <w:rPr>
                <w:rFonts w:ascii="Aptos Narrow" w:eastAsia="Times New Roman" w:hAnsi="Aptos Narrow" w:cs="Times New Roman"/>
                <w:color w:val="000000"/>
                <w:kern w:val="0"/>
                <w:sz w:val="16"/>
                <w:szCs w:val="16"/>
                <w:lang w:eastAsia="en-GB"/>
                <w14:ligatures w14:val="none"/>
              </w:rPr>
              <w:t>The period is defined for the start and end year of the simulation, this multiplied by 12 to give the number of steps in the simulation correctly.</w:t>
            </w:r>
          </w:p>
        </w:tc>
      </w:tr>
      <w:tr w:rsidR="005616E0" w:rsidRPr="005616E0" w14:paraId="1B8A6B97" w14:textId="77777777" w:rsidTr="00033969">
        <w:trPr>
          <w:trHeight w:val="529"/>
        </w:trPr>
        <w:tc>
          <w:tcPr>
            <w:tcW w:w="9539" w:type="dxa"/>
            <w:gridSpan w:val="6"/>
            <w:tcBorders>
              <w:top w:val="nil"/>
              <w:left w:val="nil"/>
              <w:bottom w:val="nil"/>
              <w:right w:val="nil"/>
            </w:tcBorders>
            <w:shd w:val="clear" w:color="auto" w:fill="auto"/>
            <w:vAlign w:val="bottom"/>
            <w:hideMark/>
          </w:tcPr>
          <w:p w14:paraId="64C603BE"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2</w:t>
            </w:r>
            <w:r w:rsidRPr="005616E0">
              <w:rPr>
                <w:rFonts w:ascii="Aptos Narrow" w:eastAsia="Times New Roman" w:hAnsi="Aptos Narrow" w:cs="Times New Roman"/>
                <w:color w:val="000000"/>
                <w:kern w:val="0"/>
                <w:sz w:val="16"/>
                <w:szCs w:val="16"/>
                <w:lang w:eastAsia="en-GB"/>
                <w14:ligatures w14:val="none"/>
              </w:rPr>
              <w:t>As the C inputs are calculated annually; this vector determines the proportion of the annual estimate in each month. For grass crops, the distribution can be changed to a smoother one. Cereals = c(0,0,0,8,12,16,64,0,0,0,0,0,0)/100; Grass = c(1,1,2,7,12,15,17,16,14,9,5,1)/100; Manure = c(0,0,100,0,0,0,0,0,0,0,0,0,0,0,0)/100.</w:t>
            </w:r>
          </w:p>
        </w:tc>
      </w:tr>
      <w:tr w:rsidR="005616E0" w:rsidRPr="005616E0" w14:paraId="5AE057E1" w14:textId="77777777" w:rsidTr="00033969">
        <w:trPr>
          <w:trHeight w:val="372"/>
        </w:trPr>
        <w:tc>
          <w:tcPr>
            <w:tcW w:w="9539" w:type="dxa"/>
            <w:gridSpan w:val="6"/>
            <w:tcBorders>
              <w:top w:val="nil"/>
              <w:left w:val="nil"/>
              <w:bottom w:val="nil"/>
              <w:right w:val="nil"/>
            </w:tcBorders>
            <w:shd w:val="clear" w:color="auto" w:fill="auto"/>
            <w:vAlign w:val="bottom"/>
            <w:hideMark/>
          </w:tcPr>
          <w:p w14:paraId="284E31FC"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3</w:t>
            </w:r>
            <w:r w:rsidRPr="005616E0">
              <w:rPr>
                <w:rFonts w:ascii="Aptos Narrow" w:eastAsia="Times New Roman" w:hAnsi="Aptos Narrow" w:cs="Times New Roman"/>
                <w:color w:val="000000"/>
                <w:kern w:val="0"/>
                <w:sz w:val="16"/>
                <w:szCs w:val="16"/>
                <w:lang w:eastAsia="en-GB"/>
                <w14:ligatures w14:val="none"/>
              </w:rPr>
              <w:t xml:space="preserve">The proportion of C in the organic fertiliser can be modified according to the origin of the material. Based on Thomsen et al. 2013: </w:t>
            </w:r>
            <w:proofErr w:type="spellStart"/>
            <w:r w:rsidRPr="005616E0">
              <w:rPr>
                <w:rFonts w:ascii="Aptos Narrow" w:eastAsia="Times New Roman" w:hAnsi="Aptos Narrow" w:cs="Times New Roman"/>
                <w:color w:val="000000"/>
                <w:kern w:val="0"/>
                <w:sz w:val="16"/>
                <w:szCs w:val="16"/>
                <w:lang w:eastAsia="en-GB"/>
                <w14:ligatures w14:val="none"/>
              </w:rPr>
              <w:t>Feaces</w:t>
            </w:r>
            <w:proofErr w:type="spellEnd"/>
            <w:r w:rsidRPr="005616E0">
              <w:rPr>
                <w:rFonts w:ascii="Aptos Narrow" w:eastAsia="Times New Roman" w:hAnsi="Aptos Narrow" w:cs="Times New Roman"/>
                <w:color w:val="000000"/>
                <w:kern w:val="0"/>
                <w:sz w:val="16"/>
                <w:szCs w:val="16"/>
                <w:lang w:eastAsia="en-GB"/>
                <w14:ligatures w14:val="none"/>
              </w:rPr>
              <w:t xml:space="preserve">=0.1; Digested </w:t>
            </w:r>
            <w:proofErr w:type="spellStart"/>
            <w:r w:rsidRPr="005616E0">
              <w:rPr>
                <w:rFonts w:ascii="Aptos Narrow" w:eastAsia="Times New Roman" w:hAnsi="Aptos Narrow" w:cs="Times New Roman"/>
                <w:color w:val="000000"/>
                <w:kern w:val="0"/>
                <w:sz w:val="16"/>
                <w:szCs w:val="16"/>
                <w:lang w:eastAsia="en-GB"/>
                <w14:ligatures w14:val="none"/>
              </w:rPr>
              <w:t>Feaces</w:t>
            </w:r>
            <w:proofErr w:type="spellEnd"/>
            <w:r w:rsidRPr="005616E0">
              <w:rPr>
                <w:rFonts w:ascii="Aptos Narrow" w:eastAsia="Times New Roman" w:hAnsi="Aptos Narrow" w:cs="Times New Roman"/>
                <w:color w:val="000000"/>
                <w:kern w:val="0"/>
                <w:sz w:val="16"/>
                <w:szCs w:val="16"/>
                <w:lang w:eastAsia="en-GB"/>
                <w14:ligatures w14:val="none"/>
              </w:rPr>
              <w:t>=0.63 and Digested Feed=0.39.</w:t>
            </w:r>
          </w:p>
        </w:tc>
      </w:tr>
      <w:tr w:rsidR="005616E0" w:rsidRPr="005616E0" w14:paraId="4780009C" w14:textId="77777777" w:rsidTr="00033969">
        <w:trPr>
          <w:trHeight w:val="173"/>
        </w:trPr>
        <w:tc>
          <w:tcPr>
            <w:tcW w:w="9539" w:type="dxa"/>
            <w:gridSpan w:val="6"/>
            <w:tcBorders>
              <w:top w:val="nil"/>
              <w:left w:val="nil"/>
              <w:bottom w:val="nil"/>
              <w:right w:val="nil"/>
            </w:tcBorders>
            <w:shd w:val="clear" w:color="auto" w:fill="auto"/>
            <w:vAlign w:val="bottom"/>
            <w:hideMark/>
          </w:tcPr>
          <w:p w14:paraId="6B982994"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4</w:t>
            </w:r>
            <w:r w:rsidRPr="005616E0">
              <w:rPr>
                <w:rFonts w:ascii="Aptos Narrow" w:eastAsia="Times New Roman" w:hAnsi="Aptos Narrow" w:cs="Times New Roman"/>
                <w:color w:val="000000"/>
                <w:kern w:val="0"/>
                <w:sz w:val="16"/>
                <w:szCs w:val="16"/>
                <w:lang w:eastAsia="en-GB"/>
                <w14:ligatures w14:val="none"/>
              </w:rPr>
              <w:t>Derived from allometric calculations, see equations 6 to 9.</w:t>
            </w:r>
          </w:p>
        </w:tc>
      </w:tr>
      <w:tr w:rsidR="005616E0" w:rsidRPr="005616E0" w14:paraId="7D0EF21E" w14:textId="77777777" w:rsidTr="00033969">
        <w:trPr>
          <w:trHeight w:val="98"/>
        </w:trPr>
        <w:tc>
          <w:tcPr>
            <w:tcW w:w="9539" w:type="dxa"/>
            <w:gridSpan w:val="6"/>
            <w:tcBorders>
              <w:top w:val="nil"/>
              <w:left w:val="nil"/>
              <w:bottom w:val="nil"/>
              <w:right w:val="nil"/>
            </w:tcBorders>
            <w:shd w:val="clear" w:color="auto" w:fill="auto"/>
            <w:vAlign w:val="bottom"/>
            <w:hideMark/>
          </w:tcPr>
          <w:p w14:paraId="14A4459A"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5</w:t>
            </w:r>
            <w:r w:rsidRPr="005616E0">
              <w:rPr>
                <w:rFonts w:ascii="Aptos Narrow" w:eastAsia="Times New Roman" w:hAnsi="Aptos Narrow" w:cs="Times New Roman"/>
                <w:color w:val="000000"/>
                <w:kern w:val="0"/>
                <w:sz w:val="16"/>
                <w:szCs w:val="16"/>
                <w:lang w:eastAsia="en-GB"/>
                <w14:ligatures w14:val="none"/>
              </w:rPr>
              <w:t xml:space="preserve">C inputs from organic fertilisation can be determined depending on the origin of the manure; </w:t>
            </w:r>
            <w:r w:rsidRPr="005616E0">
              <w:rPr>
                <w:rFonts w:ascii="Aptos Narrow" w:eastAsia="Times New Roman" w:hAnsi="Aptos Narrow" w:cs="Times New Roman"/>
                <w:color w:val="FF0000"/>
                <w:kern w:val="0"/>
                <w:sz w:val="16"/>
                <w:szCs w:val="16"/>
                <w:lang w:eastAsia="en-GB"/>
                <w14:ligatures w14:val="none"/>
              </w:rPr>
              <w:t>see the farm manure report.</w:t>
            </w:r>
          </w:p>
        </w:tc>
      </w:tr>
      <w:tr w:rsidR="005616E0" w:rsidRPr="005616E0" w14:paraId="5130163E" w14:textId="77777777" w:rsidTr="00033969">
        <w:trPr>
          <w:trHeight w:val="59"/>
        </w:trPr>
        <w:tc>
          <w:tcPr>
            <w:tcW w:w="9539" w:type="dxa"/>
            <w:gridSpan w:val="6"/>
            <w:tcBorders>
              <w:top w:val="nil"/>
              <w:left w:val="nil"/>
              <w:bottom w:val="nil"/>
              <w:right w:val="nil"/>
            </w:tcBorders>
            <w:shd w:val="clear" w:color="auto" w:fill="auto"/>
            <w:vAlign w:val="bottom"/>
            <w:hideMark/>
          </w:tcPr>
          <w:p w14:paraId="416B6C8C"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6</w:t>
            </w:r>
            <w:r w:rsidRPr="005616E0">
              <w:rPr>
                <w:rFonts w:ascii="Aptos Narrow" w:eastAsia="Times New Roman" w:hAnsi="Aptos Narrow" w:cs="Times New Roman"/>
                <w:color w:val="000000"/>
                <w:kern w:val="0"/>
                <w:sz w:val="16"/>
                <w:szCs w:val="16"/>
                <w:lang w:eastAsia="en-GB"/>
                <w14:ligatures w14:val="none"/>
              </w:rPr>
              <w:t xml:space="preserve">If not counted with precise data in can be derived from soil type or taxonomy. </w:t>
            </w:r>
          </w:p>
        </w:tc>
      </w:tr>
      <w:tr w:rsidR="005616E0" w:rsidRPr="005616E0" w14:paraId="65CD6C53" w14:textId="77777777" w:rsidTr="00033969">
        <w:trPr>
          <w:trHeight w:val="463"/>
        </w:trPr>
        <w:tc>
          <w:tcPr>
            <w:tcW w:w="9539" w:type="dxa"/>
            <w:gridSpan w:val="6"/>
            <w:tcBorders>
              <w:top w:val="nil"/>
              <w:left w:val="nil"/>
              <w:bottom w:val="nil"/>
              <w:right w:val="nil"/>
            </w:tcBorders>
            <w:shd w:val="clear" w:color="auto" w:fill="auto"/>
            <w:vAlign w:val="bottom"/>
            <w:hideMark/>
          </w:tcPr>
          <w:p w14:paraId="3CD22B21"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7</w:t>
            </w:r>
            <w:r w:rsidRPr="005616E0">
              <w:rPr>
                <w:rFonts w:ascii="Aptos Narrow" w:eastAsia="Times New Roman" w:hAnsi="Aptos Narrow" w:cs="Times New Roman"/>
                <w:color w:val="000000"/>
                <w:kern w:val="0"/>
                <w:sz w:val="16"/>
                <w:szCs w:val="16"/>
                <w:lang w:eastAsia="en-GB"/>
                <w14:ligatures w14:val="none"/>
              </w:rPr>
              <w:t xml:space="preserve"> The diffusivity coefficient is the same for the complete simulation period. This parameter can vary with soil moisture and therefore soil texture. For Danish soil types, reference can be made to </w:t>
            </w:r>
            <w:bookmarkStart w:id="0" w:name="_Hlk162456314"/>
            <w:r w:rsidRPr="005616E0">
              <w:rPr>
                <w:rFonts w:ascii="Aptos Narrow" w:eastAsia="Times New Roman" w:hAnsi="Aptos Narrow" w:cs="Times New Roman"/>
                <w:color w:val="000000"/>
                <w:kern w:val="0"/>
                <w:sz w:val="16"/>
                <w:szCs w:val="16"/>
                <w:lang w:eastAsia="en-GB"/>
                <w14:ligatures w14:val="none"/>
              </w:rPr>
              <w:t xml:space="preserve">Schjønning (2021) </w:t>
            </w:r>
            <w:bookmarkEnd w:id="0"/>
            <w:r w:rsidRPr="005616E0">
              <w:rPr>
                <w:rFonts w:ascii="Aptos Narrow" w:eastAsia="Times New Roman" w:hAnsi="Aptos Narrow" w:cs="Times New Roman"/>
                <w:color w:val="000000"/>
                <w:kern w:val="0"/>
                <w:sz w:val="16"/>
                <w:szCs w:val="16"/>
                <w:lang w:eastAsia="en-GB"/>
                <w14:ligatures w14:val="none"/>
              </w:rPr>
              <w:t xml:space="preserve">and additional pedometric functions can be used following </w:t>
            </w:r>
            <w:proofErr w:type="spellStart"/>
            <w:r w:rsidRPr="005616E0">
              <w:rPr>
                <w:rFonts w:ascii="Aptos Narrow" w:eastAsia="Times New Roman" w:hAnsi="Aptos Narrow" w:cs="Times New Roman"/>
                <w:color w:val="000000"/>
                <w:kern w:val="0"/>
                <w:sz w:val="16"/>
                <w:szCs w:val="16"/>
                <w:lang w:eastAsia="en-GB"/>
                <w14:ligatures w14:val="none"/>
              </w:rPr>
              <w:t>Arkhangelskaya</w:t>
            </w:r>
            <w:proofErr w:type="spellEnd"/>
            <w:r w:rsidRPr="005616E0">
              <w:rPr>
                <w:rFonts w:ascii="Aptos Narrow" w:eastAsia="Times New Roman" w:hAnsi="Aptos Narrow" w:cs="Times New Roman"/>
                <w:color w:val="000000"/>
                <w:kern w:val="0"/>
                <w:sz w:val="16"/>
                <w:szCs w:val="16"/>
                <w:lang w:eastAsia="en-GB"/>
                <w14:ligatures w14:val="none"/>
              </w:rPr>
              <w:t xml:space="preserve"> and </w:t>
            </w:r>
            <w:proofErr w:type="spellStart"/>
            <w:r w:rsidRPr="005616E0">
              <w:rPr>
                <w:rFonts w:ascii="Aptos Narrow" w:eastAsia="Times New Roman" w:hAnsi="Aptos Narrow" w:cs="Times New Roman"/>
                <w:color w:val="000000"/>
                <w:kern w:val="0"/>
                <w:sz w:val="16"/>
                <w:szCs w:val="16"/>
                <w:lang w:eastAsia="en-GB"/>
                <w14:ligatures w14:val="none"/>
              </w:rPr>
              <w:t>Lukyashchenko</w:t>
            </w:r>
            <w:proofErr w:type="spellEnd"/>
            <w:r w:rsidRPr="005616E0">
              <w:rPr>
                <w:rFonts w:ascii="Aptos Narrow" w:eastAsia="Times New Roman" w:hAnsi="Aptos Narrow" w:cs="Times New Roman"/>
                <w:color w:val="000000"/>
                <w:kern w:val="0"/>
                <w:sz w:val="16"/>
                <w:szCs w:val="16"/>
                <w:lang w:eastAsia="en-GB"/>
                <w14:ligatures w14:val="none"/>
              </w:rPr>
              <w:t xml:space="preserve"> (2018).</w:t>
            </w:r>
          </w:p>
        </w:tc>
      </w:tr>
      <w:tr w:rsidR="005616E0" w:rsidRPr="005616E0" w14:paraId="61A83723" w14:textId="77777777" w:rsidTr="00033969">
        <w:trPr>
          <w:trHeight w:val="173"/>
        </w:trPr>
        <w:tc>
          <w:tcPr>
            <w:tcW w:w="9539" w:type="dxa"/>
            <w:gridSpan w:val="6"/>
            <w:tcBorders>
              <w:top w:val="nil"/>
              <w:left w:val="nil"/>
              <w:bottom w:val="nil"/>
              <w:right w:val="nil"/>
            </w:tcBorders>
            <w:shd w:val="clear" w:color="auto" w:fill="auto"/>
            <w:vAlign w:val="bottom"/>
            <w:hideMark/>
          </w:tcPr>
          <w:p w14:paraId="14C1961B"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8</w:t>
            </w:r>
            <w:r w:rsidRPr="005616E0">
              <w:rPr>
                <w:rFonts w:ascii="Aptos Narrow" w:eastAsia="Times New Roman" w:hAnsi="Aptos Narrow" w:cs="Times New Roman"/>
                <w:color w:val="000000"/>
                <w:kern w:val="0"/>
                <w:sz w:val="16"/>
                <w:szCs w:val="16"/>
                <w:lang w:eastAsia="en-GB"/>
                <w14:ligatures w14:val="none"/>
              </w:rPr>
              <w:t xml:space="preserve">Proportion of C content in the first 25 cm depth, i.e. topsoil. </w:t>
            </w:r>
          </w:p>
        </w:tc>
      </w:tr>
      <w:tr w:rsidR="005616E0" w:rsidRPr="005616E0" w14:paraId="0C14A529" w14:textId="77777777" w:rsidTr="00033969">
        <w:trPr>
          <w:trHeight w:val="173"/>
        </w:trPr>
        <w:tc>
          <w:tcPr>
            <w:tcW w:w="9539" w:type="dxa"/>
            <w:gridSpan w:val="6"/>
            <w:tcBorders>
              <w:top w:val="nil"/>
              <w:left w:val="nil"/>
              <w:bottom w:val="nil"/>
              <w:right w:val="nil"/>
            </w:tcBorders>
            <w:shd w:val="clear" w:color="auto" w:fill="auto"/>
            <w:vAlign w:val="bottom"/>
            <w:hideMark/>
          </w:tcPr>
          <w:p w14:paraId="0D5835CD"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9</w:t>
            </w:r>
            <w:r w:rsidRPr="005616E0">
              <w:rPr>
                <w:rFonts w:ascii="Aptos Narrow" w:eastAsia="Times New Roman" w:hAnsi="Aptos Narrow" w:cs="Times New Roman"/>
                <w:color w:val="000000"/>
                <w:kern w:val="0"/>
                <w:sz w:val="16"/>
                <w:szCs w:val="16"/>
                <w:lang w:eastAsia="en-GB"/>
                <w14:ligatures w14:val="none"/>
              </w:rPr>
              <w:t>The decay rate of FOM is based on research by Petersen (2003) who reported annual rates of 1.44 y-1.</w:t>
            </w:r>
          </w:p>
        </w:tc>
      </w:tr>
      <w:tr w:rsidR="005616E0" w:rsidRPr="005616E0" w14:paraId="1171BA0A" w14:textId="77777777" w:rsidTr="00033969">
        <w:trPr>
          <w:trHeight w:val="173"/>
        </w:trPr>
        <w:tc>
          <w:tcPr>
            <w:tcW w:w="9539" w:type="dxa"/>
            <w:gridSpan w:val="6"/>
            <w:tcBorders>
              <w:top w:val="nil"/>
              <w:left w:val="nil"/>
              <w:bottom w:val="nil"/>
              <w:right w:val="nil"/>
            </w:tcBorders>
            <w:shd w:val="clear" w:color="auto" w:fill="auto"/>
            <w:vAlign w:val="bottom"/>
            <w:hideMark/>
          </w:tcPr>
          <w:p w14:paraId="0F10C567"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10</w:t>
            </w:r>
            <w:r w:rsidRPr="005616E0">
              <w:rPr>
                <w:rFonts w:ascii="Aptos Narrow" w:eastAsia="Times New Roman" w:hAnsi="Aptos Narrow" w:cs="Times New Roman"/>
                <w:color w:val="000000"/>
                <w:kern w:val="0"/>
                <w:sz w:val="16"/>
                <w:szCs w:val="16"/>
                <w:lang w:eastAsia="en-GB"/>
                <w14:ligatures w14:val="none"/>
              </w:rPr>
              <w:t>The decay rate of HUM was defined by calibration to the north-west European context by Petersen (2005).</w:t>
            </w:r>
          </w:p>
        </w:tc>
      </w:tr>
      <w:tr w:rsidR="005616E0" w:rsidRPr="005616E0" w14:paraId="7D53C7B5" w14:textId="77777777" w:rsidTr="00033969">
        <w:trPr>
          <w:trHeight w:val="173"/>
        </w:trPr>
        <w:tc>
          <w:tcPr>
            <w:tcW w:w="9539" w:type="dxa"/>
            <w:gridSpan w:val="6"/>
            <w:tcBorders>
              <w:top w:val="nil"/>
              <w:left w:val="nil"/>
              <w:bottom w:val="nil"/>
              <w:right w:val="nil"/>
            </w:tcBorders>
            <w:shd w:val="clear" w:color="auto" w:fill="auto"/>
            <w:vAlign w:val="bottom"/>
            <w:hideMark/>
          </w:tcPr>
          <w:p w14:paraId="52FADF42"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11</w:t>
            </w:r>
            <w:r w:rsidRPr="005616E0">
              <w:rPr>
                <w:rFonts w:ascii="Aptos Narrow" w:eastAsia="Times New Roman" w:hAnsi="Aptos Narrow" w:cs="Times New Roman"/>
                <w:color w:val="000000"/>
                <w:kern w:val="0"/>
                <w:sz w:val="16"/>
                <w:szCs w:val="16"/>
                <w:lang w:eastAsia="en-GB"/>
                <w14:ligatures w14:val="none"/>
              </w:rPr>
              <w:t xml:space="preserve">The decay rate of the ROM topsoil pool was calibrated to copy the 14C age of Askov soils "pre-bomb" measurements, Petersen (2003). </w:t>
            </w:r>
          </w:p>
        </w:tc>
      </w:tr>
      <w:tr w:rsidR="005616E0" w:rsidRPr="005616E0" w14:paraId="242E4C10" w14:textId="77777777" w:rsidTr="00033969">
        <w:trPr>
          <w:trHeight w:val="173"/>
        </w:trPr>
        <w:tc>
          <w:tcPr>
            <w:tcW w:w="9539" w:type="dxa"/>
            <w:gridSpan w:val="6"/>
            <w:tcBorders>
              <w:top w:val="nil"/>
              <w:left w:val="nil"/>
              <w:bottom w:val="nil"/>
              <w:right w:val="nil"/>
            </w:tcBorders>
            <w:shd w:val="clear" w:color="auto" w:fill="auto"/>
            <w:vAlign w:val="bottom"/>
            <w:hideMark/>
          </w:tcPr>
          <w:p w14:paraId="122157B4"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12</w:t>
            </w:r>
            <w:r w:rsidRPr="005616E0">
              <w:rPr>
                <w:rFonts w:ascii="Aptos Narrow" w:eastAsia="Times New Roman" w:hAnsi="Aptos Narrow" w:cs="Times New Roman"/>
                <w:color w:val="000000"/>
                <w:kern w:val="0"/>
                <w:sz w:val="16"/>
                <w:szCs w:val="16"/>
                <w:lang w:eastAsia="en-GB"/>
                <w14:ligatures w14:val="none"/>
              </w:rPr>
              <w:t>The fraction of HUM going to ROM was determined so that under 'steady state' the proportion of C in the topsoil ROM is constant at 0.405.</w:t>
            </w:r>
          </w:p>
        </w:tc>
      </w:tr>
      <w:tr w:rsidR="005616E0" w:rsidRPr="005616E0" w14:paraId="7D430A0D" w14:textId="77777777" w:rsidTr="00033969">
        <w:trPr>
          <w:trHeight w:val="173"/>
        </w:trPr>
        <w:tc>
          <w:tcPr>
            <w:tcW w:w="9539" w:type="dxa"/>
            <w:gridSpan w:val="6"/>
            <w:tcBorders>
              <w:top w:val="nil"/>
              <w:left w:val="nil"/>
              <w:bottom w:val="nil"/>
              <w:right w:val="nil"/>
            </w:tcBorders>
            <w:shd w:val="clear" w:color="auto" w:fill="auto"/>
            <w:vAlign w:val="bottom"/>
            <w:hideMark/>
          </w:tcPr>
          <w:p w14:paraId="1F28DA15"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13</w:t>
            </w:r>
            <w:r w:rsidRPr="005616E0">
              <w:rPr>
                <w:rFonts w:ascii="Aptos Narrow" w:eastAsia="Times New Roman" w:hAnsi="Aptos Narrow" w:cs="Times New Roman"/>
                <w:color w:val="000000"/>
                <w:kern w:val="0"/>
                <w:sz w:val="16"/>
                <w:szCs w:val="16"/>
                <w:lang w:eastAsia="en-GB"/>
                <w14:ligatures w14:val="none"/>
              </w:rPr>
              <w:t>This was set as the '</w:t>
            </w:r>
            <w:proofErr w:type="spellStart"/>
            <w:r w:rsidRPr="005616E0">
              <w:rPr>
                <w:rFonts w:ascii="Aptos Narrow" w:eastAsia="Times New Roman" w:hAnsi="Aptos Narrow" w:cs="Times New Roman"/>
                <w:color w:val="000000"/>
                <w:kern w:val="0"/>
                <w:sz w:val="16"/>
                <w:szCs w:val="16"/>
                <w:lang w:eastAsia="en-GB"/>
                <w14:ligatures w14:val="none"/>
              </w:rPr>
              <w:t>romification</w:t>
            </w:r>
            <w:proofErr w:type="spellEnd"/>
            <w:r w:rsidRPr="005616E0">
              <w:rPr>
                <w:rFonts w:ascii="Aptos Narrow" w:eastAsia="Times New Roman" w:hAnsi="Aptos Narrow" w:cs="Times New Roman"/>
                <w:color w:val="000000"/>
                <w:kern w:val="0"/>
                <w:sz w:val="16"/>
                <w:szCs w:val="16"/>
                <w:lang w:eastAsia="en-GB"/>
                <w14:ligatures w14:val="none"/>
              </w:rPr>
              <w:t>' fraction in a steady state condition after a calibration excerpt in Petersen et al. 2005.</w:t>
            </w:r>
          </w:p>
        </w:tc>
      </w:tr>
      <w:tr w:rsidR="005616E0" w:rsidRPr="005616E0" w14:paraId="76F6699A" w14:textId="77777777" w:rsidTr="00033969">
        <w:trPr>
          <w:trHeight w:val="494"/>
        </w:trPr>
        <w:tc>
          <w:tcPr>
            <w:tcW w:w="9539" w:type="dxa"/>
            <w:gridSpan w:val="6"/>
            <w:tcBorders>
              <w:top w:val="nil"/>
              <w:left w:val="nil"/>
              <w:bottom w:val="nil"/>
              <w:right w:val="nil"/>
            </w:tcBorders>
            <w:shd w:val="clear" w:color="auto" w:fill="auto"/>
            <w:vAlign w:val="bottom"/>
            <w:hideMark/>
          </w:tcPr>
          <w:p w14:paraId="0FE59E4B" w14:textId="77777777"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14</w:t>
            </w:r>
            <w:r w:rsidRPr="005616E0">
              <w:rPr>
                <w:rFonts w:ascii="Aptos Narrow" w:eastAsia="Times New Roman" w:hAnsi="Aptos Narrow" w:cs="Times New Roman"/>
                <w:color w:val="000000"/>
                <w:kern w:val="0"/>
                <w:sz w:val="16"/>
                <w:szCs w:val="16"/>
                <w:lang w:eastAsia="en-GB"/>
                <w14:ligatures w14:val="none"/>
              </w:rPr>
              <w:t xml:space="preserve">The fraction of C that moves to the subsoil has been roughly estimated, inspired by a study by Sørensen (1987), where they used C-labelled barley straw to follow its decomposition in the soil and found 9-10% of the labelled C in the subsoil after 8 years. Then a value of 0.03 in annual basis was calculated. </w:t>
            </w:r>
          </w:p>
        </w:tc>
      </w:tr>
      <w:tr w:rsidR="005616E0" w:rsidRPr="005616E0" w14:paraId="799C75B9" w14:textId="77777777" w:rsidTr="00033969">
        <w:trPr>
          <w:trHeight w:val="66"/>
        </w:trPr>
        <w:tc>
          <w:tcPr>
            <w:tcW w:w="9539" w:type="dxa"/>
            <w:gridSpan w:val="6"/>
            <w:tcBorders>
              <w:top w:val="nil"/>
              <w:left w:val="nil"/>
              <w:bottom w:val="nil"/>
              <w:right w:val="nil"/>
            </w:tcBorders>
            <w:shd w:val="clear" w:color="auto" w:fill="auto"/>
            <w:vAlign w:val="bottom"/>
            <w:hideMark/>
          </w:tcPr>
          <w:p w14:paraId="663E2849" w14:textId="027C72E6" w:rsidR="005616E0" w:rsidRPr="005616E0" w:rsidRDefault="005616E0" w:rsidP="005616E0">
            <w:pPr>
              <w:spacing w:after="0" w:line="240" w:lineRule="auto"/>
              <w:rPr>
                <w:rFonts w:ascii="Aptos Narrow" w:eastAsia="Times New Roman" w:hAnsi="Aptos Narrow" w:cs="Times New Roman"/>
                <w:color w:val="000000"/>
                <w:kern w:val="0"/>
                <w:sz w:val="16"/>
                <w:szCs w:val="16"/>
                <w:lang w:eastAsia="en-GB"/>
                <w14:ligatures w14:val="none"/>
              </w:rPr>
            </w:pPr>
            <w:r w:rsidRPr="005616E0">
              <w:rPr>
                <w:rFonts w:ascii="Aptos Narrow" w:eastAsia="Times New Roman" w:hAnsi="Aptos Narrow" w:cs="Times New Roman"/>
                <w:color w:val="000000"/>
                <w:kern w:val="0"/>
                <w:sz w:val="16"/>
                <w:szCs w:val="16"/>
                <w:vertAlign w:val="superscript"/>
                <w:lang w:eastAsia="en-GB"/>
                <w14:ligatures w14:val="none"/>
              </w:rPr>
              <w:t>15</w:t>
            </w:r>
            <w:r w:rsidRPr="005616E0">
              <w:rPr>
                <w:rFonts w:ascii="Aptos Narrow" w:eastAsia="Times New Roman" w:hAnsi="Aptos Narrow" w:cs="Times New Roman"/>
                <w:color w:val="000000"/>
                <w:kern w:val="0"/>
                <w:sz w:val="16"/>
                <w:szCs w:val="16"/>
                <w:lang w:eastAsia="en-GB"/>
                <w14:ligatures w14:val="none"/>
              </w:rPr>
              <w:t>The proportion of the initial distribution of C in each of the pools is crucial. The default parameterisation responds to the same calibration exercise for the Danish condition from Petersen 2010. As the fractions in each depth layer are compositionally variable, only the major pools (HUM and ROM) should be parameterised. These can be modified by C/N content or use a default parameterisation from equation 11. Or they can be taken as a reference from the Danish conditions.</w:t>
            </w:r>
          </w:p>
        </w:tc>
      </w:tr>
    </w:tbl>
    <w:p w14:paraId="4AF1FA5F" w14:textId="77777777" w:rsidR="00F8626F" w:rsidRDefault="00F8626F" w:rsidP="0076206F"/>
    <w:sectPr w:rsidR="00F8626F" w:rsidSect="00063E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3E"/>
    <w:rsid w:val="00063ECD"/>
    <w:rsid w:val="000A3176"/>
    <w:rsid w:val="000B65F7"/>
    <w:rsid w:val="00132896"/>
    <w:rsid w:val="001A3846"/>
    <w:rsid w:val="00201EF3"/>
    <w:rsid w:val="00205A06"/>
    <w:rsid w:val="00214FCF"/>
    <w:rsid w:val="00230112"/>
    <w:rsid w:val="0033145F"/>
    <w:rsid w:val="005616E0"/>
    <w:rsid w:val="005C653E"/>
    <w:rsid w:val="00636827"/>
    <w:rsid w:val="006E16C2"/>
    <w:rsid w:val="0076206F"/>
    <w:rsid w:val="007B2E74"/>
    <w:rsid w:val="007D2224"/>
    <w:rsid w:val="00893092"/>
    <w:rsid w:val="00914120"/>
    <w:rsid w:val="00926183"/>
    <w:rsid w:val="00991D67"/>
    <w:rsid w:val="009C631B"/>
    <w:rsid w:val="00A43F08"/>
    <w:rsid w:val="00A70B65"/>
    <w:rsid w:val="00AD2827"/>
    <w:rsid w:val="00AE1148"/>
    <w:rsid w:val="00CB5344"/>
    <w:rsid w:val="00D711AF"/>
    <w:rsid w:val="00D72DC3"/>
    <w:rsid w:val="00D847C9"/>
    <w:rsid w:val="00DB4866"/>
    <w:rsid w:val="00DE5BE8"/>
    <w:rsid w:val="00F0586E"/>
    <w:rsid w:val="00F859F4"/>
    <w:rsid w:val="00F8626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D7490"/>
  <w15:chartTrackingRefBased/>
  <w15:docId w15:val="{657A9456-9871-4669-A9F9-AF22464D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53E"/>
    <w:rPr>
      <w:rFonts w:eastAsiaTheme="majorEastAsia" w:cstheme="majorBidi"/>
      <w:color w:val="272727" w:themeColor="text1" w:themeTint="D8"/>
    </w:rPr>
  </w:style>
  <w:style w:type="paragraph" w:styleId="Title">
    <w:name w:val="Title"/>
    <w:basedOn w:val="Normal"/>
    <w:next w:val="Normal"/>
    <w:link w:val="TitleChar"/>
    <w:uiPriority w:val="10"/>
    <w:qFormat/>
    <w:rsid w:val="005C6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53E"/>
    <w:pPr>
      <w:spacing w:before="160"/>
      <w:jc w:val="center"/>
    </w:pPr>
    <w:rPr>
      <w:i/>
      <w:iCs/>
      <w:color w:val="404040" w:themeColor="text1" w:themeTint="BF"/>
    </w:rPr>
  </w:style>
  <w:style w:type="character" w:customStyle="1" w:styleId="QuoteChar">
    <w:name w:val="Quote Char"/>
    <w:basedOn w:val="DefaultParagraphFont"/>
    <w:link w:val="Quote"/>
    <w:uiPriority w:val="29"/>
    <w:rsid w:val="005C653E"/>
    <w:rPr>
      <w:i/>
      <w:iCs/>
      <w:color w:val="404040" w:themeColor="text1" w:themeTint="BF"/>
    </w:rPr>
  </w:style>
  <w:style w:type="paragraph" w:styleId="ListParagraph">
    <w:name w:val="List Paragraph"/>
    <w:basedOn w:val="Normal"/>
    <w:uiPriority w:val="34"/>
    <w:qFormat/>
    <w:rsid w:val="005C653E"/>
    <w:pPr>
      <w:ind w:left="720"/>
      <w:contextualSpacing/>
    </w:pPr>
  </w:style>
  <w:style w:type="character" w:styleId="IntenseEmphasis">
    <w:name w:val="Intense Emphasis"/>
    <w:basedOn w:val="DefaultParagraphFont"/>
    <w:uiPriority w:val="21"/>
    <w:qFormat/>
    <w:rsid w:val="005C653E"/>
    <w:rPr>
      <w:i/>
      <w:iCs/>
      <w:color w:val="0F4761" w:themeColor="accent1" w:themeShade="BF"/>
    </w:rPr>
  </w:style>
  <w:style w:type="paragraph" w:styleId="IntenseQuote">
    <w:name w:val="Intense Quote"/>
    <w:basedOn w:val="Normal"/>
    <w:next w:val="Normal"/>
    <w:link w:val="IntenseQuoteChar"/>
    <w:uiPriority w:val="30"/>
    <w:qFormat/>
    <w:rsid w:val="005C6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53E"/>
    <w:rPr>
      <w:i/>
      <w:iCs/>
      <w:color w:val="0F4761" w:themeColor="accent1" w:themeShade="BF"/>
    </w:rPr>
  </w:style>
  <w:style w:type="character" w:styleId="IntenseReference">
    <w:name w:val="Intense Reference"/>
    <w:basedOn w:val="DefaultParagraphFont"/>
    <w:uiPriority w:val="32"/>
    <w:qFormat/>
    <w:rsid w:val="005C653E"/>
    <w:rPr>
      <w:b/>
      <w:bCs/>
      <w:smallCaps/>
      <w:color w:val="0F4761" w:themeColor="accent1" w:themeShade="BF"/>
      <w:spacing w:val="5"/>
    </w:rPr>
  </w:style>
  <w:style w:type="character" w:styleId="CommentReference">
    <w:name w:val="annotation reference"/>
    <w:basedOn w:val="DefaultParagraphFont"/>
    <w:uiPriority w:val="99"/>
    <w:semiHidden/>
    <w:unhideWhenUsed/>
    <w:rsid w:val="00205A06"/>
    <w:rPr>
      <w:sz w:val="16"/>
      <w:szCs w:val="16"/>
    </w:rPr>
  </w:style>
  <w:style w:type="paragraph" w:styleId="CommentText">
    <w:name w:val="annotation text"/>
    <w:basedOn w:val="Normal"/>
    <w:link w:val="CommentTextChar"/>
    <w:uiPriority w:val="99"/>
    <w:unhideWhenUsed/>
    <w:rsid w:val="00205A06"/>
    <w:pPr>
      <w:spacing w:line="240" w:lineRule="auto"/>
    </w:pPr>
    <w:rPr>
      <w:sz w:val="20"/>
      <w:szCs w:val="20"/>
    </w:rPr>
  </w:style>
  <w:style w:type="character" w:customStyle="1" w:styleId="CommentTextChar">
    <w:name w:val="Comment Text Char"/>
    <w:basedOn w:val="DefaultParagraphFont"/>
    <w:link w:val="CommentText"/>
    <w:uiPriority w:val="99"/>
    <w:rsid w:val="00205A06"/>
    <w:rPr>
      <w:sz w:val="20"/>
      <w:szCs w:val="20"/>
    </w:rPr>
  </w:style>
  <w:style w:type="paragraph" w:styleId="CommentSubject">
    <w:name w:val="annotation subject"/>
    <w:basedOn w:val="CommentText"/>
    <w:next w:val="CommentText"/>
    <w:link w:val="CommentSubjectChar"/>
    <w:uiPriority w:val="99"/>
    <w:semiHidden/>
    <w:unhideWhenUsed/>
    <w:rsid w:val="00205A06"/>
    <w:rPr>
      <w:b/>
      <w:bCs/>
    </w:rPr>
  </w:style>
  <w:style w:type="character" w:customStyle="1" w:styleId="CommentSubjectChar">
    <w:name w:val="Comment Subject Char"/>
    <w:basedOn w:val="CommentTextChar"/>
    <w:link w:val="CommentSubject"/>
    <w:uiPriority w:val="99"/>
    <w:semiHidden/>
    <w:rsid w:val="00205A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652245">
      <w:bodyDiv w:val="1"/>
      <w:marLeft w:val="0"/>
      <w:marRight w:val="0"/>
      <w:marTop w:val="0"/>
      <w:marBottom w:val="0"/>
      <w:divBdr>
        <w:top w:val="none" w:sz="0" w:space="0" w:color="auto"/>
        <w:left w:val="none" w:sz="0" w:space="0" w:color="auto"/>
        <w:bottom w:val="none" w:sz="0" w:space="0" w:color="auto"/>
        <w:right w:val="none" w:sz="0" w:space="0" w:color="auto"/>
      </w:divBdr>
    </w:div>
    <w:div w:id="149579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Franca Giannini-Kurina</dc:creator>
  <cp:keywords/>
  <dc:description/>
  <cp:lastModifiedBy>Franca Giannini-Kurina</cp:lastModifiedBy>
  <cp:revision>24</cp:revision>
  <dcterms:created xsi:type="dcterms:W3CDTF">2024-03-27T12:00:00Z</dcterms:created>
  <dcterms:modified xsi:type="dcterms:W3CDTF">2024-04-02T11:10:00Z</dcterms:modified>
</cp:coreProperties>
</file>