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Vantaggi del testo elettronico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Per alcuni vantaggi: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Ricerche: Più veloci e precise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Conservazione: Più sicura e si possono fare varie copie senza costo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Operazioni di manipolazione: Più veloci e facili da fare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Condivisione di informazioni: più agevolato e facile da compiere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trasportare le cose: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Digitare tramite tastiera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Tramite Scanner 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rappresentare i caratteri si usano i bit, tramite il codice “ASCII”. All’inizio il max di caratteri rappresentabili sono 128 o 2^7. Siccome era poco 2^7 venne incrementato a 2^8 utilizzando il suddetto “ANSI” e l’”MS-DOS”. Le diverse codifiche sono chiamate codepage ognuna delle quali sono fatte per ogni paese, per esempio in italia si chiama ISO-8859-1 Latin 1. Nel ‘91 è stato introdotto l’UNICODE con 2^16. SUccessivamente UCS con 2^32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