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毕设项目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一、任务背景与动机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现状痛点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金融行业每天产生海量标准化文档——公告、确认函、净值报告、合规文本。这些文档格式固定、创造力要求为零，但目前的生产方式存在三个问题：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（1）人工生产：慢、贵，且出错有合规风险。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（2）大模型生产：单次成本高（每天数千只基金 × 每个交易日 = 成本不可接受），且大模型的"创造力"在此场景下反而是缺点——你不希望它发挥，你希望它严格遵守。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（3）规则模板：太死。金融文档虽格式固定，但存在大量细微变体（不同公司、不同业务类型、不同监管要求），纯规则模板维护成本高，且无法处理自然语言描述的约束。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让小模型成为金融机构的"文档流水线工人"——能按规范批量生产标准化金融文档。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聚焦提升的能力：约束遵循（Constraint Following）。不是让小模型理解金融、做投资判断，而是让它在给定指令和约束的条件下，稳定输出格式正确、字段完整、符合规范的文档。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核心原则：可靠性 &gt; 创造力。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评测维度：只评约束合规，不评答案正确性。SciIF（Su et al., 2025）指出答案正确性（correctness）与约束合规性（compliance）是两个独立维度——模型可以答对但不合规，也可以合规但答错。本项目的任务场景中，金融文档的"正确性"本身就由约束定义（格式、字段、数值精度、术语规范），因此 rubrics 只评约束遵循，不另设正确性轴。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为什么是小模型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小模型在此场景下处于"甜蜜点"：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成本低：推理成本是大模型的 1/10 到 1/100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速度快：延迟低，适合批量处理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部署灵活：可私有化部署，满足金融数据安全要求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能力基本够用：大部分约束（格式、字段覆盖等）不依赖深度推理，但数值计算与推导类约束仍受益于推理能力（实测 thinking 模式在计算推导任务上提升约 5pp），这也是 SFT 的重点优化方向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我们要做什么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构建金融文档场景下的 IF（Instruction Following）benchmark，实现三重价值：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（1）评测价值：度量小模型在金融文档场景下的约束遵循能力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（2）训练价值：用原子约束生成训练数据，针对性增强小模型的 IF 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（3）应用价值：让小模型可靠地替代金融机构中"初级分析实习生"的文档生产工作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相关工作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875"/>
        <w:gridCol w:w="2460"/>
        <w:gridCol w:w="304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核心方法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与本项目的关系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评测基准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IFEval</w:t>
              <w:br/>
            </w:r>
            <w:r>
              <w:rPr>
                <w:rFonts w:eastAsia="等线" w:ascii="Arial" w:cs="Arial" w:hAnsi="Arial"/>
                <w:sz w:val="22"/>
              </w:rPr>
              <w:t>(Zhou et al., 2023)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类代码可验证约束，500 条 prompt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基线。证明了代码可验证约束可行，但约束设计迁就可验证性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CFBench</w:t>
              <w:br/>
            </w:r>
            <w:r>
              <w:rPr>
                <w:rFonts w:eastAsia="等线" w:ascii="Arial" w:cs="Arial" w:hAnsi="Arial"/>
                <w:sz w:val="22"/>
              </w:rPr>
              <w:t>(Zhang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大类约束，1000 样本，主需/次需分层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最直接参考。结构可借鉴，但金融仅 30 条不够深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FollowBench</w:t>
              <w:br/>
            </w:r>
            <w:r>
              <w:rPr>
                <w:rFonts w:eastAsia="等线" w:ascii="Arial" w:cs="Arial" w:hAnsi="Arial"/>
                <w:sz w:val="22"/>
              </w:rPr>
              <w:t>(Jiang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级约束粒度（word→format）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约束分级设计参考，用于 Hard/Soft 难度梯度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InFoBench</w:t>
              <w:br/>
            </w:r>
            <w:r>
              <w:rPr>
                <w:rFonts w:eastAsia="等线" w:ascii="Arial" w:cs="Arial" w:hAnsi="Arial"/>
                <w:sz w:val="22"/>
              </w:rPr>
              <w:t>(Qin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指令→Decomposed Questions 逐条验证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验证了原子约束逐条评测方法的可行性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FollowIR</w:t>
              <w:br/>
            </w:r>
            <w:r>
              <w:rPr>
                <w:rFonts w:eastAsia="等线" w:ascii="Arial" w:cs="Arial" w:hAnsi="Arial"/>
                <w:sz w:val="22"/>
              </w:rPr>
              <w:t>(Weller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TREC 评审叙述重构为 IF 评测，衡量 IR 模型的指令敏感度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聚焦检索领域的 IF 评测，与文档生成场景不同，但展示了领域特定 IF 评测需要不同约束类型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ComplexBench</w:t>
              <w:br/>
            </w:r>
            <w:r>
              <w:rPr>
                <w:rFonts w:eastAsia="等线" w:ascii="Arial" w:cs="Arial" w:hAnsi="Arial"/>
                <w:sz w:val="22"/>
              </w:rPr>
              <w:t>(Wen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层次化约束分类法：4 类约束（Lexical/Format/Semantic/Utility）× 4 种组合（And/Chain/Selection/Mixed），规则增强 LLM 评测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约束组合框架直接可参考，And/Chain 组合方式适用于金融约束设计，但 ComplexBench 本身是通用领域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Multi-IF</w:t>
              <w:br/>
            </w:r>
            <w:r>
              <w:rPr>
                <w:rFonts w:eastAsia="等线" w:ascii="Arial" w:cs="Arial" w:hAnsi="Arial"/>
                <w:sz w:val="22"/>
              </w:rPr>
              <w:t>(He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多轮+多语言 IF 评测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多轮约束传递问题，后续扩展参考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SciIF</w:t>
              <w:br/>
            </w:r>
            <w:r>
              <w:rPr>
                <w:rFonts w:eastAsia="等线" w:ascii="Arial" w:cs="Arial" w:hAnsi="Arial"/>
                <w:sz w:val="22"/>
              </w:rPr>
              <w:t>(Su et al., 2025)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种原子科学约束（Condition/Terminology/Process 三族），334 题四学科，答案正确性与约束合规性双轴独立评测，Generate-then-Audit 协议，SFT+Verifier-based RL 后训练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思路最一致。验证了"正确性≠合规性"双轴分离，组合崩溃效应（多约束通过率急剧下降）与本项目发现吻合。Judge 标定方法论、verifier-based RL 训练路径直接可参考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IFBench</w:t>
              <w:br/>
            </w:r>
            <w:r>
              <w:rPr>
                <w:rFonts w:eastAsia="等线" w:ascii="Arial" w:cs="Arial" w:hAnsi="Arial"/>
                <w:sz w:val="22"/>
              </w:rPr>
              <w:t>(Pyatkin et al., 2025)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 类多样化可验证约束测试 IF 泛化能力，证明 RLVR 训练在多约束实例上显著提升域内外 IF 表现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约束分类法和验证方法可参考，RLVR 训练路径与本项目后训练阶段相关，但缺乏金融领域场景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FIFE</w:t>
              <w:br/>
            </w:r>
            <w:r>
              <w:rPr>
                <w:rFonts w:eastAsia="等线" w:ascii="Arial" w:cs="Arial" w:hAnsi="Arial"/>
                <w:sz w:val="22"/>
              </w:rPr>
              <w:t>(Matlin et al., 2025)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首个金融领域 IF 基准，88 条专家标注任务，可组合可验证约束（单/与/链/嵌套），5 类合规维度，正则自动验证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最直接相关。同样聚焦金融领域 IF + 可验证约束，但 FIFE 侧重金融分析任务（88 条），本项目侧重金融文档生成 + 面向小模型。其约束组合分类法（single/and/chained/nested）高度可参考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IF-RewardBench</w:t>
              <w:br/>
            </w:r>
            <w:r>
              <w:rPr>
                <w:rFonts w:eastAsia="等线" w:ascii="Arial" w:cs="Arial" w:hAnsi="Arial"/>
                <w:sz w:val="22"/>
              </w:rPr>
              <w:t>(Wen et al., 2026)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 judge 模型对 IF 质量判断能力的元评测基准，842 条指令 + 偏好图支持 listwise 评估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解决"评估评估器"问题。若本项目使用 LLM judge 评分 Soft Constraint，可参考其 judge 可靠性结论指导评估器选择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IFEval++</w:t>
              <w:br/>
              <w:t>(Dong et al., 2025)</w:t>
              <w:br/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arXiv:2512.14754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reliable@k 指标，用 cousin prompts（改述/加干扰/重构）测 IF 稳定性，541 条 case，46 个模型，性能最多下降 61.8%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约束遵循的可靠性/稳定性维度。金融文档场景下同一约束的不同表述是否影响合规率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AgentIF</w:t>
              <w:br/>
              <w:t>(Qi et al., 2025)</w:t>
              <w:br/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arXiv:2505.16944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 agentic 场景 IF 评测，707 条指令来自 50 个真实 agent，平均 11.9 条约束/指令，GPT-4o 从 87.0 暴跌到 58.5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CSR/ISR 指标定义可参考，条件约束（condition constraint）类型值得借鉴——金融文档中也有条件触发的约束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LIFBench</w:t>
              <w:br/>
              <w:t>(Wu et al., 2025)</w:t>
              <w:br/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arXiv:2411.07037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长上下文 IF 评测，2766 条指令跨 3 场景 11 任务，提出 LIFEval 自动评分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金融文档 context 通常较长（财报几万字），长上下文下 IF 稳定性是实际部署关注点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训练方法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Conifer</w:t>
              <w:br/>
            </w:r>
            <w:r>
              <w:rPr>
                <w:rFonts w:eastAsia="等线" w:ascii="Arial" w:cs="Arial" w:hAnsi="Arial"/>
                <w:sz w:val="22"/>
              </w:rPr>
              <w:t>(Sun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指令分解+约束重组生成训练数据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数据合成方法可参考，与任务驱动约束思路相近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Step-by-Step Mastery</w:t>
              <w:br/>
            </w:r>
            <w:r>
              <w:rPr>
                <w:rFonts w:eastAsia="等线" w:ascii="Arial" w:cs="Arial" w:hAnsi="Arial"/>
                <w:sz w:val="22"/>
              </w:rPr>
              <w:t>(Ren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课程学习提升 Soft Constraint 能力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验证了 Hard/Soft 分层必要性和 Soft 可训练性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</w:t>
              <w:br/>
            </w:r>
            <w:r>
              <w:rPr>
                <w:rFonts w:eastAsia="等线" w:ascii="Arial" w:cs="Arial" w:hAnsi="Arial"/>
                <w:sz w:val="22"/>
              </w:rPr>
              <w:t>(Peng et al., 2025)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验证工程+RL 提升 IF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SFT→RL 优化阶段参考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Fin-PRM</w:t>
              <w:br/>
              <w:t>(2025)</w:t>
              <w:br/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arXiv:2508.15202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金融领域 Process Reward Model，3000 条逐步推理轨迹，支持 SFT 数据筛选 + Best-of-N 推理 + RL reward shaping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PRM 作为 reward signal 比纯 outcome reward 更精细，基于 Qwen2.5-7B 训练，与项目小模型目标匹配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写作评测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WritingBench</w:t>
              <w:br/>
            </w:r>
            <w:r>
              <w:rPr>
                <w:rFonts w:eastAsia="等线" w:ascii="Arial" w:cs="Arial" w:hAnsi="Arial"/>
                <w:sz w:val="22"/>
              </w:rPr>
              <w:t>(Wu et al., 2025)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 query 覆盖 6 领域（含金融），query-dependent 动态生成评测标准，微调 critic 模型评估风格/格式/长度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覆盖金融子域的写作质量评测，但评整体写作质量而非可验证约束合规。其 critic 模型评分方法可参考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金融领域评测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FinEval</w:t>
              <w:br/>
            </w:r>
            <w:r>
              <w:rPr>
                <w:rFonts w:eastAsia="等线" w:ascii="Arial" w:cs="Arial" w:hAnsi="Arial"/>
                <w:sz w:val="22"/>
              </w:rPr>
              <w:t>(Guo et al., 2023)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中文金融领域知识评测，8351 道选择题覆盖金融学术/行业/证券/Agent 四领域，zero-shot/few-shot+CoT 设置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同为金融领域 LLM 评测，但 FinEval 评知识（选择题 QA），本项目评约束遵循（文档生成），两者评测能力维度正交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CFinBench</w:t>
              <w:br/>
            </w:r>
            <w:r>
              <w:rPr>
                <w:rFonts w:eastAsia="等线" w:ascii="Arial" w:cs="Arial" w:hAnsi="Arial"/>
                <w:sz w:val="22"/>
              </w:rPr>
              <w:t>(Nie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中文金融全面评测，99,100 道题覆盖 43 个二级类目（金融学科/资质/实务/法规），3 种题型（单选/多选/判断），50 个 LLM 评测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FinEval 同类但规模更大（99k vs 8k）且难度更高（最高 60% vs 87%），同样评金融知识而非约束遵循，维度正交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FinBen</w:t>
              <w:br/>
              <w:t>(Xie et al., 2024)</w:t>
              <w:br/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arXiv:2402.12659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首个综合性开源金融 benchmark，42 数据集覆盖 24 任务（IE/QA/生成/风控/预测/决策），21 个模型评测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覆盖面最广的金融评测基准，评通用金融能力不评 IF。维度正交但提供金融任务全景参考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FinForge</w:t>
              <w:br/>
              <w:t>(Matlin et al., 2026)</w:t>
              <w:br/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arXiv:2601.06747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半合成金融 benchmark 生成 pipeline：专家引导数据筛选 + LM 控制合成 + LM-as-judge 验证，5 阶段自动化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benchmark 数据合成方法论直接可参考，「权威来源→结构化分析→受控生成→质量验证」流程可复用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金融领域 LLM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DISC-FinLLM (Chen et al., 2023)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多专家微调框架（MEFF）：基于 Baichuan-13B，将金融场景分为咨询对话/NLP文档处理/数值计算/检索问答四个维度，各训练独立 LoRA 模块；构建 DISC-FIN-SFT 数据集（25万条），用 ChatGPT 合成四类金融指令数据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金融数据合成参考。ChatGPT 合成问答对、NLP 数据集模板化、工具调用指令构建等方法可借鉴用于生成金融 IF 训练数据；证明不同类型金融数据混合训练会互相干扰，模块化策略更优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Fin-R1</w:t>
              <w:br/>
              <w:t>(2025)</w:t>
              <w:br/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arXiv:2503.16252</w:t>
              </w:r>
            </w:hyperlink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金融推理 LLM，构建 60k CoT 数据集（Fin-R1-Data），SFT→RL 两阶段训练，小模型达到竞争力表现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SFT+RL 训练路径与项目后训练阶段一致。发现「SFT 倾向记忆而非推理」与防过拟合考虑一致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数据合成方法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GLAN</w:t>
              <w:br/>
            </w:r>
            <w:r>
              <w:rPr>
                <w:rFonts w:eastAsia="等线" w:ascii="Arial" w:cs="Arial" w:hAnsi="Arial"/>
                <w:sz w:val="22"/>
              </w:rPr>
              <w:t>(Li et al., 2024)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基于人类知识分类体系（学科→子领域→大纲→课程），无需种子数据全自动生成合成指令微调数据，覆盖全学科领域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数据合成方法参考。分类体系驱动的系统化合成思路可用于覆盖金融约束空间，添加新领域仅需扩展分类节点，可定制性强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Reconstruction</w:t>
              <w:br/>
            </w:r>
            <w:r>
              <w:rPr>
                <w:rFonts w:eastAsia="等线" w:ascii="Arial" w:cs="Arial" w:hAnsi="Arial"/>
                <w:sz w:val="22"/>
              </w:rPr>
              <w:t>(Jiang et al., 2025)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双视角网页重建框架：Web as Instruction（网页+改写请求→重组输出）和 Web as Response（反推指令→rollout→refinement），从原始网页全自动合成 IT 数据（10万条，$38.57），无需人工种子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数据合成方法参考。低成本全自动 IT 数据合成思路可用于扩充金融场景训练数据；persona 驱动增强多样性、领域适应性（调整源网页领域配比即可）与本项目金融垂类训练数据需求契合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我们的差异：（1）聚焦金融垂类，深度远超通用 benchmark（2）约束从具体任务中"长"出来，不做自由组合（3）面向小模型，设计合理难度梯度（4）Hard Constraint 代码自动评测为主，降低成本</w:t>
      </w:r>
    </w:p>
    <w:p>
      <w:r>
        <w:t xml:space="preserve">推理蒸馏与指令遵循的关系：近期研究揭示了推理能力与指令遵循能力之间的张力。Yue et al. (2025) 在 "Scaling Reasoning, Losing Control"（arXiv:2505.14810）中发现，在 CoT 推理链上做 SFT 会损害模型的指令遵循能力，且推理链越长退化越严重——即使最优模型在严格 IF 指标上也仅达 50.71%。Zhao et al. (2025) 在 "In Their Own Words"（arXiv:2509.22230）中进一步指出，将大模型推理链直接蒸馏给小模型会因分布不对齐导致性能下降 20.5%，需要生成适配小模型分布的推理链才能有效蒸馏。这些发现直接指导了本项目的 SFT 策略：不学习教师模型的推理过程，仅蒸馏最终回复，将推理能力交由 Qwen3 自带的 thinking 机制在推理时按需启用。</w:t>
      </w:r>
    </w:p>
    <w:p>
      <w:r>
        <w:t xml:space="preserve">拒绝采样蒸馏：DeepSeek-R1（Guo et al., 2025, arXiv:2501.12948）展示了拒绝采样（Rejection Sampling）在模型蒸馏中的有效性——通过多次采样并筛选高质量回复作为 SFT 目标，可显著提升训练数据质量。本项目借鉴该思路，结合自有的约束验证器（12 类 Hard checker + LLM Soft judge）作为筛选标准，实现了面向约束遵循的拒绝采样蒸馏。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二、任务拆解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定义任务类型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面向金融生产力办公场景，采用两级任务层级设计：L1 为任务类型（4个），L2 为具体子任务（共 14 个）。T1-T4 是 L1 层的编号，T1.1 等是 L2 层的编号。约束池在 L2 粒度上维护，笛卡尔积在 L2 内部做。所有任务均来自金融从业者的真实日常工作流，不包含通用问答或消费者教育场景。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T1 事实与数据提取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业务场景：分析师/助理每天从财报、公告、研报中手动摘数填表，耗时且易错。需要 context。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T1.1 财务指标抽取：从年报/季报中提取指定财务指标（营收、净利润、毛利率等），输出结构化表格。Hard 为主（数值精度、表格格式、指标覆盖完整性）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T1.2 持股变动信息抽取：从增减持公告中提取股东名称、变动股数、变动后持股比例等，输出结构化记录。Hard 为主（字段完整性、数值准确、格式规范）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T1.3 事件要素抽取：从公告/会议纪要中提取关键日期、金额、决议事项等，按指定格式输出。Hard 为主（字段覆盖、日期格式、排序规则）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T2 分析与解读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业务场景：研究员/分析师对文档或数据做分析解读，产出研究笔记、趋势分析报告、标题摘要等。需要 context。与 T1（事实与数据提取）的核心区别：T1 是「取信息」——从文档中提取已有数据，评价标准是「取的准不准」；T2 是「做分析」——在数据基础上产出分析洞察和总结，评价标准是「分析的对不对、总结的好不好」。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T2.1 业绩归因分析：从管理层讨论/业绩报告中归纳业绩变动核心原因，输出归因分析段落。Soft 为主（归因逻辑合理性、与数据一致性、不编造）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T2.2 竞争优势提炼：从招股书/年报中提炼公司核心竞争力，输出结构化清单。Soft 为主（覆盖完整性、表述专业性、忠实原文）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T2.3 行业趋势解读：从行业研报中归纳发展趋势和驱动因素，输出摘要段落。Soft 为主（逻辑完整性、术语准确性）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T2.4 数据趋势分析：给定结构化数据表（如融资融券余额、资金流向），做趋势解读和异常标注，输出分析报告。Hard+Soft（计算准确 + 趋势判断合理）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T2.5 内容提炼生成：从金融文本中生成标题、关键词、精炼摘要等短文本。Hard+Soft（格式约束 + 内容覆盖准确性）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T2 约束设计原则：</w:t>
      </w:r>
      <w:r>
        <w:rPr>
          <w:rFonts w:eastAsia="等线" w:ascii="Arial" w:cs="Arial" w:hAnsi="Arial"/>
          <w:sz w:val="22"/>
        </w:rPr>
        <w:t>T2 的约束设计与 T1 有本质区别。T1 评价「取的准不准」（数值精度、字段覆盖），约束天然是 Hard 的；T2 评价「分析的对不对、总结的好不好」，约束以 Soft 为主。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Soft 约束为主：趋势判断是否与数据走向一致、归因是否合理、总结是否忠实原文且不编造、分析是否覆盖指定维度——这些天然需要 LLM judge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 约束仅限格式层面：字数限制、输出格式（JSON/Markdown/纯文本）、语言要求、数组长度等可 code check 的表面属性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严格区别于 T1：不设计「术语关键词匹配」「字段精确覆盖」「数值精确比对」等约束——这些是 T1 的评价维度，不是 T2 的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引用数值一致性作为 Soft 约束存在：T2 的「数值与原文一致」是防编造的忠实性约束，不是 T1 的精确提取约束。由 LLM judge 评价，不做 code 精确匹配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T3 计算推导与校验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业务场景：分析师/助理在金融业务文档中进行数值计算、推导校验，确保数据一致性和计算准确性。需要 context。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T3.1 结构化计算：对金融业务数据进行结构化数值计算（如付款批次汇总、分类统计），输出计算过程和结果。Hard+Soft（计算准确性 + 过程完整性）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T3.2 合规推导分析：对融资融券等合规场景进行数据推导分析（如绕标路径还原、保证金比例计算），输出推导过程。Hard+Soft（推导步骤正确 + 结论合理性）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T3.3 数值一致性校验：比对同一实体的不同数据（如股东权益变动前后数值），计算差异并校验一致性。Hard+Soft（数值比对准确 + 差异解释合理）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2.2 约束体系设计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约束分为两层，按来源和适用范围区分：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通用约束（G系列）：与具体任务无关，可跨所有 T2 子任务复用。包括：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GH（通用Hard）：字数/段落数限制、输出格式要求（JSON/表格/纯文本）、语言要求、编号格式等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GS（通用Soft）：否定约束（不要包含XXX）、术语规范性、不合理约束检测等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任务专属约束（F系列）：绑定在具体 T2 子任务上，从真实金融文档中提取。包括：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FH（任务Hard）：如 T4.1 的「必须包含特此公告」「公告编号格式 YYYY-NNN」「每10股派X元表述」等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FS（任务Soft）：如 T4.1 的「数值一致性（派息×总股本=总额）」「日期逻辑合理性」等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T2 子任务的约束池 = 该任务的 F 约束（固定绑定）+ 从 G 池中抽取的通用约束（组合变化）。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笛卡尔积在 T2 粒度上做：固定 F 约束 × G 约束抽取组合 → 生成不同难度的评测 case。G 约束提供 scaling 灵活性，F 约束保证业务相关性。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关键原则不变：F 约束从任务中「长」出来，不是从外部约束池中随机贴上去。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2.3 设计评测 case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借鉴 CFBench 的数据结构，每条 case 包含：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task_type：任务类型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prompt：给模型的完整指令（含约束描述）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context：可选，参考材料或模板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criteria：约束列表，每条标注 [主需/次需] [约束类型] [Hard/Soft] [评测方式 code/llm_judge]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2.4 构建评测 pipeline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复用已有的 verifier 框架（28 个 rule checker + 32 个 rubric），按需新增金融场景特有的 checker。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评分方式：逐条约束 binary 打分（pass/fail），汇总为 CSR（约束满足率）。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2.5 跑模型 + 分析结果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用多个模型（大模型作为天花板、小模型作为优化目标）跑评测，分析：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哪些约束类型小模型容易违反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约束数量增加时满足率的下降曲线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不同任务类型的难度差异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2.6 生成训练数据 + SFT 优化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基于评测结果，针对小模型弱项生成训练数据，SFT 后重新评测，验证提升效果。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2.7 已有工作产出复用策略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已有资产盘点（项目已进行约 1 个月）：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 条原子约束池（GH×19 + GS×8 + FH×9 + FS×24），已标注 InfoBench 类型和互斥关系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 个 rule checker + 32 个 rubric，覆盖 Hard/Soft 两类评测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6007 条 track 数据（约束组合 × 任务的评测轨迹）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复用策略——原则：先做对的事，再看之前哪些能搭上车。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Verifier 框架直接复用：rule checker 和 rubric 的代码架构、评分 pipeline 不变，按任务新增场景特有 checker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约束池选择性复用：将 60 条约束重新归类到具体任务。与任务天然匹配的约束保留挂载；脱离任务语境的纯自由组合约束标记低优先级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数据有限复用：与保留约束匹配的 track 可作为 baseline 参照，但新框架下约束组合逻辑不同，大部分需重新生成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金融特有 checker（如 FH-4 小数位精度校验的正则匹配逻辑）可直接迁移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2.8 CFBench 可借鉴数据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CFBench 金融领域 30 条数据中筛选出 12 条可直接借鉴的数据（占 40%），均自带 context。按任务类型映射如下：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005"/>
        <w:gridCol w:w="795"/>
        <w:gridCol w:w="1560"/>
        <w:gridCol w:w="393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CFB#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关键约束类型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T1.1 财务指标抽取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#3,#10,#16,#23,#24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从财报/研报/招股书提取财务指标到结构化表格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表格格式、数值精度、字段覆盖、排序规则、指标分类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T1.3 事件要素抽取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#12,#20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从公告/会议纪要提取关键事件要素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要素覆盖、日期格式、金额精度、分类排序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T2.4 数据趋势分析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#19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融资融券数据趋势分析与异常标注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数据引用准确、趋势判断合理性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T2.5 内容提炼生成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#15,#21,#25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生成标题/关键词/摘要/核心观点提炼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字数限制、内容覆盖、专业性、忠实性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T3.2 合规要素核查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检查公告是否满足监管披露要求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必备要素检查、缺失项标注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12条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覆盖4个L1类型、5个L2子任务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共64条约束可参考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 64 条约束可参考（格式约束和内容约束占比最高）。T1 类最多（7条），T2 类 4 条，T3 类 1 条。详细数据：workspace/demo/cfbench_borrowable.json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三、当前 Demo 计划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 目标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用一个最小闭环验证整条链路的可行性：选 1 个任务 → 写 5 条 case → 跑模型 → 评分 → 看结果。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选定任务：T1 事实与数据提取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选择理由：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CFBench 中可借鉴的 7 条数据均属于 L1，有现成的 context 和约束可直接复用，上手最快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约束以 Hard Constraint 为主（表格格式、数值精度、排序规则、字段覆盖），代码可验证，评测自动化程度高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金融信息抽取是最高频的生产力场景（分析师每天从财报/公告中摘数填表）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输入输出清晰：输入=金融文本+抽取指令+约束，输出=结构化表格/JSON/列表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具体步骤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步骤一：从 CFBench 可借鉴数据中选取 T1 类的 3-5 条作为种子数据（#3、#10、#16、#23、#24），直接复用其 context 和约束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步骤二：从种子数据中提取和归纳原子约束，建立 T1.1 的 F 约束池（预计 8-12 条），例如：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FH1 输出必须为表格格式 [Hard, 代码验证]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FH2 表格必须包含表头 [Hard, 代码验证]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FH3 提取的数值与原文完全一致 [Hard, 代码验证]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FH4 按指定维度分类（如市场/财务/资金流向）[Hard, 代码验证]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FH5 按指定顺序排列（如指定首行末行、逆序）[Hard, 代码验证]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GH1 不输出表格以外的额外内容 [Hard, 否定约束]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GH2 指标数量不遗漏 [Hard, 代码验证]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FS1 指标名称使用金融专业术语 [Soft, LLM judge]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步骤三：编写 5 条评测 case，基于种子数据改造（换 context、调约束组合、变难度）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步骤四：用 Qwen3-8B（小模型）和 GPT-5（大模型天花板）分别生成 response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步骤五：用 verifier 评分，对比大小模型在各约束上的表现差异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3.3.1 T1 约束体系（27 条 Case，115 条去重约束，184 条约束实例）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约束按两个维度分类：类型（Hard 必须满足 / Soft 有一定主观性需 LLM judge）× 范围（F 任务专属 / G 通用格式）。每条 case 的完整约束 = F 约束（与 context/query 绑定的任务专属约束）+ G 约束（跨任务复用的通用格式约束）。评分方式：逐条约束 binary 打分（pass/fail），部分满足视为不满足。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约束分布（去重后 115 条）：FH（任务Hard）48 条 / FS（任务Soft）14 条 / GH（通用Hard）48 条 / GS（通用Soft）5 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难度分级按约束数量：Easy（5条）6 cases / Medium（6-7条）12 cases / Hard（8-9条）9 cases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 约束池（62 条去重，可归纳为 14 个模板类别）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 F 约束从 T1 的 27 条 Case 中提取、去重、模板化得到。每条 case 从 F 池中选取 2-5 条与 context/query 匹配的约束，具体 wording 按 case 实例化。{}中为参数化占位符，实际约束会替换为具体值。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F-val [Hard] 数值必须与原文字面一致，不得进行单位换算或格式转换（7 个实例变体）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F-cov [Hard] 覆盖所有要求的{字段/指标/实体}，含行数约束（15 个实例变体）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F-sort [Hard] 按{排序字段}{排序方向}排序（如按日期升序、按绝对值降序）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F-filter [Hard] 仅提取{目标指标}，排除{非目标指标}（如仅 CPI 排除 PPI）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F-pos [Hard] {指定数据项}必须在{第一/最后}行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F-src [Hard] 仅使用{来源类型}检索来源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F-label [Hard] 根据{数值特征}正确标注{标签}（如正负标注流入/流出）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F-multi [Hard] 必须包含{N}个表格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F-nomix [Hard] 多{实体/文档}数据不混淆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F-calc [Hard] {金额类型}合计计算正确（{期望值}）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F-entity [Hard] {实体类型}抽取正确（公司名称、年份等）← 新增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F-extract [Hard] 提取所有符合要求的{内容类型}，排除不相关内容 ← 新增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F-fmt [Hard] {数据类型}使用{格式要求}（如金额加粗、含合计行）← 新增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F-term [Soft] 术语必须使用原文中的规范表述（不得同义替换），per-case 附带术语映射表（14 个实例变体）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 约束池（53 条去重，5 个模板类别）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通用约束与具体任务无关，可跨 T1.1/T1.2/T1.3 复用。每条 case 从 G 池中选取 2-5 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GH-format [Hard] 输出格式要求（Markdown表格 / JSON / 列表 / Q:A:格式 / 有序列表等）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GH-header [Hard] 表头/JSON结构定义（per-case 具体列名或键名，48 个实例变体）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GH-only [Hard] 仅输出{格式内容}，无额外文字/解释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GH-length [Hard] 总字数不超过{N}字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GS-nofab [Soft] 不编造/不输出原文中不存在的数据（5 个实例变体）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</w:t>
      </w:r>
      <w:r>
        <w:rPr>
          <w:rFonts w:eastAsia="等线" w:ascii="Arial" w:cs="Arial" w:hAnsi="Arial"/>
          <w:b w:val="true"/>
          <w:sz w:val="32"/>
        </w:rPr>
        <w:t>.</w:t>
      </w:r>
      <w:r>
        <w:rPr>
          <w:rFonts w:eastAsia="等线" w:ascii="Arial" w:cs="Arial" w:hAnsi="Arial"/>
          <w:b w:val="true"/>
          <w:sz w:val="32"/>
        </w:rPr>
        <w:t>4</w:t>
      </w:r>
      <w:r>
        <w:rPr>
          <w:rFonts w:eastAsia="等线" w:ascii="Arial" w:cs="Arial" w:hAnsi="Arial"/>
          <w:b w:val="true"/>
          <w:sz w:val="32"/>
        </w:rPr>
        <w:t xml:space="preserve"> Context 数据来源溯源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 中 case 的 context 来自不同数据集，需确认原始数据是真实采集还是合成生成。以下为原论文/GitHub 的官方说明：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FinEval IE</w:t>
      </w:r>
      <w:r>
        <w:rPr>
          <w:rFonts w:eastAsia="等线" w:ascii="Arial" w:cs="Arial" w:hAnsi="Arial"/>
          <w:sz w:val="22"/>
        </w:rPr>
        <w:t>（arXiv:2308.09975, SUFE-AIFLM-Lab/FinEval）</w:t>
        <w:br/>
      </w:r>
      <w:r>
        <w:rPr>
          <w:rFonts w:eastAsia="等线" w:ascii="Arial" w:cs="Arial" w:hAnsi="Arial"/>
          <w:sz w:val="22"/>
        </w:rPr>
        <w:t>Context 为真实数据，从各金融网站采集后由领域专家适配。原文："collected and adapted by professionals in the field from various financial websites"，"highly consistent with real-world application scenarios"。注：答案标注由 GPT-4o 生成 + 专家审核。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CFBench / CFBenchmark</w:t>
      </w:r>
      <w:r>
        <w:rPr>
          <w:rFonts w:eastAsia="等线" w:ascii="Arial" w:cs="Arial" w:hAnsi="Arial"/>
          <w:sz w:val="22"/>
        </w:rPr>
        <w:t>（arXiv:2311.05812, TongjiFinLab/CFBenchmark）</w:t>
        <w:br/>
      </w:r>
      <w:r>
        <w:rPr>
          <w:rFonts w:eastAsia="等线" w:ascii="Arial" w:cs="Arial" w:hAnsi="Arial"/>
          <w:sz w:val="22"/>
        </w:rPr>
        <w:t>Context 为真实数据，来源于 2018-2023 年中国金融研报和新闻。原文："All financial texts are sourced from Chinese financial research reports and news data spanning from 2018 to 2023"。采用分布式爬虫采集 → 过滤清洗 → 3 名金融专家标注（一致同意才保留），最终 3917 篇（50-1800+ 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结论：FinEval IE 和 CFBench 的 context 均为真实金融数据，非合成。自建 case 的 context（synthetic_based_on_real / synthetic）为仿照真实公告格式或模拟文档。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6.5 后续策略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训练目标：经过针对性 SFT 后，小模型在金融流水线任务上达到/超过大模型水平。初步评测显示 Qwen3-8B（H+S 71.2%）与 DeepSeek-V4-Flash（82.4%）存在约 11pp 差距，SFT 需重点提升计算推导（check_computation_result 63.6% vs 86.4%）和格式控制能力。</w:t>
        <w:br/>
        <w:br/>
        <w:t>防过拟合：不能只在自己的 bench 上测，还需在通用 IF bench 上验证：</w:t>
        <w:br/>
        <w:t>• IFEval — 500 条数据，25 类代码可验证约束</w:t>
        <w:br/>
        <w:t>• CFBench — 1000 条数据，10 大类约束</w:t>
        <w:br/>
        <w:t>确保学到的是 IF 能力而不是记住了答案。</w:t>
        <w:br/>
        <w:br/>
      </w:r>
      <w:r>
        <w:rPr>
          <w:rFonts w:eastAsia="等线" w:ascii="Arial" w:cs="Arial" w:hAnsi="Arial"/>
          <w:sz w:val="22"/>
        </w:rPr>
        <w:t>最终交付：Case study 直观展示在金融流水线重复任务上，经过训练的小模型可以完全替代 闭源大模型（如 DeepSeek-V4-Flash 等）。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91920">
    <w:lvl>
      <w:numFmt w:val="bullet"/>
      <w:suff w:val="tab"/>
      <w:lvlText w:val="•"/>
      <w:rPr>
        <w:color w:val="3370ff"/>
      </w:rPr>
    </w:lvl>
  </w:abstractNum>
  <w:abstractNum w:abstractNumId="2291921">
    <w:lvl>
      <w:numFmt w:val="bullet"/>
      <w:suff w:val="tab"/>
      <w:lvlText w:val="•"/>
      <w:rPr>
        <w:color w:val="3370ff"/>
      </w:rPr>
    </w:lvl>
  </w:abstractNum>
  <w:abstractNum w:abstractNumId="2291922">
    <w:lvl>
      <w:numFmt w:val="bullet"/>
      <w:suff w:val="tab"/>
      <w:lvlText w:val="•"/>
      <w:rPr>
        <w:color w:val="3370ff"/>
      </w:rPr>
    </w:lvl>
  </w:abstractNum>
  <w:abstractNum w:abstractNumId="2291923">
    <w:lvl>
      <w:numFmt w:val="bullet"/>
      <w:suff w:val="tab"/>
      <w:lvlText w:val="•"/>
      <w:rPr>
        <w:color w:val="3370ff"/>
      </w:rPr>
    </w:lvl>
  </w:abstractNum>
  <w:abstractNum w:abstractNumId="2291924">
    <w:lvl>
      <w:numFmt w:val="bullet"/>
      <w:suff w:val="tab"/>
      <w:lvlText w:val="•"/>
      <w:rPr>
        <w:color w:val="3370ff"/>
      </w:rPr>
    </w:lvl>
  </w:abstractNum>
  <w:abstractNum w:abstractNumId="2291925">
    <w:lvl>
      <w:numFmt w:val="bullet"/>
      <w:suff w:val="tab"/>
      <w:lvlText w:val="•"/>
      <w:rPr>
        <w:color w:val="3370ff"/>
      </w:rPr>
    </w:lvl>
  </w:abstractNum>
  <w:abstractNum w:abstractNumId="2291926">
    <w:lvl>
      <w:numFmt w:val="bullet"/>
      <w:suff w:val="tab"/>
      <w:lvlText w:val="•"/>
      <w:rPr>
        <w:color w:val="3370ff"/>
      </w:rPr>
    </w:lvl>
  </w:abstractNum>
  <w:abstractNum w:abstractNumId="2291927">
    <w:lvl>
      <w:numFmt w:val="bullet"/>
      <w:suff w:val="tab"/>
      <w:lvlText w:val="•"/>
      <w:rPr>
        <w:color w:val="3370ff"/>
      </w:rPr>
    </w:lvl>
  </w:abstractNum>
  <w:abstractNum w:abstractNumId="2291928">
    <w:lvl>
      <w:numFmt w:val="bullet"/>
      <w:suff w:val="tab"/>
      <w:lvlText w:val="•"/>
      <w:rPr>
        <w:color w:val="3370ff"/>
      </w:rPr>
    </w:lvl>
  </w:abstractNum>
  <w:abstractNum w:abstractNumId="2291929">
    <w:lvl>
      <w:numFmt w:val="bullet"/>
      <w:suff w:val="tab"/>
      <w:lvlText w:val="•"/>
      <w:rPr>
        <w:color w:val="3370ff"/>
      </w:rPr>
    </w:lvl>
  </w:abstractNum>
  <w:abstractNum w:abstractNumId="2291930">
    <w:lvl>
      <w:numFmt w:val="bullet"/>
      <w:suff w:val="tab"/>
      <w:lvlText w:val="•"/>
      <w:rPr>
        <w:color w:val="3370ff"/>
      </w:rPr>
    </w:lvl>
  </w:abstractNum>
  <w:abstractNum w:abstractNumId="2291931">
    <w:lvl>
      <w:numFmt w:val="bullet"/>
      <w:suff w:val="tab"/>
      <w:lvlText w:val="•"/>
      <w:rPr>
        <w:color w:val="3370ff"/>
      </w:rPr>
    </w:lvl>
  </w:abstractNum>
  <w:abstractNum w:abstractNumId="2291932">
    <w:lvl>
      <w:numFmt w:val="bullet"/>
      <w:suff w:val="tab"/>
      <w:lvlText w:val="•"/>
      <w:rPr>
        <w:color w:val="3370ff"/>
      </w:rPr>
    </w:lvl>
  </w:abstractNum>
  <w:abstractNum w:abstractNumId="2291933">
    <w:lvl>
      <w:numFmt w:val="bullet"/>
      <w:suff w:val="tab"/>
      <w:lvlText w:val="•"/>
      <w:rPr>
        <w:color w:val="3370ff"/>
      </w:rPr>
    </w:lvl>
  </w:abstractNum>
  <w:abstractNum w:abstractNumId="2291934">
    <w:lvl>
      <w:numFmt w:val="bullet"/>
      <w:suff w:val="tab"/>
      <w:lvlText w:val="•"/>
      <w:rPr>
        <w:color w:val="3370ff"/>
      </w:rPr>
    </w:lvl>
  </w:abstractNum>
  <w:abstractNum w:abstractNumId="2291935">
    <w:lvl>
      <w:numFmt w:val="bullet"/>
      <w:suff w:val="tab"/>
      <w:lvlText w:val="•"/>
      <w:rPr>
        <w:color w:val="3370ff"/>
      </w:rPr>
    </w:lvl>
  </w:abstractNum>
  <w:abstractNum w:abstractNumId="2291936">
    <w:lvl>
      <w:numFmt w:val="bullet"/>
      <w:suff w:val="tab"/>
      <w:lvlText w:val="•"/>
      <w:rPr>
        <w:color w:val="3370ff"/>
      </w:rPr>
    </w:lvl>
  </w:abstractNum>
  <w:abstractNum w:abstractNumId="2291937">
    <w:lvl>
      <w:numFmt w:val="bullet"/>
      <w:suff w:val="tab"/>
      <w:lvlText w:val="•"/>
      <w:rPr>
        <w:color w:val="3370ff"/>
      </w:rPr>
    </w:lvl>
  </w:abstractNum>
  <w:abstractNum w:abstractNumId="2291938">
    <w:lvl>
      <w:numFmt w:val="bullet"/>
      <w:suff w:val="tab"/>
      <w:lvlText w:val="•"/>
      <w:rPr>
        <w:color w:val="3370ff"/>
      </w:rPr>
    </w:lvl>
  </w:abstractNum>
  <w:abstractNum w:abstractNumId="2291939">
    <w:lvl>
      <w:numFmt w:val="bullet"/>
      <w:suff w:val="tab"/>
      <w:lvlText w:val="•"/>
      <w:rPr>
        <w:color w:val="3370ff"/>
      </w:rPr>
    </w:lvl>
  </w:abstractNum>
  <w:abstractNum w:abstractNumId="2291940">
    <w:lvl>
      <w:numFmt w:val="bullet"/>
      <w:suff w:val="tab"/>
      <w:lvlText w:val="•"/>
      <w:rPr>
        <w:color w:val="3370ff"/>
      </w:rPr>
    </w:lvl>
  </w:abstractNum>
  <w:abstractNum w:abstractNumId="2291941">
    <w:lvl>
      <w:numFmt w:val="bullet"/>
      <w:suff w:val="tab"/>
      <w:lvlText w:val="•"/>
      <w:rPr>
        <w:color w:val="3370ff"/>
      </w:rPr>
    </w:lvl>
  </w:abstractNum>
  <w:abstractNum w:abstractNumId="2291942">
    <w:lvl>
      <w:numFmt w:val="bullet"/>
      <w:suff w:val="tab"/>
      <w:lvlText w:val="•"/>
      <w:rPr>
        <w:color w:val="3370ff"/>
      </w:rPr>
    </w:lvl>
  </w:abstractNum>
  <w:abstractNum w:abstractNumId="2291943">
    <w:lvl>
      <w:numFmt w:val="bullet"/>
      <w:suff w:val="tab"/>
      <w:lvlText w:val="•"/>
      <w:rPr>
        <w:color w:val="3370ff"/>
      </w:rPr>
    </w:lvl>
  </w:abstractNum>
  <w:abstractNum w:abstractNumId="2291944">
    <w:lvl>
      <w:numFmt w:val="bullet"/>
      <w:suff w:val="tab"/>
      <w:lvlText w:val="•"/>
      <w:rPr>
        <w:color w:val="3370ff"/>
      </w:rPr>
    </w:lvl>
  </w:abstractNum>
  <w:abstractNum w:abstractNumId="2291945">
    <w:lvl>
      <w:numFmt w:val="bullet"/>
      <w:suff w:val="tab"/>
      <w:lvlText w:val="•"/>
      <w:rPr>
        <w:color w:val="3370ff"/>
      </w:rPr>
    </w:lvl>
  </w:abstractNum>
  <w:abstractNum w:abstractNumId="2291946">
    <w:lvl>
      <w:numFmt w:val="bullet"/>
      <w:suff w:val="tab"/>
      <w:lvlText w:val="•"/>
      <w:rPr>
        <w:color w:val="3370ff"/>
      </w:rPr>
    </w:lvl>
  </w:abstractNum>
  <w:abstractNum w:abstractNumId="2291947">
    <w:lvl>
      <w:numFmt w:val="bullet"/>
      <w:suff w:val="tab"/>
      <w:lvlText w:val="•"/>
      <w:rPr>
        <w:color w:val="3370ff"/>
      </w:rPr>
    </w:lvl>
  </w:abstractNum>
  <w:abstractNum w:abstractNumId="2291948">
    <w:lvl>
      <w:numFmt w:val="bullet"/>
      <w:suff w:val="tab"/>
      <w:lvlText w:val="•"/>
      <w:rPr>
        <w:color w:val="3370ff"/>
      </w:rPr>
    </w:lvl>
  </w:abstractNum>
  <w:abstractNum w:abstractNumId="2291949">
    <w:lvl>
      <w:numFmt w:val="bullet"/>
      <w:suff w:val="tab"/>
      <w:lvlText w:val="•"/>
      <w:rPr>
        <w:color w:val="3370ff"/>
      </w:rPr>
    </w:lvl>
  </w:abstractNum>
  <w:abstractNum w:abstractNumId="2291950">
    <w:lvl>
      <w:numFmt w:val="bullet"/>
      <w:suff w:val="tab"/>
      <w:lvlText w:val="•"/>
      <w:rPr>
        <w:color w:val="3370ff"/>
      </w:rPr>
    </w:lvl>
  </w:abstractNum>
  <w:abstractNum w:abstractNumId="2291951">
    <w:lvl>
      <w:numFmt w:val="bullet"/>
      <w:suff w:val="tab"/>
      <w:lvlText w:val="•"/>
      <w:rPr>
        <w:color w:val="3370ff"/>
      </w:rPr>
    </w:lvl>
  </w:abstractNum>
  <w:abstractNum w:abstractNumId="2291952">
    <w:lvl>
      <w:numFmt w:val="bullet"/>
      <w:suff w:val="tab"/>
      <w:lvlText w:val="•"/>
      <w:rPr>
        <w:color w:val="3370ff"/>
      </w:rPr>
    </w:lvl>
  </w:abstractNum>
  <w:abstractNum w:abstractNumId="2291953">
    <w:lvl>
      <w:numFmt w:val="bullet"/>
      <w:suff w:val="tab"/>
      <w:lvlText w:val="•"/>
      <w:rPr>
        <w:color w:val="3370ff"/>
      </w:rPr>
    </w:lvl>
  </w:abstractNum>
  <w:abstractNum w:abstractNumId="2291954">
    <w:lvl>
      <w:numFmt w:val="bullet"/>
      <w:suff w:val="tab"/>
      <w:lvlText w:val="•"/>
      <w:rPr>
        <w:color w:val="3370ff"/>
      </w:rPr>
    </w:lvl>
  </w:abstractNum>
  <w:abstractNum w:abstractNumId="2291955">
    <w:lvl>
      <w:numFmt w:val="bullet"/>
      <w:suff w:val="tab"/>
      <w:lvlText w:val="•"/>
      <w:rPr>
        <w:color w:val="3370ff"/>
      </w:rPr>
    </w:lvl>
  </w:abstractNum>
  <w:abstractNum w:abstractNumId="2291956">
    <w:lvl>
      <w:numFmt w:val="bullet"/>
      <w:suff w:val="tab"/>
      <w:lvlText w:val="•"/>
      <w:rPr>
        <w:color w:val="3370ff"/>
      </w:rPr>
    </w:lvl>
  </w:abstractNum>
  <w:abstractNum w:abstractNumId="2291957">
    <w:lvl>
      <w:numFmt w:val="bullet"/>
      <w:suff w:val="tab"/>
      <w:lvlText w:val="•"/>
      <w:rPr>
        <w:color w:val="3370ff"/>
      </w:rPr>
    </w:lvl>
  </w:abstractNum>
  <w:abstractNum w:abstractNumId="2291958">
    <w:lvl>
      <w:numFmt w:val="bullet"/>
      <w:suff w:val="tab"/>
      <w:lvlText w:val="•"/>
      <w:rPr>
        <w:color w:val="3370ff"/>
      </w:rPr>
    </w:lvl>
  </w:abstractNum>
  <w:abstractNum w:abstractNumId="2291959">
    <w:lvl>
      <w:numFmt w:val="bullet"/>
      <w:suff w:val="tab"/>
      <w:lvlText w:val="•"/>
      <w:rPr>
        <w:color w:val="3370ff"/>
      </w:rPr>
    </w:lvl>
  </w:abstractNum>
  <w:abstractNum w:abstractNumId="2291960">
    <w:lvl>
      <w:numFmt w:val="bullet"/>
      <w:suff w:val="tab"/>
      <w:lvlText w:val="•"/>
      <w:rPr>
        <w:color w:val="3370ff"/>
      </w:rPr>
    </w:lvl>
  </w:abstractNum>
  <w:num w:numId="1">
    <w:abstractNumId w:val="2291920"/>
  </w:num>
  <w:num w:numId="2">
    <w:abstractNumId w:val="2291921"/>
  </w:num>
  <w:num w:numId="3">
    <w:abstractNumId w:val="2291922"/>
  </w:num>
  <w:num w:numId="4">
    <w:abstractNumId w:val="2291923"/>
  </w:num>
  <w:num w:numId="5">
    <w:abstractNumId w:val="2291924"/>
  </w:num>
  <w:num w:numId="6">
    <w:abstractNumId w:val="2291925"/>
  </w:num>
  <w:num w:numId="7">
    <w:abstractNumId w:val="2291926"/>
  </w:num>
  <w:num w:numId="8">
    <w:abstractNumId w:val="2291927"/>
  </w:num>
  <w:num w:numId="9">
    <w:abstractNumId w:val="2291928"/>
  </w:num>
  <w:num w:numId="10">
    <w:abstractNumId w:val="2291929"/>
  </w:num>
  <w:num w:numId="11">
    <w:abstractNumId w:val="2291930"/>
  </w:num>
  <w:num w:numId="12">
    <w:abstractNumId w:val="2291931"/>
  </w:num>
  <w:num w:numId="13">
    <w:abstractNumId w:val="2291932"/>
  </w:num>
  <w:num w:numId="14">
    <w:abstractNumId w:val="2291933"/>
  </w:num>
  <w:num w:numId="15">
    <w:abstractNumId w:val="2291934"/>
  </w:num>
  <w:num w:numId="16">
    <w:abstractNumId w:val="2291935"/>
  </w:num>
  <w:num w:numId="17">
    <w:abstractNumId w:val="2291936"/>
  </w:num>
  <w:num w:numId="18">
    <w:abstractNumId w:val="2291937"/>
  </w:num>
  <w:num w:numId="19">
    <w:abstractNumId w:val="2291938"/>
  </w:num>
  <w:num w:numId="20">
    <w:abstractNumId w:val="2291939"/>
  </w:num>
  <w:num w:numId="21">
    <w:abstractNumId w:val="2291940"/>
  </w:num>
  <w:num w:numId="22">
    <w:abstractNumId w:val="2291941"/>
  </w:num>
  <w:num w:numId="23">
    <w:abstractNumId w:val="2291942"/>
  </w:num>
  <w:num w:numId="24">
    <w:abstractNumId w:val="2291943"/>
  </w:num>
  <w:num w:numId="25">
    <w:abstractNumId w:val="2291944"/>
  </w:num>
  <w:num w:numId="26">
    <w:abstractNumId w:val="2291945"/>
  </w:num>
  <w:num w:numId="27">
    <w:abstractNumId w:val="2291946"/>
  </w:num>
  <w:num w:numId="28">
    <w:abstractNumId w:val="2291947"/>
  </w:num>
  <w:num w:numId="29">
    <w:abstractNumId w:val="2291948"/>
  </w:num>
  <w:num w:numId="30">
    <w:abstractNumId w:val="2291949"/>
  </w:num>
  <w:num w:numId="31">
    <w:abstractNumId w:val="2291950"/>
  </w:num>
  <w:num w:numId="32">
    <w:abstractNumId w:val="2291951"/>
  </w:num>
  <w:num w:numId="33">
    <w:abstractNumId w:val="2291952"/>
  </w:num>
  <w:num w:numId="34">
    <w:abstractNumId w:val="2291953"/>
  </w:num>
  <w:num w:numId="35">
    <w:abstractNumId w:val="2291954"/>
  </w:num>
  <w:num w:numId="36">
    <w:abstractNumId w:val="2291955"/>
  </w:num>
  <w:num w:numId="37">
    <w:abstractNumId w:val="2291956"/>
  </w:num>
  <w:num w:numId="38">
    <w:abstractNumId w:val="2291957"/>
  </w:num>
  <w:num w:numId="39">
    <w:abstractNumId w:val="2291958"/>
  </w:num>
  <w:num w:numId="40">
    <w:abstractNumId w:val="2291959"/>
  </w:num>
  <w:num w:numId="41">
    <w:abstractNumId w:val="22919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="https://arxiv.org/abs/2601.06747" TargetMode="External"/><Relationship Id="rId11" Type="http://schemas.openxmlformats.org/officeDocument/2006/relationships/hyperlink" Target="https://arxiv.org/abs/2503.16252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yperlink" Target="https://arxiv.org/abs/2512.14754" TargetMode="External"/><Relationship Id="rId6" Type="http://schemas.openxmlformats.org/officeDocument/2006/relationships/hyperlink" Target="https://arxiv.org/abs/2505.16944" TargetMode="External"/><Relationship Id="rId7" Type="http://schemas.openxmlformats.org/officeDocument/2006/relationships/hyperlink" Target="https://arxiv.org/abs/2411.07037" TargetMode="External"/><Relationship Id="rId8" Type="http://schemas.openxmlformats.org/officeDocument/2006/relationships/hyperlink" Target="https://arxiv.org/abs/2508.15202" TargetMode="External"/><Relationship Id="rId9" Type="http://schemas.openxmlformats.org/officeDocument/2006/relationships/hyperlink" Target="https://arxiv.org/abs/2402.12659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2026-05-06T11:20:17Z</dcterms:created>
  <dc:creator>Apache POI</dc:creator>
</cp:coreProperties>
</file>