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80" w:before="200"/>
        <w:jc w:val="center"/>
      </w:pPr>
      <w:r>
        <w:rPr>
          <w:rFonts w:ascii="Arial" w:cs="Arial" w:eastAsia="Arial" w:hAnsi="Arial"/>
          <w:b/>
          <w:bCs/>
          <w:color w:val="2C3E50"/>
          <w:sz w:val="52"/>
          <w:szCs w:val="52"/>
        </w:rPr>
        <w:t xml:space="preserve">💎 Family Money Tracker</w:t>
      </w:r>
    </w:p>
    <w:p>
      <w:pPr>
        <w:spacing w:after="80" w:before="0"/>
        <w:jc w:val="center"/>
      </w:pPr>
      <w:r>
        <w:rPr>
          <w:rFonts w:ascii="Arial" w:cs="Arial" w:eastAsia="Arial" w:hAnsi="Arial"/>
          <w:b/>
          <w:bCs/>
          <w:color w:val="555555"/>
          <w:sz w:val="30"/>
          <w:szCs w:val="30"/>
        </w:rPr>
        <w:t xml:space="preserve">Documento Tecnico v3 — Dettagliato</w:t>
      </w:r>
    </w:p>
    <w:p>
      <w:pPr>
        <w:spacing w:after="60" w:before="0"/>
        <w:jc w:val="center"/>
      </w:pPr>
      <w:r>
        <w:rPr>
          <w:rFonts w:ascii="Arial" w:cs="Arial" w:eastAsia="Arial" w:hAnsi="Arial"/>
          <w:color w:val="888888"/>
          <w:sz w:val="22"/>
          <w:szCs w:val="22"/>
        </w:rPr>
        <w:t xml:space="preserve">React 18 / Vite / Zustand / Firebase Firestore · Luglio 2026</w:t>
      </w:r>
    </w:p>
    <w:p>
      <w:pPr>
        <w:spacing w:after="240" w:before="0"/>
        <w:jc w:val="center"/>
      </w:pPr>
      <w:r>
        <w:rPr>
          <w:rFonts w:ascii="Arial" w:cs="Arial" w:eastAsia="Arial" w:hAnsi="Arial"/>
          <w:color w:val="1A7BC4"/>
          <w:sz w:val="20"/>
          <w:szCs w:val="20"/>
        </w:rPr>
        <w:t xml:space="preserve">family-money-one.vercel.app  ·  github.com/francesbini-lgtm/family-money</w:t>
      </w:r>
    </w:p>
    <w:p>
      <w:pPr>
        <w:pStyle w:val="Heading1"/>
        <w:spacing w:after="140" w:before="320"/>
      </w:pPr>
      <w:r>
        <w:rPr>
          <w:rFonts w:ascii="Arial" w:cs="Arial" w:eastAsia="Arial" w:hAnsi="Arial"/>
          <w:b/>
          <w:bCs/>
          <w:color w:val="2C3E50"/>
          <w:sz w:val="28"/>
          <w:szCs w:val="28"/>
        </w:rPr>
        <w:t xml:space="preserve">1. Panoramica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Family Money Tracker è una SPA (Single Page Application) React 18 per la gestione delle finanze familiari. Il frontend è costruito con Vite come bundler, Zustand come stato globale, Firebase/Firestore per la persistenza e Firebase Auth per l'autenticazione. Il deploy è su Vercel con CI/CD automatico dal branch main.</w:t>
      </w:r>
    </w:p>
    <w:p>
      <w:pPr>
        <w:spacing w:after="60" w:before="6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8"/>
        <w:gridCol w:w="6318"/>
      </w:tblGrid>
      <w:tr>
        <w:tc>
          <w:tcPr>
            <w:tcW w:type="dxa" w:w="2708"/>
            <w:tcBorders>
              <w:top w:val="single" w:color="2C3E50" w:sz="4"/>
              <w:left w:val="single" w:color="2C3E50" w:sz="4"/>
              <w:bottom w:val="single" w:color="2C3E50" w:sz="4"/>
              <w:right w:val="single" w:color="2C3E50" w:sz="4"/>
            </w:tcBorders>
            <w:shd w:fill="2C3E50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Voce</w:t>
            </w:r>
          </w:p>
        </w:tc>
        <w:tc>
          <w:tcPr>
            <w:tcW w:type="dxa" w:w="6318"/>
            <w:tcBorders>
              <w:top w:val="single" w:color="2C3E50" w:sz="4"/>
              <w:left w:val="single" w:color="2C3E50" w:sz="4"/>
              <w:bottom w:val="single" w:color="2C3E50" w:sz="4"/>
              <w:right w:val="single" w:color="2C3E50" w:sz="4"/>
            </w:tcBorders>
            <w:shd w:fill="2C3E50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Dettaglio</w:t>
            </w:r>
          </w:p>
        </w:tc>
      </w:tr>
      <w:tr>
        <w:tc>
          <w:tcPr>
            <w:tcW w:type="dxa" w:w="270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Framework</w:t>
            </w:r>
          </w:p>
        </w:tc>
        <w:tc>
          <w:tcPr>
            <w:tcW w:type="dxa" w:w="631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React 18 + Vite (non Next.js)</w:t>
            </w:r>
          </w:p>
        </w:tc>
      </w:tr>
      <w:tr>
        <w:tc>
          <w:tcPr>
            <w:tcW w:type="dxa" w:w="270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Stato globale</w:t>
            </w:r>
          </w:p>
        </w:tc>
        <w:tc>
          <w:tcPr>
            <w:tcW w:type="dxa" w:w="631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Zustand — useStore.js (singolo store con tutte le action)</w:t>
            </w:r>
          </w:p>
        </w:tc>
      </w:tr>
      <w:tr>
        <w:tc>
          <w:tcPr>
            <w:tcW w:type="dxa" w:w="270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Database</w:t>
            </w:r>
          </w:p>
        </w:tc>
        <w:tc>
          <w:tcPr>
            <w:tcW w:type="dxa" w:w="631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Firebase Firestore — documenti per utente</w:t>
            </w:r>
          </w:p>
        </w:tc>
      </w:tr>
      <w:tr>
        <w:tc>
          <w:tcPr>
            <w:tcW w:type="dxa" w:w="270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Autenticazione</w:t>
            </w:r>
          </w:p>
        </w:tc>
        <w:tc>
          <w:tcPr>
            <w:tcW w:type="dxa" w:w="631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Firebase Auth — Google OAuth (unico provider)</w:t>
            </w:r>
          </w:p>
        </w:tc>
      </w:tr>
      <w:tr>
        <w:tc>
          <w:tcPr>
            <w:tcW w:type="dxa" w:w="270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Deploy</w:t>
            </w:r>
          </w:p>
        </w:tc>
        <w:tc>
          <w:tcPr>
            <w:tcW w:type="dxa" w:w="631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Vercel · family-money-one.vercel.app — CI/CD da branch main</w:t>
            </w:r>
          </w:p>
        </w:tc>
      </w:tr>
      <w:tr>
        <w:tc>
          <w:tcPr>
            <w:tcW w:type="dxa" w:w="270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Repository</w:t>
            </w:r>
          </w:p>
        </w:tc>
        <w:tc>
          <w:tcPr>
            <w:tcW w:type="dxa" w:w="631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github.com/francesbini-lgtm/family-money · branch main</w:t>
            </w:r>
          </w:p>
        </w:tc>
      </w:tr>
      <w:tr>
        <w:tc>
          <w:tcPr>
            <w:tcW w:type="dxa" w:w="270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Caricamento dati</w:t>
            </w:r>
          </w:p>
        </w:tc>
        <w:tc>
          <w:tcPr>
            <w:tcW w:type="dxa" w:w="631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loadAllData() al login — one-shot, nessun listener Firestore real-time</w:t>
            </w:r>
          </w:p>
        </w:tc>
      </w:tr>
      <w:tr>
        <w:tc>
          <w:tcPr>
            <w:tcW w:type="dxa" w:w="270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AI PayPal</w:t>
            </w:r>
          </w:p>
        </w:tc>
        <w:tc>
          <w:tcPr>
            <w:tcW w:type="dxa" w:w="631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GPT-4o Vision (screenshot) + GPT-4o-mini (PDF e testo)</w:t>
            </w:r>
          </w:p>
        </w:tc>
      </w:tr>
      <w:tr>
        <w:tc>
          <w:tcPr>
            <w:tcW w:type="dxa" w:w="270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AI Regole</w:t>
            </w:r>
          </w:p>
        </w:tc>
        <w:tc>
          <w:tcPr>
            <w:tcW w:type="dxa" w:w="631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Engine interno client-side (applyAiRules, applySingleRule)</w:t>
            </w:r>
          </w:p>
        </w:tc>
      </w:tr>
      <w:tr>
        <w:tc>
          <w:tcPr>
            <w:tcW w:type="dxa" w:w="270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AI Overlap</w:t>
            </w:r>
          </w:p>
        </w:tc>
        <w:tc>
          <w:tcPr>
            <w:tcW w:type="dxa" w:w="631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Gemini opzionale — solo in sviluppo via proxy localhost:3001</w:t>
            </w:r>
          </w:p>
        </w:tc>
      </w:tr>
      <w:tr>
        <w:tc>
          <w:tcPr>
            <w:tcW w:type="dxa" w:w="270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Font</w:t>
            </w:r>
          </w:p>
        </w:tc>
        <w:tc>
          <w:tcPr>
            <w:tcW w:type="dxa" w:w="631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DM Serif Display (titoli) + DM Sans (corpo) da Google Fonts</w:t>
            </w:r>
          </w:p>
        </w:tc>
      </w:tr>
      <w:tr>
        <w:tc>
          <w:tcPr>
            <w:tcW w:type="dxa" w:w="270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Colore accent</w:t>
            </w:r>
          </w:p>
        </w:tc>
        <w:tc>
          <w:tcPr>
            <w:tcW w:type="dxa" w:w="631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#C8622A (arancione caldo)  ·  dark bg #1A1512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1.1 Architettura dati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Lo store Zustand (useStore.js) è il cuore dell'app. Contiene: transactions[], appPrefs{}, aiRules[], customCats{}, e tutte le action di modifica/persistenza. I dati vengono caricati una sola volta al login tramite loadAllData() e poi scritti su Firestore in modo incrementale a ogni modifica tramite batchSaveDocuments() e setAppPref().</w:t>
      </w:r>
    </w:p>
    <w:p>
      <w:pPr>
        <w:spacing w:after="60" w:before="60"/>
      </w:pPr>
      <w:r>
        <w:t xml:space="preserve"/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1A7BC4"/>
          <w:sz w:val="20"/>
          <w:szCs w:val="20"/>
        </w:rPr>
        <w:t xml:space="preserve">Flusso dati principale: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Login Google OAuth → Firebase Auth restituisce uid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loadAllData(uid) legge da Firestore: transactions, appPrefs (inclusi customCats, paypalImports, nanny/colf data, satispayPots, loans, investments, scadenze, vacations), aiRules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applyAiRules() viene eseguito su tutte le transazioni senza categoria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Lo stato Zustand viene popolato — l'app è pronta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Ogni modifica successiva: updateTransaction() o setAppPref() scrivono su Firestore in background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Nessun listener real-time: un secondo dispositivo vede i dati aggiornati solo dopo refresh</w:t>
      </w:r>
    </w:p>
    <w:p>
      <w:r>
        <w:br w:type="page"/>
      </w:r>
    </w:p>
    <w:p>
      <w:pPr>
        <w:pStyle w:val="Heading1"/>
        <w:spacing w:after="140" w:before="320"/>
      </w:pPr>
      <w:r>
        <w:rPr>
          <w:rFonts w:ascii="Arial" w:cs="Arial" w:eastAsia="Arial" w:hAnsi="Arial"/>
          <w:b/>
          <w:bCs/>
          <w:color w:val="2C3E50"/>
          <w:sz w:val="28"/>
          <w:szCs w:val="28"/>
        </w:rPr>
        <w:t xml:space="preserve">2. Autenticazione</w:t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2.1 Flusso Login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Unico metodo: Google OAuth tramite Firebase Auth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PIN numerico a 6 cifre: previsto nel design originale ma non implementato nella versione attuale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Dopo autenticazione Google: viene chiamata loadAllData(uid) che popola lo store Zustand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Nessun secondo fattore attivo — l'accesso è Google-only</w:t>
      </w:r>
    </w:p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2.2 loadAllData() — dettaglio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Funzione asincrona in useStore.js che carica in sequenza tutti i dati dell'utente da Firestore. Eseguita una sola volta al login.</w:t>
      </w:r>
    </w:p>
    <w:p>
      <w:pPr>
        <w:spacing w:after="60" w:before="6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91"/>
        <w:gridCol w:w="5235"/>
      </w:tblGrid>
      <w:tr>
        <w:tc>
          <w:tcPr>
            <w:tcW w:type="dxa" w:w="3791"/>
            <w:tcBorders>
              <w:top w:val="single" w:color="2C3E50" w:sz="4"/>
              <w:left w:val="single" w:color="2C3E50" w:sz="4"/>
              <w:bottom w:val="single" w:color="2C3E50" w:sz="4"/>
              <w:right w:val="single" w:color="2C3E50" w:sz="4"/>
            </w:tcBorders>
            <w:shd w:fill="2C3E50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Cosa carica</w:t>
            </w:r>
          </w:p>
        </w:tc>
        <w:tc>
          <w:tcPr>
            <w:tcW w:type="dxa" w:w="5235"/>
            <w:tcBorders>
              <w:top w:val="single" w:color="2C3E50" w:sz="4"/>
              <w:left w:val="single" w:color="2C3E50" w:sz="4"/>
              <w:bottom w:val="single" w:color="2C3E50" w:sz="4"/>
              <w:right w:val="single" w:color="2C3E50" w:sz="4"/>
            </w:tcBorders>
            <w:shd w:fill="2C3E50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Dove viene salvato nello store</w:t>
            </w:r>
          </w:p>
        </w:tc>
      </w:tr>
      <w:tr>
        <w:tc>
          <w:tcPr>
            <w:tcW w:type="dxa" w:w="379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Collection transactions/{uid}/docs</w:t>
            </w:r>
          </w:p>
        </w:tc>
        <w:tc>
          <w:tcPr>
            <w:tcW w:type="dxa" w:w="523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store.transactions[]</w:t>
            </w:r>
          </w:p>
        </w:tc>
      </w:tr>
      <w:tr>
        <w:tc>
          <w:tcPr>
            <w:tcW w:type="dxa" w:w="379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Document appPrefs/{uid}</w:t>
            </w:r>
          </w:p>
        </w:tc>
        <w:tc>
          <w:tcPr>
            <w:tcW w:type="dxa" w:w="523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store.appPrefs{} — include: paypalImports, customCats, nanny, colf, satispayPots, loans, investments, scadenze, vacations, realAssets, cashCats, aiNamingRules</w:t>
            </w:r>
          </w:p>
        </w:tc>
      </w:tr>
      <w:tr>
        <w:tc>
          <w:tcPr>
            <w:tcW w:type="dxa" w:w="379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Collection ai_rules/{uid}/docs</w:t>
            </w:r>
          </w:p>
        </w:tc>
        <w:tc>
          <w:tcPr>
            <w:tcW w:type="dxa" w:w="523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store.aiRules[]</w:t>
            </w:r>
          </w:p>
        </w:tc>
      </w:tr>
      <w:tr>
        <w:tc>
          <w:tcPr>
            <w:tcW w:type="dxa" w:w="379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customCats (da appPrefs)</w:t>
            </w:r>
          </w:p>
        </w:tc>
        <w:tc>
          <w:tcPr>
            <w:tcW w:type="dxa" w:w="523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store.customCats{} — estratto da appPrefs per accesso rapido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Al termine del caricamento: applyAiRules() viene eseguito su tutte le transazioni prive di cat1 o con cat1 = "Non Categorizzato", applicando le regole salvate.</w:t>
      </w:r>
    </w:p>
    <w:p>
      <w:pPr>
        <w:spacing w:after="60" w:before="60"/>
      </w:pPr>
      <w:r>
        <w:t xml:space="preserve"/>
      </w:r>
    </w:p>
    <w:p>
      <w:pPr>
        <w:pStyle w:val="Heading1"/>
        <w:spacing w:after="140" w:before="320"/>
      </w:pPr>
      <w:r>
        <w:rPr>
          <w:rFonts w:ascii="Arial" w:cs="Arial" w:eastAsia="Arial" w:hAnsi="Arial"/>
          <w:b/>
          <w:bCs/>
          <w:color w:val="2C3E50"/>
          <w:sz w:val="28"/>
          <w:szCs w:val="28"/>
        </w:rPr>
        <w:t xml:space="preserve">3. Struttura Navigazione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Sidebar desktop fissa (230px larghezza) e drawer mobile hamburger (280px). Le stesse sezioni sono accessibili da entrambe. Le sezioni sono raggruppate in 6 blocchi logici.</w:t>
      </w:r>
    </w:p>
    <w:p>
      <w:pPr>
        <w:spacing w:after="60" w:before="6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25"/>
        <w:gridCol w:w="1805"/>
        <w:gridCol w:w="5596"/>
      </w:tblGrid>
      <w:tr>
        <w:tc>
          <w:tcPr>
            <w:tcW w:type="dxa" w:w="1625"/>
            <w:tcBorders>
              <w:top w:val="single" w:color="2C3E50" w:sz="4"/>
              <w:left w:val="single" w:color="2C3E50" w:sz="4"/>
              <w:bottom w:val="single" w:color="2C3E50" w:sz="4"/>
              <w:right w:val="single" w:color="2C3E50" w:sz="4"/>
            </w:tcBorders>
            <w:shd w:fill="2C3E50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Gruppo</w:t>
            </w:r>
          </w:p>
        </w:tc>
        <w:tc>
          <w:tcPr>
            <w:tcW w:type="dxa" w:w="1805"/>
            <w:tcBorders>
              <w:top w:val="single" w:color="2C3E50" w:sz="4"/>
              <w:left w:val="single" w:color="2C3E50" w:sz="4"/>
              <w:bottom w:val="single" w:color="2C3E50" w:sz="4"/>
              <w:right w:val="single" w:color="2C3E50" w:sz="4"/>
            </w:tcBorders>
            <w:shd w:fill="2C3E50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Sezione</w:t>
            </w:r>
          </w:p>
        </w:tc>
        <w:tc>
          <w:tcPr>
            <w:tcW w:type="dxa" w:w="5596"/>
            <w:tcBorders>
              <w:top w:val="single" w:color="2C3E50" w:sz="4"/>
              <w:left w:val="single" w:color="2C3E50" w:sz="4"/>
              <w:bottom w:val="single" w:color="2C3E50" w:sz="4"/>
              <w:right w:val="single" w:color="2C3E50" w:sz="4"/>
            </w:tcBorders>
            <w:shd w:fill="2C3E50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Componente / Descrizione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Overview</w:t>
            </w:r>
          </w:p>
        </w:tc>
        <w:tc>
          <w:tcPr>
            <w:tcW w:type="dxa" w:w="180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Accuracy</w:t>
            </w:r>
          </w:p>
        </w:tc>
        <w:tc>
          <w:tcPr>
            <w:tcW w:type="dxa" w:w="559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DashboardPage.jsx — KPI globali, grafici, qualità categorizzazione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Overview</w:t>
            </w:r>
          </w:p>
        </w:tc>
        <w:tc>
          <w:tcPr>
            <w:tcW w:type="dxa" w:w="180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Transazioni</w:t>
            </w:r>
          </w:p>
        </w:tc>
        <w:tc>
          <w:tcPr>
            <w:tcW w:type="dxa" w:w="559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TransactionsPage.jsx — tabella completa, import CSV, regole AI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Overview</w:t>
            </w:r>
          </w:p>
        </w:tc>
        <w:tc>
          <w:tcPr>
            <w:tcW w:type="dxa" w:w="180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PayPal</w:t>
            </w:r>
          </w:p>
        </w:tc>
        <w:tc>
          <w:tcPr>
            <w:tcW w:type="dxa" w:w="559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PaypalPage.jsx — import screenshot/PDF, abbinamento, storico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Finance</w:t>
            </w:r>
          </w:p>
        </w:tc>
        <w:tc>
          <w:tcPr>
            <w:tcW w:type="dxa" w:w="180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Spese</w:t>
            </w:r>
          </w:p>
        </w:tc>
        <w:tc>
          <w:tcPr>
            <w:tcW w:type="dxa" w:w="559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UscitePage.jsx — analisi spese per L1/L2, confronto periodi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Finance</w:t>
            </w:r>
          </w:p>
        </w:tc>
        <w:tc>
          <w:tcPr>
            <w:tcW w:type="dxa" w:w="180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Patrimonio</w:t>
            </w:r>
          </w:p>
        </w:tc>
        <w:tc>
          <w:tcPr>
            <w:tcW w:type="dxa" w:w="559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PatrimonioPage.jsx — beni reali + investimenti + conti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Finance</w:t>
            </w:r>
          </w:p>
        </w:tc>
        <w:tc>
          <w:tcPr>
            <w:tcW w:type="dxa" w:w="180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Stipendi</w:t>
            </w:r>
          </w:p>
        </w:tc>
        <w:tc>
          <w:tcPr>
            <w:tcW w:type="dxa" w:w="559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StipendiPage.jsx — stipendi mensili Marco e Sofia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Finance</w:t>
            </w:r>
          </w:p>
        </w:tc>
        <w:tc>
          <w:tcPr>
            <w:tcW w:type="dxa" w:w="180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Altre Entrate</w:t>
            </w:r>
          </w:p>
        </w:tc>
        <w:tc>
          <w:tcPr>
            <w:tcW w:type="dxa" w:w="559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AltreEntratePage.jsx — rimborsi, bonus, entrate extra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Finance</w:t>
            </w:r>
          </w:p>
        </w:tc>
        <w:tc>
          <w:tcPr>
            <w:tcW w:type="dxa" w:w="180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Prestiti &amp; Mutuo</w:t>
            </w:r>
          </w:p>
        </w:tc>
        <w:tc>
          <w:tcPr>
            <w:tcW w:type="dxa" w:w="559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MutuoPage.jsx — mutui, simulatore rata, KPI debiti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Finance</w:t>
            </w:r>
          </w:p>
        </w:tc>
        <w:tc>
          <w:tcPr>
            <w:tcW w:type="dxa" w:w="180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Energy</w:t>
            </w:r>
          </w:p>
        </w:tc>
        <w:tc>
          <w:tcPr>
            <w:tcW w:type="dxa" w:w="559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EnergyPage.jsx — utenze domestiche, bollette, YTD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Finance</w:t>
            </w:r>
          </w:p>
        </w:tc>
        <w:tc>
          <w:tcPr>
            <w:tcW w:type="dxa" w:w="180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Contanti</w:t>
            </w:r>
          </w:p>
        </w:tc>
        <w:tc>
          <w:tcPr>
            <w:tcW w:type="dxa" w:w="559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ContantiPage.jsx — movimenti contanti, riconciliazione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Famiglia</w:t>
            </w:r>
          </w:p>
        </w:tc>
        <w:tc>
          <w:tcPr>
            <w:tcW w:type="dxa" w:w="180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Nanny</w:t>
            </w:r>
          </w:p>
        </w:tc>
        <w:tc>
          <w:tcPr>
            <w:tcW w:type="dxa" w:w="559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NannyPage.jsx — ore, pagamenti, riconciliazione mensile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Famiglia</w:t>
            </w:r>
          </w:p>
        </w:tc>
        <w:tc>
          <w:tcPr>
            <w:tcW w:type="dxa" w:w="180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Colf</w:t>
            </w:r>
          </w:p>
        </w:tc>
        <w:tc>
          <w:tcPr>
            <w:tcW w:type="dxa" w:w="559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ColfPage.jsx — ore, pagamenti, riconciliazione mensile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Famiglia</w:t>
            </w:r>
          </w:p>
        </w:tc>
        <w:tc>
          <w:tcPr>
            <w:tcW w:type="dxa" w:w="180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Veicoli</w:t>
            </w:r>
          </w:p>
        </w:tc>
        <w:tc>
          <w:tcPr>
            <w:tcW w:type="dxa" w:w="559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VeicoliRegistroPage.jsx — auto, scadenze, riconciliazione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Lifestyle</w:t>
            </w:r>
          </w:p>
        </w:tc>
        <w:tc>
          <w:tcPr>
            <w:tcW w:type="dxa" w:w="180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Vacanze</w:t>
            </w:r>
          </w:p>
        </w:tc>
        <w:tc>
          <w:tcPr>
            <w:tcW w:type="dxa" w:w="559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VacanzePage.jsx — viaggi, costi, weekend da AI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Lifestyle</w:t>
            </w:r>
          </w:p>
        </w:tc>
        <w:tc>
          <w:tcPr>
            <w:tcW w:type="dxa" w:w="180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Satispay</w:t>
            </w:r>
          </w:p>
        </w:tc>
        <w:tc>
          <w:tcPr>
            <w:tcW w:type="dxa" w:w="559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SatispayPage.jsx — fondi accantonamento, griglia mesi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Lifestyle</w:t>
            </w:r>
          </w:p>
        </w:tc>
        <w:tc>
          <w:tcPr>
            <w:tcW w:type="dxa" w:w="180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Cecilia</w:t>
            </w:r>
          </w:p>
        </w:tc>
        <w:tc>
          <w:tcPr>
            <w:tcW w:type="dxa" w:w="559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CeciliaPage.jsx — fondo risparmio, portafoglio, buoni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Planning</w:t>
            </w:r>
          </w:p>
        </w:tc>
        <w:tc>
          <w:tcPr>
            <w:tcW w:type="dxa" w:w="180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Calendario</w:t>
            </w:r>
          </w:p>
        </w:tc>
        <w:tc>
          <w:tcPr>
            <w:tcW w:type="dxa" w:w="559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CalendarioPage.jsx — vista mese con transazioni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Planning</w:t>
            </w:r>
          </w:p>
        </w:tc>
        <w:tc>
          <w:tcPr>
            <w:tcW w:type="dxa" w:w="180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Mappa Spese</w:t>
            </w:r>
          </w:p>
        </w:tc>
        <w:tc>
          <w:tcPr>
            <w:tcW w:type="dxa" w:w="559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MappaSpesePage.jsx — mappa geografica transazioni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Planning</w:t>
            </w:r>
          </w:p>
        </w:tc>
        <w:tc>
          <w:tcPr>
            <w:tcW w:type="dxa" w:w="180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Scadenze</w:t>
            </w:r>
          </w:p>
        </w:tc>
        <w:tc>
          <w:tcPr>
            <w:tcW w:type="dxa" w:w="559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ScadenzePage.jsx — bollette e impegni ricorrenti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Planning</w:t>
            </w:r>
          </w:p>
        </w:tc>
        <w:tc>
          <w:tcPr>
            <w:tcW w:type="dxa" w:w="180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Investimenti</w:t>
            </w:r>
          </w:p>
        </w:tc>
        <w:tc>
          <w:tcPr>
            <w:tcW w:type="dxa" w:w="559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InvestimentiPage.jsx — portafogli, posizioni, prezzi live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Planning</w:t>
            </w:r>
          </w:p>
        </w:tc>
        <w:tc>
          <w:tcPr>
            <w:tcW w:type="dxa" w:w="180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Forecast</w:t>
            </w:r>
          </w:p>
        </w:tc>
        <w:tc>
          <w:tcPr>
            <w:tcW w:type="dxa" w:w="559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ForecastPage.jsx — proiezione P&amp;L 1/3/5/10/20 anni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Planning</w:t>
            </w:r>
          </w:p>
        </w:tc>
        <w:tc>
          <w:tcPr>
            <w:tcW w:type="dxa" w:w="180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Bloc Notes</w:t>
            </w:r>
          </w:p>
        </w:tc>
        <w:tc>
          <w:tcPr>
            <w:tcW w:type="dxa" w:w="559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BlocNotesPage.jsx — note libere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Config</w:t>
            </w:r>
          </w:p>
        </w:tc>
        <w:tc>
          <w:tcPr>
            <w:tcW w:type="dxa" w:w="180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Impostazioni</w:t>
            </w:r>
          </w:p>
        </w:tc>
        <w:tc>
          <w:tcPr>
            <w:tcW w:type="dxa" w:w="559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SettingsPage.jsx — categorie, regole AI, profilo, contanti</w:t>
            </w:r>
          </w:p>
        </w:tc>
      </w:tr>
    </w:tbl>
    <w:p>
      <w:r>
        <w:br w:type="page"/>
      </w:r>
    </w:p>
    <w:p>
      <w:pPr>
        <w:pStyle w:val="Heading1"/>
        <w:spacing w:after="140" w:before="320"/>
      </w:pPr>
      <w:r>
        <w:rPr>
          <w:rFonts w:ascii="Arial" w:cs="Arial" w:eastAsia="Arial" w:hAnsi="Arial"/>
          <w:b/>
          <w:bCs/>
          <w:color w:val="2C3E50"/>
          <w:sz w:val="28"/>
          <w:szCs w:val="28"/>
        </w:rPr>
        <w:t xml:space="preserve">4. Import CSV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Il punto di import CSV è la sezione Transazioni. Il modal ha un selettore esplicito "Conto Corrente" / "Carta di Credito". Supporta multi-file: più CSV possono essere caricati in un singolo import.</w:t>
      </w:r>
    </w:p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4.1 Tipi di CSV supportati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CSV Conto Corrente: movimenti del conto principale (Intesa Sanpaolo, Fineco, ecc.) — contiene l'addebito totale mensile carta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CSV Carta di Credito: estratto conto carta (Amex, Visa, ecc.) — contiene le singole transazioni</w:t>
      </w:r>
    </w:p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4.2 Pipeline import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Step 1 — Parsing: il CSV viene letto, normalizzato (encoding, separatori, date)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Step 2 — Deduplicazione: chiave = data + importo + descrizione normalizzata. Duplicati scartati silenziosamente e conteggiati nel log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Step 3 — Arricchimento: per ogni nuova transazione viene generato un txId (formato "YY-NNNN"), assegnato account e type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Step 4 — AI categorizzazione: applyAiRules(description, amount, date) su ogni transazione nuova — assegna cat1, cat2, descAI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Step 5 — Riconciliazione carta (solo se tipo=carta): cerca ed esclude l'addebito totale sul conto corrente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Step 6 — Salvataggio: batchSaveDocuments() su Firestore, aggiornamento store Zustand</w:t>
      </w:r>
    </w:p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4.3 Riconciliazione Carta di Credito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Logica: cerca nel conto corrente una transazione con importo uguale alla somma delle transazioni carta ± tolleranza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Match trovato: quella transazione viene marcata excluded=true con excludeReason="addebito carta" → banner verde "✓ Carta riconciliata"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Match non trovato: banner giallo "⚠ Mancano €X — verifica i file caricati" (non bloccante)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Il banner mostra sempre il delta tra somma carta e importo addebito trovato</w:t>
      </w:r>
    </w:p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4.4 Log import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Ogni import produce un record log contenente: data/ora, nome file, tipo (conto|carta), N transazioni nuove, N duplicate, stato riconciliazione carta (ok|warning|n/a), importo delta se warning.</w:t>
      </w:r>
    </w:p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4.5 Categorizzazione AI all'import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applyAiRules(description, amount, date) è l'entry point per la categorizzazione automatica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Controlla in ordine: 1) Regole King (isKing:true) → 2) Regole multi-condizione Firestore → 3) Regole semplici testuali → 4) Regole di sistema (hardcoded)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Se nessuna regola matcha: cat1 = "Non Categorizzato"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Regola di sistema fondamentale: amount &gt; 0 → cat1 = "Entrate" sempre (sovrascrive tutto)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Al primo CSV assoluto: proposta categorizzazione batch con preview prima di confermare</w:t>
      </w:r>
    </w:p>
    <w:p>
      <w:r>
        <w:br w:type="page"/>
      </w:r>
    </w:p>
    <w:p>
      <w:pPr>
        <w:pStyle w:val="Heading1"/>
        <w:spacing w:after="140" w:before="320"/>
      </w:pPr>
      <w:r>
        <w:rPr>
          <w:rFonts w:ascii="Arial" w:cs="Arial" w:eastAsia="Arial" w:hAnsi="Arial"/>
          <w:b/>
          <w:bCs/>
          <w:color w:val="2C3E50"/>
          <w:sz w:val="28"/>
          <w:szCs w:val="28"/>
        </w:rPr>
        <w:t xml:space="preserve">5. Import PayPal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Sezione dedicata per importare le transazioni PayPal da screenshot o PDF, abbinarle alle transazioni bancarie corrispondenti e gestirne lo storico. Componente principale: PaypalPage.jsx, logica AI in aiService.js.</w:t>
      </w:r>
    </w:p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5.1 Flusso Import — step by step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Step 1: l'utente apre "Importa screenshot PayPal" e seleziona l'anno di riferimento (dropdown obbligatorio — gli screenshot PayPal non contengono l'anno)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Step 2: carica uno o più file (immagini PNG/JPG o PDF)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Step 3a — Screenshot/immagini: callPaypalVision(imagesBase64, key, year, merchantHistory) → GPT-4o Vision estrae data, merchant, importo, descrizione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Step 3b — PDF: callPaypalText(pdfText, key, year, merchantHistory) → GPT-4o-mini elabora il testo estratto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Step 4: i risultati vengono arricchiti con getMerchantCatSuggestion() per suggerire L1/L2 da storico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Step 5: i record vengono salvati in appPrefs.paypalImports[]</w:t>
      </w:r>
    </w:p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5.2 Storico Merchant — buildMerchantHistory()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Funzione in PaypalPage.jsx che costruisce una mappa merchant→{cat1, cat2} per alimentare sia il prompt AI che il fallback post-elaborazione.</w:t>
      </w:r>
    </w:p>
    <w:p>
      <w:pPr>
        <w:spacing w:after="60" w:before="60"/>
      </w:pPr>
      <w:r>
        <w:t xml:space="preserve"/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Sorgente: solo transazioni con _paypalOverride: true (già abbinate a PayPal) — mai le non abbinate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Filtro qualità: esclude merchant con cat1 = "Altro" o "Non Categorizzato"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Per ogni merchant: usa la coppia cat1/cat2 più frequente (moda)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Limite: vengono passate al prompt AI le ultime 60 voci per evitare prompt troppo lunghi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getMerchantCatSuggestion(merchant, transactions): cerca il merchant nelle transazioni abbinate e restituisce la coppia cat1/cat2 più comune</w:t>
      </w:r>
    </w:p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5.3 Prompt AI per PayPal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Il prompt include: anno selezionato dall'utente (per parsing date corrette), storico merchant (mappa merchant→categoria), istruzioni per estrarre campi, formato JSON atteso. L'AI usa lo storico per classificare direttamente i merchant già noti.</w:t>
      </w:r>
    </w:p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5.4 Struttura dati appPrefs.paypalImports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8"/>
        <w:gridCol w:w="6318"/>
      </w:tblGrid>
      <w:tr>
        <w:tc>
          <w:tcPr>
            <w:tcW w:type="dxa" w:w="2708"/>
            <w:tcBorders>
              <w:top w:val="single" w:color="2C3E50" w:sz="4"/>
              <w:left w:val="single" w:color="2C3E50" w:sz="4"/>
              <w:bottom w:val="single" w:color="2C3E50" w:sz="4"/>
              <w:right w:val="single" w:color="2C3E50" w:sz="4"/>
            </w:tcBorders>
            <w:shd w:fill="2C3E50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Campo</w:t>
            </w:r>
          </w:p>
        </w:tc>
        <w:tc>
          <w:tcPr>
            <w:tcW w:type="dxa" w:w="6318"/>
            <w:tcBorders>
              <w:top w:val="single" w:color="2C3E50" w:sz="4"/>
              <w:left w:val="single" w:color="2C3E50" w:sz="4"/>
              <w:bottom w:val="single" w:color="2C3E50" w:sz="4"/>
              <w:right w:val="single" w:color="2C3E50" w:sz="4"/>
            </w:tcBorders>
            <w:shd w:fill="2C3E50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Tipo / Descrizione</w:t>
            </w:r>
          </w:p>
        </w:tc>
      </w:tr>
      <w:tr>
        <w:tc>
          <w:tcPr>
            <w:tcW w:type="dxa" w:w="270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id</w:t>
            </w:r>
          </w:p>
        </w:tc>
        <w:tc>
          <w:tcPr>
            <w:tcW w:type="dxa" w:w="631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string — ID univoco generato all'import</w:t>
            </w:r>
          </w:p>
        </w:tc>
      </w:tr>
      <w:tr>
        <w:tc>
          <w:tcPr>
            <w:tcW w:type="dxa" w:w="270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merchant</w:t>
            </w:r>
          </w:p>
        </w:tc>
        <w:tc>
          <w:tcPr>
            <w:tcW w:type="dxa" w:w="631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string — nome merchant pulito estratto dall'AI</w:t>
            </w:r>
          </w:p>
        </w:tc>
      </w:tr>
      <w:tr>
        <w:tc>
          <w:tcPr>
            <w:tcW w:type="dxa" w:w="270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date</w:t>
            </w:r>
          </w:p>
        </w:tc>
        <w:tc>
          <w:tcPr>
            <w:tcW w:type="dxa" w:w="631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string YYYY-MM-DD — data con anno selezionato dall'utente</w:t>
            </w:r>
          </w:p>
        </w:tc>
      </w:tr>
      <w:tr>
        <w:tc>
          <w:tcPr>
            <w:tcW w:type="dxa" w:w="270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amount</w:t>
            </w:r>
          </w:p>
        </w:tc>
        <w:tc>
          <w:tcPr>
            <w:tcW w:type="dxa" w:w="631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number — importo in euro (positivo)</w:t>
            </w:r>
          </w:p>
        </w:tc>
      </w:tr>
      <w:tr>
        <w:tc>
          <w:tcPr>
            <w:tcW w:type="dxa" w:w="270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status</w:t>
            </w:r>
          </w:p>
        </w:tc>
        <w:tc>
          <w:tcPr>
            <w:tcW w:type="dxa" w:w="631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"unmatched" | "matched" | "pending"</w:t>
            </w:r>
          </w:p>
        </w:tc>
      </w:tr>
      <w:tr>
        <w:tc>
          <w:tcPr>
            <w:tcW w:type="dxa" w:w="270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matchedTxId</w:t>
            </w:r>
          </w:p>
        </w:tc>
        <w:tc>
          <w:tcPr>
            <w:tcW w:type="dxa" w:w="631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string? — txId della transazione bancaria abbinata</w:t>
            </w:r>
          </w:p>
        </w:tc>
      </w:tr>
      <w:tr>
        <w:tc>
          <w:tcPr>
            <w:tcW w:type="dxa" w:w="270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pendingTxId</w:t>
            </w:r>
          </w:p>
        </w:tc>
        <w:tc>
          <w:tcPr>
            <w:tcW w:type="dxa" w:w="631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string? — txId suggerito in attesa conferma</w:t>
            </w:r>
          </w:p>
        </w:tc>
      </w:tr>
      <w:tr>
        <w:tc>
          <w:tcPr>
            <w:tcW w:type="dxa" w:w="270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cat1_suggestion</w:t>
            </w:r>
          </w:p>
        </w:tc>
        <w:tc>
          <w:tcPr>
            <w:tcW w:type="dxa" w:w="631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string — L1 suggerita da AI o storico merchant</w:t>
            </w:r>
          </w:p>
        </w:tc>
      </w:tr>
      <w:tr>
        <w:tc>
          <w:tcPr>
            <w:tcW w:type="dxa" w:w="270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cat2_suggestion</w:t>
            </w:r>
          </w:p>
        </w:tc>
        <w:tc>
          <w:tcPr>
            <w:tcW w:type="dxa" w:w="631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string — L2 suggerita da AI o storico merchant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5.5 AutoAbbina — modal di abbinamento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Mostra tutte le importazioni con status "unmatched"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Per ogni riga: propone cat1/cat2 con priorità — storico merchant → cat1_suggestion → cat della transazione bancaria → ""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L'utente conferma, modifica importo/categoria, o scarta ogni abbinamento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Dopo conferma: la transazione bancaria riceve _paypalOverride: true e merchant: &lt;nome&gt;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Disabbina: il badge "✅ abbinata" è cliccabile — chiede conferma e poi chiama updateTransaction(txId, { _paypalOverride: false, merchant: null }) e resetta l'import a unmatched</w:t>
      </w:r>
    </w:p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5.6 Tabella Transazioni PayPal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Colonne: data, merchant, importo, stato abbinamento, L1, L2, AI descr (troncata con tooltip al hover), azione abbina/disabbina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Righe con _flagged: true ricevono background #fff7ed (arancione chiaro)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Badge "✅ abbinata" cliccabile per disabbinare (con conferma)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Grafico a barre per mese: totale in cima a ogni colonna (LabelList), nessun tooltip o legenda floating</w:t>
      </w:r>
    </w:p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5.7 Reclassifica batch — callPaypalReclassify()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Pulsante "🔄 Aggiorna L1/L2" nella toolbar PayPal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Invia tutte le importazioni non abbinate all'AI in chunk da 40 items per chiamata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L'AI riceve anche lo storico merchant per contestualizzare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Ritorna array {id, cat1, cat2} — aggiorna cat1_suggestion/cat2_suggestion di ogni import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Risultato salvato in appPrefs.paypalImports tramite setAppPref</w:t>
      </w:r>
    </w:p>
    <w:p>
      <w:r>
        <w:br w:type="page"/>
      </w:r>
    </w:p>
    <w:p>
      <w:pPr>
        <w:pStyle w:val="Heading1"/>
        <w:spacing w:after="140" w:before="320"/>
      </w:pPr>
      <w:r>
        <w:rPr>
          <w:rFonts w:ascii="Arial" w:cs="Arial" w:eastAsia="Arial" w:hAnsi="Arial"/>
          <w:b/>
          <w:bCs/>
          <w:color w:val="2C3E50"/>
          <w:sz w:val="28"/>
          <w:szCs w:val="28"/>
        </w:rPr>
        <w:t xml:space="preserve">6. Sezione Transazioni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Componente TransactionsPage.jsx. Tabella infinita (scroll continuo, nessuna paginazione) con tutte le transazioni filtrate. Unico punto di import CSV.</w:t>
      </w:r>
    </w:p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6.1 Schema campi transazione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25"/>
        <w:gridCol w:w="1264"/>
        <w:gridCol w:w="903"/>
        <w:gridCol w:w="903"/>
        <w:gridCol w:w="4332"/>
      </w:tblGrid>
      <w:tr>
        <w:tc>
          <w:tcPr>
            <w:tcW w:type="dxa" w:w="1625"/>
            <w:tcBorders>
              <w:top w:val="single" w:color="2C3E50" w:sz="4"/>
              <w:left w:val="single" w:color="2C3E50" w:sz="4"/>
              <w:bottom w:val="single" w:color="2C3E50" w:sz="4"/>
              <w:right w:val="single" w:color="2C3E50" w:sz="4"/>
            </w:tcBorders>
            <w:shd w:fill="2C3E50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Campo</w:t>
            </w:r>
          </w:p>
        </w:tc>
        <w:tc>
          <w:tcPr>
            <w:tcW w:type="dxa" w:w="1264"/>
            <w:tcBorders>
              <w:top w:val="single" w:color="2C3E50" w:sz="4"/>
              <w:left w:val="single" w:color="2C3E50" w:sz="4"/>
              <w:bottom w:val="single" w:color="2C3E50" w:sz="4"/>
              <w:right w:val="single" w:color="2C3E50" w:sz="4"/>
            </w:tcBorders>
            <w:shd w:fill="2C3E50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903"/>
            <w:tcBorders>
              <w:top w:val="single" w:color="2C3E50" w:sz="4"/>
              <w:left w:val="single" w:color="2C3E50" w:sz="4"/>
              <w:bottom w:val="single" w:color="2C3E50" w:sz="4"/>
              <w:right w:val="single" w:color="2C3E50" w:sz="4"/>
            </w:tcBorders>
            <w:shd w:fill="2C3E50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Default</w:t>
            </w:r>
          </w:p>
        </w:tc>
        <w:tc>
          <w:tcPr>
            <w:tcW w:type="dxa" w:w="903"/>
            <w:tcBorders>
              <w:top w:val="single" w:color="2C3E50" w:sz="4"/>
              <w:left w:val="single" w:color="2C3E50" w:sz="4"/>
              <w:bottom w:val="single" w:color="2C3E50" w:sz="4"/>
              <w:right w:val="single" w:color="2C3E50" w:sz="4"/>
            </w:tcBorders>
            <w:shd w:fill="2C3E50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Editabile</w:t>
            </w:r>
          </w:p>
        </w:tc>
        <w:tc>
          <w:tcPr>
            <w:tcW w:type="dxa" w:w="4332"/>
            <w:tcBorders>
              <w:top w:val="single" w:color="2C3E50" w:sz="4"/>
              <w:left w:val="single" w:color="2C3E50" w:sz="4"/>
              <w:bottom w:val="single" w:color="2C3E50" w:sz="4"/>
              <w:right w:val="single" w:color="2C3E50" w:sz="4"/>
            </w:tcBorders>
            <w:shd w:fill="2C3E50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txId</w:t>
            </w:r>
          </w:p>
        </w:tc>
        <w:tc>
          <w:tcPr>
            <w:tcW w:type="dxa" w:w="126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string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—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No</w:t>
            </w:r>
          </w:p>
        </w:tc>
        <w:tc>
          <w:tcPr>
            <w:tcW w:type="dxa" w:w="433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"26-0001" — anno + progressivo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date</w:t>
            </w:r>
          </w:p>
        </w:tc>
        <w:tc>
          <w:tcPr>
            <w:tcW w:type="dxa" w:w="126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date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Da CSV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No</w:t>
            </w:r>
          </w:p>
        </w:tc>
        <w:tc>
          <w:tcPr>
            <w:tcW w:type="dxa" w:w="433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Data valuta CSV — read-only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competenza</w:t>
            </w:r>
          </w:p>
        </w:tc>
        <w:tc>
          <w:tcPr>
            <w:tcW w:type="dxa" w:w="126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date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= date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Sì</w:t>
            </w:r>
          </w:p>
        </w:tc>
        <w:tc>
          <w:tcPr>
            <w:tcW w:type="dxa" w:w="433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Mese economico — usato da tutti i report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account</w:t>
            </w:r>
          </w:p>
        </w:tc>
        <w:tc>
          <w:tcPr>
            <w:tcW w:type="dxa" w:w="126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string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Da CSV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No</w:t>
            </w:r>
          </w:p>
        </w:tc>
        <w:tc>
          <w:tcPr>
            <w:tcW w:type="dxa" w:w="433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Nome conto/carta sorgente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description</w:t>
            </w:r>
          </w:p>
        </w:tc>
        <w:tc>
          <w:tcPr>
            <w:tcW w:type="dxa" w:w="126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string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Da CSV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No</w:t>
            </w:r>
          </w:p>
        </w:tc>
        <w:tc>
          <w:tcPr>
            <w:tcW w:type="dxa" w:w="433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Causale originale CSV — sempre read-only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descAI</w:t>
            </w:r>
          </w:p>
        </w:tc>
        <w:tc>
          <w:tcPr>
            <w:tcW w:type="dxa" w:w="126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string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Da AI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Sì</w:t>
            </w:r>
          </w:p>
        </w:tc>
        <w:tc>
          <w:tcPr>
            <w:tcW w:type="dxa" w:w="433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Nome friendly — editabile inline con click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amount</w:t>
            </w:r>
          </w:p>
        </w:tc>
        <w:tc>
          <w:tcPr>
            <w:tcW w:type="dxa" w:w="126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number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Da CSV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No</w:t>
            </w:r>
          </w:p>
        </w:tc>
        <w:tc>
          <w:tcPr>
            <w:tcW w:type="dxa" w:w="433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Negativo=spesa, positivo=entrata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type</w:t>
            </w:r>
          </w:p>
        </w:tc>
        <w:tc>
          <w:tcPr>
            <w:tcW w:type="dxa" w:w="126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Income|Expense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Calcolato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No</w:t>
            </w:r>
          </w:p>
        </w:tc>
        <w:tc>
          <w:tcPr>
            <w:tcW w:type="dxa" w:w="433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Derivato dal segno di amount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cat1</w:t>
            </w:r>
          </w:p>
        </w:tc>
        <w:tc>
          <w:tcPr>
            <w:tcW w:type="dxa" w:w="126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string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Da AI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Sì</w:t>
            </w:r>
          </w:p>
        </w:tc>
        <w:tc>
          <w:tcPr>
            <w:tcW w:type="dxa" w:w="433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L1 — usa getMergedCats per la lista completa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cat2</w:t>
            </w:r>
          </w:p>
        </w:tc>
        <w:tc>
          <w:tcPr>
            <w:tcW w:type="dxa" w:w="126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string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Da AI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Sì</w:t>
            </w:r>
          </w:p>
        </w:tc>
        <w:tc>
          <w:tcPr>
            <w:tcW w:type="dxa" w:w="433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L2 (sottocategoria)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merchant</w:t>
            </w:r>
          </w:p>
        </w:tc>
        <w:tc>
          <w:tcPr>
            <w:tcW w:type="dxa" w:w="126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string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Da AI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Sì</w:t>
            </w:r>
          </w:p>
        </w:tc>
        <w:tc>
          <w:tcPr>
            <w:tcW w:type="dxa" w:w="433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Nome merchant pulito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conf</w:t>
            </w:r>
          </w:p>
        </w:tc>
        <w:tc>
          <w:tcPr>
            <w:tcW w:type="dxa" w:w="126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number 0-100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0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No</w:t>
            </w:r>
          </w:p>
        </w:tc>
        <w:tc>
          <w:tcPr>
            <w:tcW w:type="dxa" w:w="433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Confidenza AI sulla categoria assegnata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excluded</w:t>
            </w:r>
          </w:p>
        </w:tc>
        <w:tc>
          <w:tcPr>
            <w:tcW w:type="dxa" w:w="126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boolean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false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Sì</w:t>
            </w:r>
          </w:p>
        </w:tc>
        <w:tc>
          <w:tcPr>
            <w:tcW w:type="dxa" w:w="433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Se true: esclusa da report, KPI e Forecast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excludeReason</w:t>
            </w:r>
          </w:p>
        </w:tc>
        <w:tc>
          <w:tcPr>
            <w:tcW w:type="dxa" w:w="126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string?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null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Sì</w:t>
            </w:r>
          </w:p>
        </w:tc>
        <w:tc>
          <w:tcPr>
            <w:tcW w:type="dxa" w:w="433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Motivo esclusione (es. "addebito carta")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reimbAmount</w:t>
            </w:r>
          </w:p>
        </w:tc>
        <w:tc>
          <w:tcPr>
            <w:tcW w:type="dxa" w:w="126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number?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null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Sì</w:t>
            </w:r>
          </w:p>
        </w:tc>
        <w:tc>
          <w:tcPr>
            <w:tcW w:type="dxa" w:w="433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Importo rimborso ricevuto — costo netto = amount - reimb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reimbFrom</w:t>
            </w:r>
          </w:p>
        </w:tc>
        <w:tc>
          <w:tcPr>
            <w:tcW w:type="dxa" w:w="126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string?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null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Sì</w:t>
            </w:r>
          </w:p>
        </w:tc>
        <w:tc>
          <w:tcPr>
            <w:tcW w:type="dxa" w:w="433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Chi ha rimborsato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mixCats</w:t>
            </w:r>
          </w:p>
        </w:tc>
        <w:tc>
          <w:tcPr>
            <w:tcW w:type="dxa" w:w="126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array?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null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Sì</w:t>
            </w:r>
          </w:p>
        </w:tc>
        <w:tc>
          <w:tcPr>
            <w:tcW w:type="dxa" w:w="433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[{cat1, pct, amt}] — split su più categorie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_flagged</w:t>
            </w:r>
          </w:p>
        </w:tc>
        <w:tc>
          <w:tcPr>
            <w:tcW w:type="dxa" w:w="126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boolean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false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Sì</w:t>
            </w:r>
          </w:p>
        </w:tc>
        <w:tc>
          <w:tcPr>
            <w:tcW w:type="dxa" w:w="433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Flag "da rivedere" — sfondo arancione #fff7ed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_paypalOverride</w:t>
            </w:r>
          </w:p>
        </w:tc>
        <w:tc>
          <w:tcPr>
            <w:tcW w:type="dxa" w:w="126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boolean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false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No</w:t>
            </w:r>
          </w:p>
        </w:tc>
        <w:tc>
          <w:tcPr>
            <w:tcW w:type="dxa" w:w="433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true = abbinata a import PayPal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userEditedDesc</w:t>
            </w:r>
          </w:p>
        </w:tc>
        <w:tc>
          <w:tcPr>
            <w:tcW w:type="dxa" w:w="126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boolean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false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No</w:t>
            </w:r>
          </w:p>
        </w:tc>
        <w:tc>
          <w:tcPr>
            <w:tcW w:type="dxa" w:w="433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true = l'utente ha modificato descAI manualmente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6.2 Flag _flagged — logica unificata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_flagged è l'unico flag "da rivedere" dell'intera app. Sostituisce il precedente _toReview (rimosso). Presente in: TransactionsPage, PaypalPage, SatispayPage, DashboardPage, UscitePage, VeicoliRegistroPage. Le righe con _flagged: true ricevono background #fff7ed. Il filtro rapido "Da rivedere" mostra solo le righe flaggate.</w:t>
      </w:r>
    </w:p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6.3 Description vs descAI — due colonne separate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description: causale raw dal CSV (es. "ESSELUNGA SPA VIMERCATE IT"). Read-only, testo grigio troncato con tooltip al hover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descAI: nome friendly (es. "Spesa Esselunga"). Click sulla cella la rende editabile inline — bordo arancione durante modifica, Enter o blur per salvare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Le regole AI che matchano campo "Descrizione" cercano in (tx.description || tx.descAI || "").toLowerCase() — entrambe le colonne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Apprendimento: quando l'utente modifica descAI, il mapping merchant→descrizione viene salvato in aiNamingRules e applicato alle transazioni future</w:t>
      </w:r>
    </w:p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6.4 Funzionalità UI principali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Filtri rapidi in toolbar: Tutti / Entrate / Spese / Da rivedere (_flagged: true)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Categoria inline: click su cella L1 o L2 apre picker immediato senza modal — usa getMergedCats() per la lista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Selezione multipla: checkbox per riga + select-all. Toolbar contestuale: ⊘ Escludi / 🗑 Elimina / 🧠 Regola AI / ⬆ Importa CSV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Regola AI contestuale: se una transazione è selezionata prima di "Regola AI", il modal pre-compila con merchant + importo + giorno della settimana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Competenza: tutti i grafici e report usano competenza (non date). Editabile inline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Escluse: non appaiono in report/KPI/Forecast. Visibili con toggle "Mostra escluse". Sfondo rosso chiaro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MIX categorie: una transazione può essere suddivisa su più categorie con % o importo fisso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Rimborsi parziali: costo netto = amount - reimbAmount. I grafici usano il netto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Filtro colonna stile Excel (▽ nell’header): disponibile su Data, AI Descrizione, Controparte, Merchant, Città, Carta, Utente, Categoria, Bonifico e (dal 2026-07-12) Importo — click apre un elenco di valori unici con ricerca testuale e checkbox multi-selezione; per Importo permette di trovare una spesa cercando il suo importo esatto (es. “45,00”), valori ordinati numericamente (non alfabeticamente) e confrontati sul valore assoluto formattato come in tabella</w:t>
      </w:r>
    </w:p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6.5 txMatchesRule() — funzione helper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Funzione esportata da TransactionsPage.jsx, usata nel modal "Regola AI" per contare le transazioni che matchano la regola corrente. Per il campo "description" cerca in (tx.description || tx.descAI || "").toLowerCase() — non solo description.</w:t>
      </w:r>
    </w:p>
    <w:p>
      <w:r>
        <w:br w:type="page"/>
      </w:r>
    </w:p>
    <w:p>
      <w:pPr>
        <w:pStyle w:val="Heading1"/>
        <w:spacing w:after="140" w:before="320"/>
      </w:pPr>
      <w:r>
        <w:rPr>
          <w:rFonts w:ascii="Arial" w:cs="Arial" w:eastAsia="Arial" w:hAnsi="Arial"/>
          <w:b/>
          <w:bCs/>
          <w:color w:val="2C3E50"/>
          <w:sz w:val="28"/>
          <w:szCs w:val="28"/>
        </w:rPr>
        <w:t xml:space="preserve">7. Categorie e Regole AI</w:t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7.1 Struttura categorie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Due livelli: L1 (macro-categoria) e L2 (sottocategoria)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Categorie base: definite in src/data/categories.js come CATS{} e CAT_NAMES[]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Categorie custom: aggiungibili dall'utente in Impostazioni → Categorie. Salvate in appPrefs.customCats{}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getMergedCats(customCats)</w:t>
      </w:r>
      <w:r>
        <w:rPr>
          <w:rFonts w:ascii="Arial" w:cs="Arial" w:eastAsia="Arial" w:hAnsi="Arial"/>
          <w:sz w:val="20"/>
          <w:szCs w:val="20"/>
        </w:rPr>
        <w:t xml:space="preserve">: funzione OBBLIGATORIA in tutti i selettori L1/L2 — unisce CATS base con customCats utente. Non usare CATS direttamente.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Struttura customCats: {[L1name]: {emoji: "🍕", color: "#FF6B35", sub: ["L2a","L2b"]}}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Emoji: inseribile tramite picker OS — ⌘+Ctrl+Space su Mac, Win+. su Windows. maxLength=2</w:t>
      </w:r>
    </w:p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7.2 Tipi di regole AI — priorità decrescente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7"/>
        <w:gridCol w:w="6770"/>
      </w:tblGrid>
      <w:tr>
        <w:tc>
          <w:tcPr>
            <w:tcW w:type="dxa" w:w="2257"/>
            <w:tcBorders>
              <w:top w:val="single" w:color="2C3E50" w:sz="4"/>
              <w:left w:val="single" w:color="2C3E50" w:sz="4"/>
              <w:bottom w:val="single" w:color="2C3E50" w:sz="4"/>
              <w:right w:val="single" w:color="2C3E50" w:sz="4"/>
            </w:tcBorders>
            <w:shd w:fill="2C3E50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6770"/>
            <w:tcBorders>
              <w:top w:val="single" w:color="2C3E50" w:sz="4"/>
              <w:left w:val="single" w:color="2C3E50" w:sz="4"/>
              <w:bottom w:val="single" w:color="2C3E50" w:sz="4"/>
              <w:right w:val="single" w:color="2C3E50" w:sz="4"/>
            </w:tcBorders>
            <w:shd w:fill="2C3E50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Descrizione tecnica</w:t>
            </w:r>
          </w:p>
        </w:tc>
      </w:tr>
      <w:tr>
        <w:tc>
          <w:tcPr>
            <w:tcW w:type="dxa" w:w="225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👑 Regola King</w:t>
            </w:r>
          </w:p>
        </w:tc>
        <w:tc>
          <w:tcPr>
            <w:tcW w:type="dxa" w:w="677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Regola multi-condizione con isKing:true. Priorità assoluta — non sovrascrivibile da nessun'altra regola. isKingProtected(description, amount) → ritorna true se la transazione è già coperta da una King rule. Evidenziata con 👑 in tabella.</w:t>
            </w:r>
          </w:p>
        </w:tc>
      </w:tr>
      <w:tr>
        <w:tc>
          <w:tcPr>
            <w:tcW w:type="dxa" w:w="225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Multi-condizione (Firestore)</w:t>
            </w:r>
          </w:p>
        </w:tc>
        <w:tc>
          <w:tcPr>
            <w:tcW w:type="dxa" w:w="677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Regole salvate in ai_rules collection Firestore. Fino a 4 condizioni in AND. Applicate da applySingleRule() e bulkApplyRules() in useStore.js. Priorità alta dopo le King.</w:t>
            </w:r>
          </w:p>
        </w:tc>
      </w:tr>
      <w:tr>
        <w:tc>
          <w:tcPr>
            <w:tcW w:type="dxa" w:w="225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Regole semplici (testo)</w:t>
            </w:r>
          </w:p>
        </w:tc>
        <w:tc>
          <w:tcPr>
            <w:tcW w:type="dxa" w:w="677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Regole testuali in italiano libero salvate in appPrefs.aiNamingRules[]. Applicate da applyAiRules(). Priorità media.</w:t>
            </w:r>
          </w:p>
        </w:tc>
      </w:tr>
      <w:tr>
        <w:tc>
          <w:tcPr>
            <w:tcW w:type="dxa" w:w="225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Regole di sistema</w:t>
            </w:r>
          </w:p>
        </w:tc>
        <w:tc>
          <w:tcPr>
            <w:tcW w:type="dxa" w:w="677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Hardcoded in SYSTEM_RULES array in AiRulesTab.jsx. Sempre attive, non modificabili da UI. Es: amount&gt;0 → cat1="Entrate".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7.3 Regole multi-condizione — struttura dati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7"/>
        <w:gridCol w:w="6499"/>
      </w:tblGrid>
      <w:tr>
        <w:tc>
          <w:tcPr>
            <w:tcW w:type="dxa" w:w="2527"/>
            <w:tcBorders>
              <w:top w:val="single" w:color="2C3E50" w:sz="4"/>
              <w:left w:val="single" w:color="2C3E50" w:sz="4"/>
              <w:bottom w:val="single" w:color="2C3E50" w:sz="4"/>
              <w:right w:val="single" w:color="2C3E50" w:sz="4"/>
            </w:tcBorders>
            <w:shd w:fill="2C3E50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Campo</w:t>
            </w:r>
          </w:p>
        </w:tc>
        <w:tc>
          <w:tcPr>
            <w:tcW w:type="dxa" w:w="6499"/>
            <w:tcBorders>
              <w:top w:val="single" w:color="2C3E50" w:sz="4"/>
              <w:left w:val="single" w:color="2C3E50" w:sz="4"/>
              <w:bottom w:val="single" w:color="2C3E50" w:sz="4"/>
              <w:right w:val="single" w:color="2C3E50" w:sz="4"/>
            </w:tcBorders>
            <w:shd w:fill="2C3E50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Tipo / Descrizione</w:t>
            </w:r>
          </w:p>
        </w:tc>
      </w:tr>
      <w:tr>
        <w:tc>
          <w:tcPr>
            <w:tcW w:type="dxa" w:w="252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id</w:t>
            </w:r>
          </w:p>
        </w:tc>
        <w:tc>
          <w:tcPr>
            <w:tcW w:type="dxa" w:w="649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string — Firestore document ID</w:t>
            </w:r>
          </w:p>
        </w:tc>
      </w:tr>
      <w:tr>
        <w:tc>
          <w:tcPr>
            <w:tcW w:type="dxa" w:w="252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label</w:t>
            </w:r>
          </w:p>
        </w:tc>
        <w:tc>
          <w:tcPr>
            <w:tcW w:type="dxa" w:w="649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string — nome breve della regola</w:t>
            </w:r>
          </w:p>
        </w:tc>
      </w:tr>
      <w:tr>
        <w:tc>
          <w:tcPr>
            <w:tcW w:type="dxa" w:w="252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description</w:t>
            </w:r>
          </w:p>
        </w:tc>
        <w:tc>
          <w:tcPr>
            <w:tcW w:type="dxa" w:w="649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string — descrizione leggibile (max 30 parole)</w:t>
            </w:r>
          </w:p>
        </w:tc>
      </w:tr>
      <w:tr>
        <w:tc>
          <w:tcPr>
            <w:tcW w:type="dxa" w:w="252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conditions</w:t>
            </w:r>
          </w:p>
        </w:tc>
        <w:tc>
          <w:tcPr>
            <w:tcW w:type="dxa" w:w="649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array — fino a 4 oggetti {field, op, value}</w:t>
            </w:r>
          </w:p>
        </w:tc>
      </w:tr>
      <w:tr>
        <w:tc>
          <w:tcPr>
            <w:tcW w:type="dxa" w:w="252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conditions[].field</w:t>
            </w:r>
          </w:p>
        </w:tc>
        <w:tc>
          <w:tcPr>
            <w:tcW w:type="dxa" w:w="649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"description" | "merchant" | "counterpart" | "importo"</w:t>
            </w:r>
          </w:p>
        </w:tc>
      </w:tr>
      <w:tr>
        <w:tc>
          <w:tcPr>
            <w:tcW w:type="dxa" w:w="252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conditions[].op</w:t>
            </w:r>
          </w:p>
        </w:tc>
        <w:tc>
          <w:tcPr>
            <w:tcW w:type="dxa" w:w="649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Testo: "contains","not_contains","starts_with","ends_with","equals" · Numero: "gt","gte","lt","lte","equals"</w:t>
            </w:r>
          </w:p>
        </w:tc>
      </w:tr>
      <w:tr>
        <w:tc>
          <w:tcPr>
            <w:tcW w:type="dxa" w:w="252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conditions[].value</w:t>
            </w:r>
          </w:p>
        </w:tc>
        <w:tc>
          <w:tcPr>
            <w:tcW w:type="dxa" w:w="649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string — valore da confrontare</w:t>
            </w:r>
          </w:p>
        </w:tc>
      </w:tr>
      <w:tr>
        <w:tc>
          <w:tcPr>
            <w:tcW w:type="dxa" w:w="252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action</w:t>
            </w:r>
          </w:p>
        </w:tc>
        <w:tc>
          <w:tcPr>
            <w:tcW w:type="dxa" w:w="649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"categorize" | "exclude"</w:t>
            </w:r>
          </w:p>
        </w:tc>
      </w:tr>
      <w:tr>
        <w:tc>
          <w:tcPr>
            <w:tcW w:type="dxa" w:w="252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cats</w:t>
            </w:r>
          </w:p>
        </w:tc>
        <w:tc>
          <w:tcPr>
            <w:tcW w:type="dxa" w:w="649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array — [{cat1, cat2, pct:100}] · pct per split futuri</w:t>
            </w:r>
          </w:p>
        </w:tc>
      </w:tr>
      <w:tr>
        <w:tc>
          <w:tcPr>
            <w:tcW w:type="dxa" w:w="252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descAI</w:t>
            </w:r>
          </w:p>
        </w:tc>
        <w:tc>
          <w:tcPr>
            <w:tcW w:type="dxa" w:w="649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string? — se impostata, sovrascrive descAI della transazione (salvo userEditedDesc:true)</w:t>
            </w:r>
          </w:p>
        </w:tc>
      </w:tr>
      <w:tr>
        <w:tc>
          <w:tcPr>
            <w:tcW w:type="dxa" w:w="252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enabled</w:t>
            </w:r>
          </w:p>
        </w:tc>
        <w:tc>
          <w:tcPr>
            <w:tcW w:type="dxa" w:w="649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boolean — false = disattivata (non viene applicata)</w:t>
            </w:r>
          </w:p>
        </w:tc>
      </w:tr>
      <w:tr>
        <w:tc>
          <w:tcPr>
            <w:tcW w:type="dxa" w:w="252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isKing</w:t>
            </w:r>
          </w:p>
        </w:tc>
        <w:tc>
          <w:tcPr>
            <w:tcW w:type="dxa" w:w="649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boolean — true = regola King, priorità assoluta</w:t>
            </w:r>
          </w:p>
        </w:tc>
      </w:tr>
      <w:tr>
        <w:tc>
          <w:tcPr>
            <w:tcW w:type="dxa" w:w="252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overlap</w:t>
            </w:r>
          </w:p>
        </w:tc>
        <w:tc>
          <w:tcPr>
            <w:tcW w:type="dxa" w:w="649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string? — nota manuale su sovrapposizione con altre regole</w:t>
            </w:r>
          </w:p>
        </w:tc>
      </w:tr>
      <w:tr>
        <w:tc>
          <w:tcPr>
            <w:tcW w:type="dxa" w:w="252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createdAt</w:t>
            </w:r>
          </w:p>
        </w:tc>
        <w:tc>
          <w:tcPr>
            <w:tcW w:type="dxa" w:w="649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ISO string — data creazione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7.4 Logica matching — applySingleRule()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Funzione in useStore.js. Itera su tutte le transazioni, per ognuna valuta le condizioni in AND:</w:t>
      </w:r>
    </w:p>
    <w:p>
      <w:pPr>
        <w:spacing w:after="60" w:before="6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88"/>
        <w:gridCol w:w="6138"/>
      </w:tblGrid>
      <w:tr>
        <w:tc>
          <w:tcPr>
            <w:tcW w:type="dxa" w:w="2888"/>
            <w:tcBorders>
              <w:top w:val="single" w:color="2C3E50" w:sz="4"/>
              <w:left w:val="single" w:color="2C3E50" w:sz="4"/>
              <w:bottom w:val="single" w:color="2C3E50" w:sz="4"/>
              <w:right w:val="single" w:color="2C3E50" w:sz="4"/>
            </w:tcBorders>
            <w:shd w:fill="2C3E50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Field condition</w:t>
            </w:r>
          </w:p>
        </w:tc>
        <w:tc>
          <w:tcPr>
            <w:tcW w:type="dxa" w:w="6138"/>
            <w:tcBorders>
              <w:top w:val="single" w:color="2C3E50" w:sz="4"/>
              <w:left w:val="single" w:color="2C3E50" w:sz="4"/>
              <w:bottom w:val="single" w:color="2C3E50" w:sz="4"/>
              <w:right w:val="single" w:color="2C3E50" w:sz="4"/>
            </w:tcBorders>
            <w:shd w:fill="2C3E50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Campo tx cercato</w:t>
            </w:r>
          </w:p>
        </w:tc>
      </w:tr>
      <w:tr>
        <w:tc>
          <w:tcPr>
            <w:tcW w:type="dxa" w:w="288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description / anywhere</w:t>
            </w:r>
          </w:p>
        </w:tc>
        <w:tc>
          <w:tcPr>
            <w:tcW w:type="dxa" w:w="613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(tx.description || tx.descAI || "").toLowerCase() — cerca in ENTRAMBI</w:t>
            </w:r>
          </w:p>
        </w:tc>
      </w:tr>
      <w:tr>
        <w:tc>
          <w:tcPr>
            <w:tcW w:type="dxa" w:w="288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merchant</w:t>
            </w:r>
          </w:p>
        </w:tc>
        <w:tc>
          <w:tcPr>
            <w:tcW w:type="dxa" w:w="613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(tx.merchant || "").toLowerCase()</w:t>
            </w:r>
          </w:p>
        </w:tc>
      </w:tr>
      <w:tr>
        <w:tc>
          <w:tcPr>
            <w:tcW w:type="dxa" w:w="288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counterpart</w:t>
            </w:r>
          </w:p>
        </w:tc>
        <w:tc>
          <w:tcPr>
            <w:tcW w:type="dxa" w:w="613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(tx.counterpart || tx.description || "").toLowerCase()</w:t>
            </w:r>
          </w:p>
        </w:tc>
      </w:tr>
      <w:tr>
        <w:tc>
          <w:tcPr>
            <w:tcW w:type="dxa" w:w="288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importo / amount</w:t>
            </w:r>
          </w:p>
        </w:tc>
        <w:tc>
          <w:tcPr>
            <w:tcW w:type="dxa" w:w="613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Math.abs(tx.amount || 0) — confronto numerico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Se matches &amp;&amp; action==="categorize": imposta cat1, cat2, eventualmente descAI (solo se !tx.userEditedDesc)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Se matches &amp;&amp; action==="exclude": imposta excluded=true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Le King rules proteggono le transazioni già classificate: isKingProtected() viene chiamato prima di ogni modifica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Sistema: dopo ogni modifica, se amount&gt;0 e cat1!=="Entrate" → corregge a cat1="Entrate"</w:t>
      </w:r>
    </w:p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7.5 bulkApplyRules() vs applySingleRule()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bulkApplyRules(onProgress): applica TUTTE le regole attive a TUTTE le transazioni in sequenza. Chiamato da "🔄 Riesegui regole su tutto il DB". Riporta progress % tramite callback.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applySingleRule(ruleId, onProgress): applica UNA sola regola a tutte le transazioni. Pulsante ▶ su ogni riga regola. Progress bar dedicata.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Entrambe salvano le patch su Firestore tramite batchSaveDocuments() dopo aver calcolato tutte le modifiche</w:t>
      </w:r>
    </w:p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7.6 Interfaccia regole — AiRulesTab.jsx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ConditionsEditor: max 4 righe con selettori campo / operatore / valore. "+ condizione" per aggiungere.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CatDescEditor: selettori L1/L2 (getMergedCats) + campo descAI opzionale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LiveMatchCount: badge "📊 X transazioni corrispondenti" — si aggiorna in tempo reale mentre si digitano le condizioni. Rosso=0, arancione=&gt;50, blu=normale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Analisi overlap AI (Gemini): identifica regole che matchano le stesse transazioni, evidenzia in arancione, suggerisce consolidamento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Salva: aggiorna Firestore e store Zustand. Annulla: ripristina stato precedente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Toggle attiva/disattiva per ogni regola. Delete con conferma.</w:t>
      </w:r>
    </w:p>
    <w:p>
      <w:r>
        <w:br w:type="page"/>
      </w:r>
    </w:p>
    <w:p>
      <w:pPr>
        <w:pStyle w:val="Heading1"/>
        <w:spacing w:after="140" w:before="320"/>
      </w:pPr>
      <w:r>
        <w:rPr>
          <w:rFonts w:ascii="Arial" w:cs="Arial" w:eastAsia="Arial" w:hAnsi="Arial"/>
          <w:b/>
          <w:bCs/>
          <w:color w:val="2C3E50"/>
          <w:sz w:val="28"/>
          <w:szCs w:val="28"/>
        </w:rPr>
        <w:t xml:space="preserve">8. Sezioni Principali — Comportamento Dettagliato</w:t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Accuracy (ex Dashboard)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8 KPI card: Patrimonio netto, Entrate mensili, Spese mensili, Tasso risparmio, Cash flow, Investimenti YTD, Mutuo residuo, Saldo conti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Grafico patrimonio: line chart con storico mesi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Pie chart spese: toggle L1/L2 — mostra breakdown categorie del periodo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Grafico entrate vs uscite: bar chart mensile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Trend risparmi: area chart con media mobile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Tab "Qualità": % transazioni per stato (categorizzate, non categorizzate, da rivedere). Drill-down per categoria.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Filtro periodo: Mensile / Trimestrale / Semestrale / Annuale</w:t>
      </w:r>
    </w:p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Nanny e Colf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Tabella "Conto Orario Mensile": mese, ore lavorate, tariffa oraria, totale atteso, metodo pagamento, stato riconciliazione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Colonna Riconciliato: ✅ + badge 💵 (contanti) / 🏦 (bonifico) se abbinata — oppure 💡 Auto-collega se trovato match automatico — oppure 🔗 Collega per abbinamento manuale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Modal abbinamento: mostra importo atteso, lista suggerimenti auto (transazioni con importo entro ±5%), campo inserimento manuale txId, selezione metodo Contanti/Conto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Default metodo: determinato da appPrefs.cashCats — se Colf o Nanny sono in cashCats → default = Contanti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Auto-match: cerca prelievi ATM o bonifici con importo entro ±5% e data nello stesso mese</w:t>
      </w:r>
    </w:p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Veicoli — VeicoliRegistroPage.jsx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Lista veicoli con: nome, targa, anno, assicurazione scadenza, revisione scadenza, bollo scadenza — colori semaforo (verde/giallo/rosso) in base ai giorni rimanenti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Tab Spese: tutte le spese per veicolo (carburante, manutenzione, parcheggio, ecc.)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Riconciliazione: Modal "Collega" con badge 💵/🏦, importo parziale editabile, selezione metodo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Importo parziale: se l'importo abbinato è diverso dal totale → marcato "(parziale)"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Bidirezionale: da Veicoli si abbina un prelievo contanti; da Contanti si assegna una spesa veicolo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AllExpensesTable usa getMergedCats() per i selettori cat1/cat2</w:t>
      </w:r>
    </w:p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Satispay — SatispayPage.jsx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N fondi aggiungibili: nome, icona emoji, colore, versamento mensile, data inizio per-fondo (non globale)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Struttura categorie per fondo: coppie L1+L2 ordinate (non stringa unica)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Griglia mesi: righe = categorie (L1+L2), colonne = mesi dal mese di inizio. Colori colonne: blu=passato, verde=corrente, arancione=futuro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Celle editabili inline con click. Riga Totale calcolata automaticamente.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Riga Riconciliazione: ✅ se abbinata, ⚠ se non abbinata con pulsante "Abbina"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Abbinamento: supporta importo parziale e scelta 💵 contanti / 🏦 bonifico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Flag _flagged su righe da rivedere → sfondo arancione</w:t>
      </w:r>
    </w:p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Forecast — ForecastPage.jsx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Selettore orizzonte: 1 Anno (colonne mensili), 3 Anni (trimestrali), 5/10/20 Anni (annuali)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Grafico: patrimonio crescente + mutuo decrescente (raggiunge zero alla scadenza)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Vista 1 Anno: barre colorate — blu = mesi storici con dati reali, arancione = proiezione futura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Tabella P&amp;L righe: Stipendio Marco, Stipendio Sofia, ▸ Totale Entrate, una riga per categoria spesa, ▸ Totale Spese, ◎ Risparmio Lordo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Riga "🏦 Prestiti &amp; Mutuo" (indentata): appare SOLO se appPrefs.loans.length &gt; 0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Se loans.length === 0: "◎ Risparmio Lordo" → direttamente "✓ Risparmio Netto"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Se loans.length &gt; 0: Risparmio Lordo → Prestiti &amp; Mutuo (negativo) → Risparmio Netto</w:t>
      </w:r>
    </w:p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Prestiti &amp; Mutuo — MutuoPage.jsx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Lista prestiti/mutui: nome, tipo (mutuo/prestito/leasing), istituto, importo iniziale, residuo, rata mensile, tasso (fisso/variabile), data inizio, data fine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KPI totali: somma totale debiti, rata mensile aggregata, numero prestiti attivi, % rata su reddito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Barra progresso rimborso per ogni prestito: visuale % pagato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Simulatore rata integrato: inserisci importo + tasso + durata → calcola rata mensile, totale interessi, totale rimborso</w:t>
      </w:r>
    </w:p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Contanti — ContantiPage.jsx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Registra movimenti contanti: prelievi ATM riconosciuti dal CSV + uscite manuali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CASH_CATS: categorie configurate in Impostazioni → Contanti come "abitualmente pagate in contanti"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KPI: totale speso nel periodo, saldo stimato (prelievi - uscite tracciate)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CatPicker usa getMergedCats() per la selezione categoria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Usato come sorgente di abbinamento per Nanny, Colf, Veicoli, Satispay (cerca prelievi ATM per riconciliazione)</w:t>
      </w:r>
    </w:p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Impostazioni — SettingsPage.jsx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5"/>
        <w:gridCol w:w="7221"/>
      </w:tblGrid>
      <w:tr>
        <w:tc>
          <w:tcPr>
            <w:tcW w:type="dxa" w:w="1805"/>
            <w:tcBorders>
              <w:top w:val="single" w:color="2C3E50" w:sz="4"/>
              <w:left w:val="single" w:color="2C3E50" w:sz="4"/>
              <w:bottom w:val="single" w:color="2C3E50" w:sz="4"/>
              <w:right w:val="single" w:color="2C3E50" w:sz="4"/>
            </w:tcBorders>
            <w:shd w:fill="2C3E50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Tab</w:t>
            </w:r>
          </w:p>
        </w:tc>
        <w:tc>
          <w:tcPr>
            <w:tcW w:type="dxa" w:w="7221"/>
            <w:tcBorders>
              <w:top w:val="single" w:color="2C3E50" w:sz="4"/>
              <w:left w:val="single" w:color="2C3E50" w:sz="4"/>
              <w:bottom w:val="single" w:color="2C3E50" w:sz="4"/>
              <w:right w:val="single" w:color="2C3E50" w:sz="4"/>
            </w:tcBorders>
            <w:shd w:fill="2C3E50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Funzionalità</w:t>
            </w:r>
          </w:p>
        </w:tc>
      </w:tr>
      <w:tr>
        <w:tc>
          <w:tcPr>
            <w:tcW w:type="dxa" w:w="180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Profilo</w:t>
            </w:r>
          </w:p>
        </w:tc>
        <w:tc>
          <w:tcPr>
            <w:tcW w:type="dxa" w:w="722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Nome, email, città/provincia di residenza (usata per riconoscimento vacanze/weekend AI)</w:t>
            </w:r>
          </w:p>
        </w:tc>
      </w:tr>
      <w:tr>
        <w:tc>
          <w:tcPr>
            <w:tcW w:type="dxa" w:w="180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Categorie</w:t>
            </w:r>
          </w:p>
        </w:tc>
        <w:tc>
          <w:tcPr>
            <w:tcW w:type="dxa" w:w="722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Lista L1+L2 custom: aggiunta con emoji (picker OS), nome, colore. Ordine drag&amp;drop. Eliminazione con merge verso altra categoria.</w:t>
            </w:r>
          </w:p>
        </w:tc>
      </w:tr>
      <w:tr>
        <w:tc>
          <w:tcPr>
            <w:tcW w:type="dxa" w:w="180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Regole AI</w:t>
            </w:r>
          </w:p>
        </w:tc>
        <w:tc>
          <w:tcPr>
            <w:tcW w:type="dxa" w:w="722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Lista completa regole multi-condizione + semplici. Include AiRulesTab.jsx con tutte le funzioni (aggiungi, modifica, King, overlap AI, bulk apply)</w:t>
            </w:r>
          </w:p>
        </w:tc>
      </w:tr>
      <w:tr>
        <w:tc>
          <w:tcPr>
            <w:tcW w:type="dxa" w:w="180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Contanti (CASH_CATS)</w:t>
            </w:r>
          </w:p>
        </w:tc>
        <w:tc>
          <w:tcPr>
            <w:tcW w:type="dxa" w:w="722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Categorie pagate abitualmente in contanti. Default: Colf, Nanny. Usate come default metodo nei modal riconciliazione. Modalità default: Contanti / Conto / Entrambi.</w:t>
            </w:r>
          </w:p>
        </w:tc>
      </w:tr>
      <w:tr>
        <w:tc>
          <w:tcPr>
            <w:tcW w:type="dxa" w:w="180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Notifiche</w:t>
            </w:r>
          </w:p>
        </w:tc>
        <w:tc>
          <w:tcPr>
            <w:tcW w:type="dxa" w:w="722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Configurazione preavvisi scadenze: N giorni prima, canale (push/email)</w:t>
            </w:r>
          </w:p>
        </w:tc>
      </w:tr>
    </w:tbl>
    <w:p>
      <w:r>
        <w:br w:type="page"/>
      </w:r>
    </w:p>
    <w:p>
      <w:pPr>
        <w:pStyle w:val="Heading1"/>
        <w:spacing w:after="140" w:before="320"/>
      </w:pPr>
      <w:r>
        <w:rPr>
          <w:rFonts w:ascii="Arial" w:cs="Arial" w:eastAsia="Arial" w:hAnsi="Arial"/>
          <w:b/>
          <w:bCs/>
          <w:color w:val="2C3E50"/>
          <w:sz w:val="28"/>
          <w:szCs w:val="28"/>
        </w:rPr>
        <w:t xml:space="preserve">9. Logiche Trasversali</w:t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9.1 Riconciliazione — pattern comune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Nanny, Colf, Veicoli e Satispay usano tutti la stessa logica di abbinamento transazione bancaria → spesa registrata: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Supporta sia contanti (prelievo ATM identificato nel CSV) che conto corrente (bonifico)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Importo parziale: l'importo abbinato può essere inferiore al totale — viene marcato "(parziale)"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Default metodo: determinato da CASH_CATS in appPrefs. Se la categoria è in CASH_CATS → default=Contanti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Auto-match: cerca transazioni con importo entro ±5% e data compatibile con il mese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Badge visivo: 💵 = contanti, 🏦 = bonifico bancario</w:t>
      </w:r>
    </w:p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9.2 Competenza vs Data Valuta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Tutti i grafici, KPI, Forecast e Satispay usano il campo competenza (mese di competenza economica), non la data valuta del CSV. La competenza è editabile inline nella tabella Transazioni. Default = data valuta. Questo permette di spostare una spesa di fine mese al mese corretto (es. bolletta di dicembre addebitata a gennaio). Anche le tabelle di WeekendVacanzeV2Page (“📆 Spese fuori periodo” e “🚩 Spese non allocate”) usano la competenza — non la data valuta/contabile — per stabilire se una spesa cade dentro o fuori un periodo vacanza; è editabile anche lì (colonna Competenza).</w:t>
      </w:r>
    </w:p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9.3 Vacanze e Weekend — riconoscimento AI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Richiede: provincia di residenza in Impostazioni → Profilo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Vacanza = 3+ giorni consecutivi con transazioni in luoghi fuori dalla provincia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Weekend = 2-3 giorni consecutivi fuori dalla provincia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L'AI propone il riconoscimento → l'utente può accettare, modificare nome/tipo/date, o ignorare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Aggiungibili manualmente con tipo: Mare / Montagna / City Break / Weekend / Internazionale / Altro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Per ogni viaggio: costo manuale (benzina, vitto, alloggio, altro) e/o costo AI dalle transazioni. Toggle "usa manuale / usa AI" per reportistica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Overlay “📆 Spese fuori periodo” / “🚩 Spese non allocate” (WeekendVacanzeV2Page): entrambe le tabelle mostrano ora anche la colonna “Competenza” (editabile) accanto a Data cont./Data valuta; il confronto con i periodi vacanza usa sempre competenza → data (mai la sola data valuta/contabile). In “📆 Spese fuori periodo”, assegnare la spesa a una vacanza esistente (select “Assegna a…”) ora sposta la competenza della spesa al primo giorno di quel periodo, invece di estendere le date della vacanza per coprirla (comportamento precedente)</w:t>
      </w:r>
    </w:p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9.4 Apprendimento descAI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Quando l'utente modifica una descAI, il sistema imposta userEditedDesc: true sulla transazione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Salva il mapping {merchant → descAI} in appPrefs.aiNamingRules[]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Le transazioni future con lo stesso merchant ricevono automaticamente quella descrizione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applyLearnedDescriptions() viene chiamata a ogni import CSV per applicare i mapping salvati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Le regole AI non sovrascrivono descAI se userEditedDesc: true</w:t>
      </w:r>
    </w:p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9.5 getMergedCats() — obbligatoria ovunque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Funzione in src/data/categories.js che unisce CATS base con appPrefs.customCats dell'utente. Deve essere usata in TUTTI i selettori L1/L2 dell'app, senza eccezioni. File che la usano: UscitePage, VeicoliRegistroPage, SettingsPage, AiRulesTab, CalendarioPage, ContantiPage, MappaSpesePage, TransactionsPage, MobileContanti, AnalyticsPage.</w:t>
      </w:r>
    </w:p>
    <w:p>
      <w:r>
        <w:br w:type="page"/>
      </w:r>
    </w:p>
    <w:p>
      <w:pPr>
        <w:pStyle w:val="Heading1"/>
        <w:spacing w:after="140" w:before="320"/>
      </w:pPr>
      <w:r>
        <w:rPr>
          <w:rFonts w:ascii="Arial" w:cs="Arial" w:eastAsia="Arial" w:hAnsi="Arial"/>
          <w:b/>
          <w:bCs/>
          <w:color w:val="2C3E50"/>
          <w:sz w:val="28"/>
          <w:szCs w:val="28"/>
        </w:rPr>
        <w:t xml:space="preserve">10. Modalità Mobile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Drawer laterale hamburger (280px) con overlay backdrop blur. Tutte le sezioni hanno vista mobile nativa. Nessuna sezione rimanda al desktop. Condividono gli stessi dati Firestore.</w:t>
      </w:r>
    </w:p>
    <w:p>
      <w:pPr>
        <w:spacing w:after="60" w:before="6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7"/>
        <w:gridCol w:w="6499"/>
      </w:tblGrid>
      <w:tr>
        <w:tc>
          <w:tcPr>
            <w:tcW w:type="dxa" w:w="2527"/>
            <w:tcBorders>
              <w:top w:val="single" w:color="2C3E50" w:sz="4"/>
              <w:left w:val="single" w:color="2C3E50" w:sz="4"/>
              <w:bottom w:val="single" w:color="2C3E50" w:sz="4"/>
              <w:right w:val="single" w:color="2C3E50" w:sz="4"/>
            </w:tcBorders>
            <w:shd w:fill="2C3E50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Sezione</w:t>
            </w:r>
          </w:p>
        </w:tc>
        <w:tc>
          <w:tcPr>
            <w:tcW w:type="dxa" w:w="6499"/>
            <w:tcBorders>
              <w:top w:val="single" w:color="2C3E50" w:sz="4"/>
              <w:left w:val="single" w:color="2C3E50" w:sz="4"/>
              <w:bottom w:val="single" w:color="2C3E50" w:sz="4"/>
              <w:right w:val="single" w:color="2C3E50" w:sz="4"/>
            </w:tcBorders>
            <w:shd w:fill="2C3E50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Vista Mobile — dettaglio</w:t>
            </w:r>
          </w:p>
        </w:tc>
      </w:tr>
      <w:tr>
        <w:tc>
          <w:tcPr>
            <w:tcW w:type="dxa" w:w="252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Accuracy</w:t>
            </w:r>
          </w:p>
        </w:tc>
        <w:tc>
          <w:tcPr>
            <w:tcW w:type="dxa" w:w="649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4 KPI card principali + grafici essenziali condensati</w:t>
            </w:r>
          </w:p>
        </w:tc>
      </w:tr>
      <w:tr>
        <w:tc>
          <w:tcPr>
            <w:tcW w:type="dxa" w:w="252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Transazioni</w:t>
            </w:r>
          </w:p>
        </w:tc>
        <w:tc>
          <w:tcPr>
            <w:tcW w:type="dxa" w:w="649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Lista verticale con filtri rapidi (Tutti/Entrate/Spese/Da rivedere). Swipe azioni.</w:t>
            </w:r>
          </w:p>
        </w:tc>
      </w:tr>
      <w:tr>
        <w:tc>
          <w:tcPr>
            <w:tcW w:type="dxa" w:w="252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PayPal</w:t>
            </w:r>
          </w:p>
        </w:tc>
        <w:tc>
          <w:tcPr>
            <w:tcW w:type="dxa" w:w="649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Lista import con stato abbinamento + pulsante abbina rapido</w:t>
            </w:r>
          </w:p>
        </w:tc>
      </w:tr>
      <w:tr>
        <w:tc>
          <w:tcPr>
            <w:tcW w:type="dxa" w:w="252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Patrimonio</w:t>
            </w:r>
          </w:p>
        </w:tc>
        <w:tc>
          <w:tcPr>
            <w:tcW w:type="dxa" w:w="649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KPI netto + lista beni reali con G/P (guadagno/perdita)</w:t>
            </w:r>
          </w:p>
        </w:tc>
      </w:tr>
      <w:tr>
        <w:tc>
          <w:tcPr>
            <w:tcW w:type="dxa" w:w="252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Investimenti</w:t>
            </w:r>
          </w:p>
        </w:tc>
        <w:tc>
          <w:tcPr>
            <w:tcW w:type="dxa" w:w="649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KPI valore totale / G&amp;P + lista posizioni per portafoglio</w:t>
            </w:r>
          </w:p>
        </w:tc>
      </w:tr>
      <w:tr>
        <w:tc>
          <w:tcPr>
            <w:tcW w:type="dxa" w:w="252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Spese</w:t>
            </w:r>
          </w:p>
        </w:tc>
        <w:tc>
          <w:tcPr>
            <w:tcW w:type="dxa" w:w="649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Barre orizzontali per categoria con % relativa sul totale</w:t>
            </w:r>
          </w:p>
        </w:tc>
      </w:tr>
      <w:tr>
        <w:tc>
          <w:tcPr>
            <w:tcW w:type="dxa" w:w="252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Stipendi</w:t>
            </w:r>
          </w:p>
        </w:tc>
        <w:tc>
          <w:tcPr>
            <w:tcW w:type="dxa" w:w="649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4 KPI: stipendio Marco, Sofia, totale annuo, bonus YTD</w:t>
            </w:r>
          </w:p>
        </w:tc>
      </w:tr>
      <w:tr>
        <w:tc>
          <w:tcPr>
            <w:tcW w:type="dxa" w:w="252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Nanny / Colf</w:t>
            </w:r>
          </w:p>
        </w:tc>
        <w:tc>
          <w:tcPr>
            <w:tcW w:type="dxa" w:w="649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4 KPI principali + tabella storico mensile semplificata</w:t>
            </w:r>
          </w:p>
        </w:tc>
      </w:tr>
      <w:tr>
        <w:tc>
          <w:tcPr>
            <w:tcW w:type="dxa" w:w="252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Veicoli</w:t>
            </w:r>
          </w:p>
        </w:tc>
        <w:tc>
          <w:tcPr>
            <w:tcW w:type="dxa" w:w="649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Lista veicoli con scadenze colorate (semaforo giorni rimanenti)</w:t>
            </w:r>
          </w:p>
        </w:tc>
      </w:tr>
      <w:tr>
        <w:tc>
          <w:tcPr>
            <w:tcW w:type="dxa" w:w="252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Vacanze</w:t>
            </w:r>
          </w:p>
        </w:tc>
        <w:tc>
          <w:tcPr>
            <w:tcW w:type="dxa" w:w="649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Lista viaggi con costo totale e tipo icona</w:t>
            </w:r>
          </w:p>
        </w:tc>
      </w:tr>
      <w:tr>
        <w:tc>
          <w:tcPr>
            <w:tcW w:type="dxa" w:w="252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Satispay</w:t>
            </w:r>
          </w:p>
        </w:tc>
        <w:tc>
          <w:tcPr>
            <w:tcW w:type="dxa" w:w="649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Lista fondi con totale accantonato e ultimo versamento</w:t>
            </w:r>
          </w:p>
        </w:tc>
      </w:tr>
      <w:tr>
        <w:tc>
          <w:tcPr>
            <w:tcW w:type="dxa" w:w="252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Cecilia</w:t>
            </w:r>
          </w:p>
        </w:tc>
        <w:tc>
          <w:tcPr>
            <w:tcW w:type="dxa" w:w="649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KPI fondo + portafoglio + buoni postali</w:t>
            </w:r>
          </w:p>
        </w:tc>
      </w:tr>
      <w:tr>
        <w:tc>
          <w:tcPr>
            <w:tcW w:type="dxa" w:w="252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Scadenze</w:t>
            </w:r>
          </w:p>
        </w:tc>
        <w:tc>
          <w:tcPr>
            <w:tcW w:type="dxa" w:w="649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Lista con semaforo: verde &gt;30gg, giallo 7-30gg, rosso &lt;7gg</w:t>
            </w:r>
          </w:p>
        </w:tc>
      </w:tr>
      <w:tr>
        <w:tc>
          <w:tcPr>
            <w:tcW w:type="dxa" w:w="252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Prestiti &amp; Mutuo</w:t>
            </w:r>
          </w:p>
        </w:tc>
        <w:tc>
          <w:tcPr>
            <w:tcW w:type="dxa" w:w="649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Dettaglio ogni prestito con barra progresso rimborso</w:t>
            </w:r>
          </w:p>
        </w:tc>
      </w:tr>
      <w:tr>
        <w:tc>
          <w:tcPr>
            <w:tcW w:type="dxa" w:w="252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Forecast</w:t>
            </w:r>
          </w:p>
        </w:tc>
        <w:tc>
          <w:tcPr>
            <w:tcW w:type="dxa" w:w="649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KPI 5 anni condensati — link a desktop per vista completa</w:t>
            </w:r>
          </w:p>
        </w:tc>
      </w:tr>
      <w:tr>
        <w:tc>
          <w:tcPr>
            <w:tcW w:type="dxa" w:w="252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Contanti</w:t>
            </w:r>
          </w:p>
        </w:tc>
        <w:tc>
          <w:tcPr>
            <w:tcW w:type="dxa" w:w="649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KPI totale speso nel periodo + lista movimenti</w:t>
            </w:r>
          </w:p>
        </w:tc>
      </w:tr>
      <w:tr>
        <w:tc>
          <w:tcPr>
            <w:tcW w:type="dxa" w:w="252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Energy</w:t>
            </w:r>
          </w:p>
        </w:tc>
        <w:tc>
          <w:tcPr>
            <w:tcW w:type="dxa" w:w="649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KPI YTD + lista utenze + ultime bollette</w:t>
            </w:r>
          </w:p>
        </w:tc>
      </w:tr>
      <w:tr>
        <w:tc>
          <w:tcPr>
            <w:tcW w:type="dxa" w:w="252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Altre Entrate</w:t>
            </w:r>
          </w:p>
        </w:tc>
        <w:tc>
          <w:tcPr>
            <w:tcW w:type="dxa" w:w="649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KPI rimborsi/prestiti + lista entrate extra</w:t>
            </w:r>
          </w:p>
        </w:tc>
      </w:tr>
      <w:tr>
        <w:tc>
          <w:tcPr>
            <w:tcW w:type="dxa" w:w="252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Calendario</w:t>
            </w:r>
          </w:p>
        </w:tc>
        <w:tc>
          <w:tcPr>
            <w:tcW w:type="dxa" w:w="649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Vista mese con dot per giorno con transazioni — tap per dettaglio</w:t>
            </w:r>
          </w:p>
        </w:tc>
      </w:tr>
      <w:tr>
        <w:tc>
          <w:tcPr>
            <w:tcW w:type="dxa" w:w="252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Mappa Spese</w:t>
            </w:r>
          </w:p>
        </w:tc>
        <w:tc>
          <w:tcPr>
            <w:tcW w:type="dxa" w:w="649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Mappa semplificata con cluster geografici</w:t>
            </w:r>
          </w:p>
        </w:tc>
      </w:tr>
      <w:tr>
        <w:tc>
          <w:tcPr>
            <w:tcW w:type="dxa" w:w="252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Bloc Notes</w:t>
            </w:r>
          </w:p>
        </w:tc>
        <w:tc>
          <w:tcPr>
            <w:tcW w:type="dxa" w:w="649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Editor note compatto per mobile</w:t>
            </w:r>
          </w:p>
        </w:tc>
      </w:tr>
      <w:tr>
        <w:tc>
          <w:tcPr>
            <w:tcW w:type="dxa" w:w="252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Impostazioni</w:t>
            </w:r>
          </w:p>
        </w:tc>
        <w:tc>
          <w:tcPr>
            <w:tcW w:type="dxa" w:w="649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Lista tab navigabili: Profilo, Categorie, Regole, Contanti, Notifiche</w:t>
            </w:r>
          </w:p>
        </w:tc>
      </w:tr>
    </w:tbl>
    <w:p>
      <w:r>
        <w:br w:type="page"/>
      </w:r>
    </w:p>
    <w:p>
      <w:pPr>
        <w:pStyle w:val="Heading1"/>
        <w:spacing w:after="140" w:before="320"/>
      </w:pPr>
      <w:r>
        <w:rPr>
          <w:rFonts w:ascii="Arial" w:cs="Arial" w:eastAsia="Arial" w:hAnsi="Arial"/>
          <w:b/>
          <w:bCs/>
          <w:color w:val="2C3E50"/>
          <w:sz w:val="28"/>
          <w:szCs w:val="28"/>
        </w:rPr>
        <w:t xml:space="preserve">11. Stack Tecnico e Ambiente di Sviluppo</w:t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11.1 Frontend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59"/>
        <w:gridCol w:w="5867"/>
      </w:tblGrid>
      <w:tr>
        <w:tc>
          <w:tcPr>
            <w:tcW w:type="dxa" w:w="3159"/>
            <w:tcBorders>
              <w:top w:val="single" w:color="2C3E50" w:sz="4"/>
              <w:left w:val="single" w:color="2C3E50" w:sz="4"/>
              <w:bottom w:val="single" w:color="2C3E50" w:sz="4"/>
              <w:right w:val="single" w:color="2C3E50" w:sz="4"/>
            </w:tcBorders>
            <w:shd w:fill="2C3E50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Libreria/Tool</w:t>
            </w:r>
          </w:p>
        </w:tc>
        <w:tc>
          <w:tcPr>
            <w:tcW w:type="dxa" w:w="5867"/>
            <w:tcBorders>
              <w:top w:val="single" w:color="2C3E50" w:sz="4"/>
              <w:left w:val="single" w:color="2C3E50" w:sz="4"/>
              <w:bottom w:val="single" w:color="2C3E50" w:sz="4"/>
              <w:right w:val="single" w:color="2C3E50" w:sz="4"/>
            </w:tcBorders>
            <w:shd w:fill="2C3E50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Versione / Note</w:t>
            </w:r>
          </w:p>
        </w:tc>
      </w:tr>
      <w:tr>
        <w:tc>
          <w:tcPr>
            <w:tcW w:type="dxa" w:w="315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React</w:t>
            </w:r>
          </w:p>
        </w:tc>
        <w:tc>
          <w:tcPr>
            <w:tcW w:type="dxa" w:w="586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18 — hooks, context, lazy loading</w:t>
            </w:r>
          </w:p>
        </w:tc>
      </w:tr>
      <w:tr>
        <w:tc>
          <w:tcPr>
            <w:tcW w:type="dxa" w:w="315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Vite</w:t>
            </w:r>
          </w:p>
        </w:tc>
        <w:tc>
          <w:tcPr>
            <w:tcW w:type="dxa" w:w="586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Bundler e dev server — non Next.js, non CRA</w:t>
            </w:r>
          </w:p>
        </w:tc>
      </w:tr>
      <w:tr>
        <w:tc>
          <w:tcPr>
            <w:tcW w:type="dxa" w:w="315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Zustand</w:t>
            </w:r>
          </w:p>
        </w:tc>
        <w:tc>
          <w:tcPr>
            <w:tcW w:type="dxa" w:w="586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Store globale unico (useStore.js) con persist parziale</w:t>
            </w:r>
          </w:p>
        </w:tc>
      </w:tr>
      <w:tr>
        <w:tc>
          <w:tcPr>
            <w:tcW w:type="dxa" w:w="315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Recharts</w:t>
            </w:r>
          </w:p>
        </w:tc>
        <w:tc>
          <w:tcPr>
            <w:tcW w:type="dxa" w:w="586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Grafici: BarChart, LineChart, PieChart, AreaChart, ComposedChart</w:t>
            </w:r>
          </w:p>
        </w:tc>
      </w:tr>
      <w:tr>
        <w:tc>
          <w:tcPr>
            <w:tcW w:type="dxa" w:w="315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Firebase SDK</w:t>
            </w:r>
          </w:p>
        </w:tc>
        <w:tc>
          <w:tcPr>
            <w:tcW w:type="dxa" w:w="586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v9+ modular — Auth (getAuth, signInWithPopup) + Firestore (getDocs, setDoc, writeBatch)</w:t>
            </w:r>
          </w:p>
        </w:tc>
      </w:tr>
      <w:tr>
        <w:tc>
          <w:tcPr>
            <w:tcW w:type="dxa" w:w="315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React Router</w:t>
            </w:r>
          </w:p>
        </w:tc>
        <w:tc>
          <w:tcPr>
            <w:tcW w:type="dxa" w:w="586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Navigazione SPA con route per ogni sezione</w:t>
            </w:r>
          </w:p>
        </w:tc>
      </w:tr>
      <w:tr>
        <w:tc>
          <w:tcPr>
            <w:tcW w:type="dxa" w:w="315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CSS Variables</w:t>
            </w:r>
          </w:p>
        </w:tc>
        <w:tc>
          <w:tcPr>
            <w:tcW w:type="dxa" w:w="586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Tema light/dark tramite variabili CSS (--accent, --surface, --text, ecc.)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11.2 AI e servizi esterni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59"/>
        <w:gridCol w:w="5867"/>
      </w:tblGrid>
      <w:tr>
        <w:tc>
          <w:tcPr>
            <w:tcW w:type="dxa" w:w="3159"/>
            <w:tcBorders>
              <w:top w:val="single" w:color="2C3E50" w:sz="4"/>
              <w:left w:val="single" w:color="2C3E50" w:sz="4"/>
              <w:bottom w:val="single" w:color="2C3E50" w:sz="4"/>
              <w:right w:val="single" w:color="2C3E50" w:sz="4"/>
            </w:tcBorders>
            <w:shd w:fill="2C3E50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Servizio</w:t>
            </w:r>
          </w:p>
        </w:tc>
        <w:tc>
          <w:tcPr>
            <w:tcW w:type="dxa" w:w="5867"/>
            <w:tcBorders>
              <w:top w:val="single" w:color="2C3E50" w:sz="4"/>
              <w:left w:val="single" w:color="2C3E50" w:sz="4"/>
              <w:bottom w:val="single" w:color="2C3E50" w:sz="4"/>
              <w:right w:val="single" w:color="2C3E50" w:sz="4"/>
            </w:tcBorders>
            <w:shd w:fill="2C3E50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Utilizzo</w:t>
            </w:r>
          </w:p>
        </w:tc>
      </w:tr>
      <w:tr>
        <w:tc>
          <w:tcPr>
            <w:tcW w:type="dxa" w:w="315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GPT-4o Vision (OpenAI)</w:t>
            </w:r>
          </w:p>
        </w:tc>
        <w:tc>
          <w:tcPr>
            <w:tcW w:type="dxa" w:w="586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callPaypalVision() — estrazione transazioni da screenshot PayPal</w:t>
            </w:r>
          </w:p>
        </w:tc>
      </w:tr>
      <w:tr>
        <w:tc>
          <w:tcPr>
            <w:tcW w:type="dxa" w:w="315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GPT-4o-mini (OpenAI)</w:t>
            </w:r>
          </w:p>
        </w:tc>
        <w:tc>
          <w:tcPr>
            <w:tcW w:type="dxa" w:w="586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callPaypalText() — estrazione da PDF PayPal. callPaypalReclassify() — reclassifica batch L1/L2</w:t>
            </w:r>
          </w:p>
        </w:tc>
      </w:tr>
      <w:tr>
        <w:tc>
          <w:tcPr>
            <w:tcW w:type="dxa" w:w="315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Gemini (Google)</w:t>
            </w:r>
          </w:p>
        </w:tc>
        <w:tc>
          <w:tcPr>
            <w:tcW w:type="dxa" w:w="586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Opzionale — analisi overlap regole, generazione regole di sistema. Solo in sviluppo via proxy localhost:3001</w:t>
            </w:r>
          </w:p>
        </w:tc>
      </w:tr>
      <w:tr>
        <w:tc>
          <w:tcPr>
            <w:tcW w:type="dxa" w:w="315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Yahoo Finance / Finnhub</w:t>
            </w:r>
          </w:p>
        </w:tc>
        <w:tc>
          <w:tcPr>
            <w:tcW w:type="dxa" w:w="586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Prezzi live investimenti — polling ogni 60s sulla pagina Investimenti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11.3 Variabili d'ambiente (.env)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10"/>
        <w:gridCol w:w="5416"/>
      </w:tblGrid>
      <w:tr>
        <w:tc>
          <w:tcPr>
            <w:tcW w:type="dxa" w:w="3610"/>
            <w:tcBorders>
              <w:top w:val="single" w:color="2C3E50" w:sz="4"/>
              <w:left w:val="single" w:color="2C3E50" w:sz="4"/>
              <w:bottom w:val="single" w:color="2C3E50" w:sz="4"/>
              <w:right w:val="single" w:color="2C3E50" w:sz="4"/>
            </w:tcBorders>
            <w:shd w:fill="2C3E50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Variabile</w:t>
            </w:r>
          </w:p>
        </w:tc>
        <w:tc>
          <w:tcPr>
            <w:tcW w:type="dxa" w:w="5416"/>
            <w:tcBorders>
              <w:top w:val="single" w:color="2C3E50" w:sz="4"/>
              <w:left w:val="single" w:color="2C3E50" w:sz="4"/>
              <w:bottom w:val="single" w:color="2C3E50" w:sz="4"/>
              <w:right w:val="single" w:color="2C3E50" w:sz="4"/>
            </w:tcBorders>
            <w:shd w:fill="2C3E50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Contenuto</w:t>
            </w:r>
          </w:p>
        </w:tc>
      </w:tr>
      <w:tr>
        <w:tc>
          <w:tcPr>
            <w:tcW w:type="dxa" w:w="361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VITE_FIREBASE_API_KEY</w:t>
            </w:r>
          </w:p>
        </w:tc>
        <w:tc>
          <w:tcPr>
            <w:tcW w:type="dxa" w:w="541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Chiave API Firebase</w:t>
            </w:r>
          </w:p>
        </w:tc>
      </w:tr>
      <w:tr>
        <w:tc>
          <w:tcPr>
            <w:tcW w:type="dxa" w:w="361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VITE_FIREBASE_AUTH_DOMAIN</w:t>
            </w:r>
          </w:p>
        </w:tc>
        <w:tc>
          <w:tcPr>
            <w:tcW w:type="dxa" w:w="541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Dominio Auth Firebase</w:t>
            </w:r>
          </w:p>
        </w:tc>
      </w:tr>
      <w:tr>
        <w:tc>
          <w:tcPr>
            <w:tcW w:type="dxa" w:w="361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VITE_FIREBASE_PROJECT_ID</w:t>
            </w:r>
          </w:p>
        </w:tc>
        <w:tc>
          <w:tcPr>
            <w:tcW w:type="dxa" w:w="541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Project ID Firestore</w:t>
            </w:r>
          </w:p>
        </w:tc>
      </w:tr>
      <w:tr>
        <w:tc>
          <w:tcPr>
            <w:tcW w:type="dxa" w:w="361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VITE_FIREBASE_STORAGE_BUCKET</w:t>
            </w:r>
          </w:p>
        </w:tc>
        <w:tc>
          <w:tcPr>
            <w:tcW w:type="dxa" w:w="541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Bucket Storage Firebase</w:t>
            </w:r>
          </w:p>
        </w:tc>
      </w:tr>
      <w:tr>
        <w:tc>
          <w:tcPr>
            <w:tcW w:type="dxa" w:w="361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VITE_FIREBASE_MESSAGING_SENDER_ID</w:t>
            </w:r>
          </w:p>
        </w:tc>
        <w:tc>
          <w:tcPr>
            <w:tcW w:type="dxa" w:w="541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Sender ID Firebase</w:t>
            </w:r>
          </w:p>
        </w:tc>
      </w:tr>
      <w:tr>
        <w:tc>
          <w:tcPr>
            <w:tcW w:type="dxa" w:w="361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VITE_FIREBASE_APP_ID</w:t>
            </w:r>
          </w:p>
        </w:tc>
        <w:tc>
          <w:tcPr>
            <w:tcW w:type="dxa" w:w="541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App ID Firebase</w:t>
            </w:r>
          </w:p>
        </w:tc>
      </w:tr>
      <w:tr>
        <w:tc>
          <w:tcPr>
            <w:tcW w:type="dxa" w:w="361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VITE_OPENAI_KEY</w:t>
            </w:r>
          </w:p>
        </w:tc>
        <w:tc>
          <w:tcPr>
            <w:tcW w:type="dxa" w:w="541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Chiave API OpenAI (PayPal Vision + Text)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11.4 Deploy e CI/CD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Piattaforma: Vercel — deploy automatico a ogni push su branch main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URL produzione: family-money-one.vercel.app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Repository: github.com/francesbini-lgtm/family-money — branch main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Build command: vite build · Output dir: dist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Le variabili d'ambiente sono configurate nel dashboard Vercel (non nel .env di repo)</w:t>
      </w:r>
    </w:p>
    <w:p>
      <w:r>
        <w:br w:type="page"/>
      </w:r>
    </w:p>
    <w:p>
      <w:pPr>
        <w:pStyle w:val="Heading1"/>
        <w:spacing w:after="140" w:before="320"/>
      </w:pPr>
      <w:r>
        <w:rPr>
          <w:rFonts w:ascii="Arial" w:cs="Arial" w:eastAsia="Arial" w:hAnsi="Arial"/>
          <w:b/>
          <w:bCs/>
          <w:color w:val="2C3E50"/>
          <w:sz w:val="28"/>
          <w:szCs w:val="28"/>
        </w:rPr>
        <w:t xml:space="preserve">12. Struttura Dati Firestore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Ogni utente ha i propri documenti separati identificati dal Firebase Auth UID. Non esistono dati condivisi tra utenti.</w:t>
      </w:r>
    </w:p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12.1 Collection transactions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Una collection per utente: transactions/{uid}/. Ogni documento = una transazione, con ID = txId.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88"/>
        <w:gridCol w:w="6138"/>
      </w:tblGrid>
      <w:tr>
        <w:tc>
          <w:tcPr>
            <w:tcW w:type="dxa" w:w="2888"/>
            <w:tcBorders>
              <w:top w:val="single" w:color="2C3E50" w:sz="4"/>
              <w:left w:val="single" w:color="2C3E50" w:sz="4"/>
              <w:bottom w:val="single" w:color="2C3E50" w:sz="4"/>
              <w:right w:val="single" w:color="2C3E50" w:sz="4"/>
            </w:tcBorders>
            <w:shd w:fill="2C3E50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Campo Firestore</w:t>
            </w:r>
          </w:p>
        </w:tc>
        <w:tc>
          <w:tcPr>
            <w:tcW w:type="dxa" w:w="6138"/>
            <w:tcBorders>
              <w:top w:val="single" w:color="2C3E50" w:sz="4"/>
              <w:left w:val="single" w:color="2C3E50" w:sz="4"/>
              <w:bottom w:val="single" w:color="2C3E50" w:sz="4"/>
              <w:right w:val="single" w:color="2C3E50" w:sz="4"/>
            </w:tcBorders>
            <w:shd w:fill="2C3E50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288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txId</w:t>
            </w:r>
          </w:p>
        </w:tc>
        <w:tc>
          <w:tcPr>
            <w:tcW w:type="dxa" w:w="613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"26-0001" — anno 2 cifre + progressivo 4 cifre</w:t>
            </w:r>
          </w:p>
        </w:tc>
      </w:tr>
      <w:tr>
        <w:tc>
          <w:tcPr>
            <w:tcW w:type="dxa" w:w="288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date</w:t>
            </w:r>
          </w:p>
        </w:tc>
        <w:tc>
          <w:tcPr>
            <w:tcW w:type="dxa" w:w="613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YYYY-MM-DD — data valuta dal CSV</w:t>
            </w:r>
          </w:p>
        </w:tc>
      </w:tr>
      <w:tr>
        <w:tc>
          <w:tcPr>
            <w:tcW w:type="dxa" w:w="288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competenza</w:t>
            </w:r>
          </w:p>
        </w:tc>
        <w:tc>
          <w:tcPr>
            <w:tcW w:type="dxa" w:w="613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YYYY-MM-DD — mese competenza economica (editabile)</w:t>
            </w:r>
          </w:p>
        </w:tc>
      </w:tr>
      <w:tr>
        <w:tc>
          <w:tcPr>
            <w:tcW w:type="dxa" w:w="288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account</w:t>
            </w:r>
          </w:p>
        </w:tc>
        <w:tc>
          <w:tcPr>
            <w:tcW w:type="dxa" w:w="613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Nome conto/carta sorgente</w:t>
            </w:r>
          </w:p>
        </w:tc>
      </w:tr>
      <w:tr>
        <w:tc>
          <w:tcPr>
            <w:tcW w:type="dxa" w:w="288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description</w:t>
            </w:r>
          </w:p>
        </w:tc>
        <w:tc>
          <w:tcPr>
            <w:tcW w:type="dxa" w:w="613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Causale originale CSV — non modificabile</w:t>
            </w:r>
          </w:p>
        </w:tc>
      </w:tr>
      <w:tr>
        <w:tc>
          <w:tcPr>
            <w:tcW w:type="dxa" w:w="288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descAI</w:t>
            </w:r>
          </w:p>
        </w:tc>
        <w:tc>
          <w:tcPr>
            <w:tcW w:type="dxa" w:w="613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Descrizione friendly generata da AI o editata dall'utente</w:t>
            </w:r>
          </w:p>
        </w:tc>
      </w:tr>
      <w:tr>
        <w:tc>
          <w:tcPr>
            <w:tcW w:type="dxa" w:w="288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amount</w:t>
            </w:r>
          </w:p>
        </w:tc>
        <w:tc>
          <w:tcPr>
            <w:tcW w:type="dxa" w:w="613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number — positivo=entrata, negativo=spesa</w:t>
            </w:r>
          </w:p>
        </w:tc>
      </w:tr>
      <w:tr>
        <w:tc>
          <w:tcPr>
            <w:tcW w:type="dxa" w:w="288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type</w:t>
            </w:r>
          </w:p>
        </w:tc>
        <w:tc>
          <w:tcPr>
            <w:tcW w:type="dxa" w:w="613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"Income" | "Expense"</w:t>
            </w:r>
          </w:p>
        </w:tc>
      </w:tr>
      <w:tr>
        <w:tc>
          <w:tcPr>
            <w:tcW w:type="dxa" w:w="288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cat1</w:t>
            </w:r>
          </w:p>
        </w:tc>
        <w:tc>
          <w:tcPr>
            <w:tcW w:type="dxa" w:w="613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Categoria L1 (macro)</w:t>
            </w:r>
          </w:p>
        </w:tc>
      </w:tr>
      <w:tr>
        <w:tc>
          <w:tcPr>
            <w:tcW w:type="dxa" w:w="288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cat2</w:t>
            </w:r>
          </w:p>
        </w:tc>
        <w:tc>
          <w:tcPr>
            <w:tcW w:type="dxa" w:w="613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Categoria L2 (sotto)</w:t>
            </w:r>
          </w:p>
        </w:tc>
      </w:tr>
      <w:tr>
        <w:tc>
          <w:tcPr>
            <w:tcW w:type="dxa" w:w="288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merchant</w:t>
            </w:r>
          </w:p>
        </w:tc>
        <w:tc>
          <w:tcPr>
            <w:tcW w:type="dxa" w:w="613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Nome merchant pulito</w:t>
            </w:r>
          </w:p>
        </w:tc>
      </w:tr>
      <w:tr>
        <w:tc>
          <w:tcPr>
            <w:tcW w:type="dxa" w:w="288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conf</w:t>
            </w:r>
          </w:p>
        </w:tc>
        <w:tc>
          <w:tcPr>
            <w:tcW w:type="dxa" w:w="613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number 0-100 — confidenza AI categorizzazione</w:t>
            </w:r>
          </w:p>
        </w:tc>
      </w:tr>
      <w:tr>
        <w:tc>
          <w:tcPr>
            <w:tcW w:type="dxa" w:w="288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excluded</w:t>
            </w:r>
          </w:p>
        </w:tc>
        <w:tc>
          <w:tcPr>
            <w:tcW w:type="dxa" w:w="613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boolean — se true non conta in report/KPI</w:t>
            </w:r>
          </w:p>
        </w:tc>
      </w:tr>
      <w:tr>
        <w:tc>
          <w:tcPr>
            <w:tcW w:type="dxa" w:w="288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excludeReason</w:t>
            </w:r>
          </w:p>
        </w:tc>
        <w:tc>
          <w:tcPr>
            <w:tcW w:type="dxa" w:w="613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string? — motivo esclusione</w:t>
            </w:r>
          </w:p>
        </w:tc>
      </w:tr>
      <w:tr>
        <w:tc>
          <w:tcPr>
            <w:tcW w:type="dxa" w:w="288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reimbAmount</w:t>
            </w:r>
          </w:p>
        </w:tc>
        <w:tc>
          <w:tcPr>
            <w:tcW w:type="dxa" w:w="613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number? — importo rimborso ricevuto</w:t>
            </w:r>
          </w:p>
        </w:tc>
      </w:tr>
      <w:tr>
        <w:tc>
          <w:tcPr>
            <w:tcW w:type="dxa" w:w="288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reimbFrom</w:t>
            </w:r>
          </w:p>
        </w:tc>
        <w:tc>
          <w:tcPr>
            <w:tcW w:type="dxa" w:w="613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string? — fonte rimborso</w:t>
            </w:r>
          </w:p>
        </w:tc>
      </w:tr>
      <w:tr>
        <w:tc>
          <w:tcPr>
            <w:tcW w:type="dxa" w:w="288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mixCats</w:t>
            </w:r>
          </w:p>
        </w:tc>
        <w:tc>
          <w:tcPr>
            <w:tcW w:type="dxa" w:w="613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array? — [{cat1,pct,amt}] per split multi-categoria</w:t>
            </w:r>
          </w:p>
        </w:tc>
      </w:tr>
      <w:tr>
        <w:tc>
          <w:tcPr>
            <w:tcW w:type="dxa" w:w="288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_flagged</w:t>
            </w:r>
          </w:p>
        </w:tc>
        <w:tc>
          <w:tcPr>
            <w:tcW w:type="dxa" w:w="613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boolean — da rivedere</w:t>
            </w:r>
          </w:p>
        </w:tc>
      </w:tr>
      <w:tr>
        <w:tc>
          <w:tcPr>
            <w:tcW w:type="dxa" w:w="288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_paypalOverride</w:t>
            </w:r>
          </w:p>
        </w:tc>
        <w:tc>
          <w:tcPr>
            <w:tcW w:type="dxa" w:w="613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boolean — abbinata a import PayPal</w:t>
            </w:r>
          </w:p>
        </w:tc>
      </w:tr>
      <w:tr>
        <w:tc>
          <w:tcPr>
            <w:tcW w:type="dxa" w:w="288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userEditedDesc</w:t>
            </w:r>
          </w:p>
        </w:tc>
        <w:tc>
          <w:tcPr>
            <w:tcW w:type="dxa" w:w="613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boolean — descAI modificata manualmente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12.2 Document appPrefs/{uid}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Documento unico per utente che contiene tutte le preferenze e dati strutturati dell'app. Aggiornato tramite setAppPref(key, value).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8"/>
        <w:gridCol w:w="6318"/>
      </w:tblGrid>
      <w:tr>
        <w:tc>
          <w:tcPr>
            <w:tcW w:type="dxa" w:w="2708"/>
            <w:tcBorders>
              <w:top w:val="single" w:color="2C3E50" w:sz="4"/>
              <w:left w:val="single" w:color="2C3E50" w:sz="4"/>
              <w:bottom w:val="single" w:color="2C3E50" w:sz="4"/>
              <w:right w:val="single" w:color="2C3E50" w:sz="4"/>
            </w:tcBorders>
            <w:shd w:fill="2C3E50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Chiave appPrefs</w:t>
            </w:r>
          </w:p>
        </w:tc>
        <w:tc>
          <w:tcPr>
            <w:tcW w:type="dxa" w:w="6318"/>
            <w:tcBorders>
              <w:top w:val="single" w:color="2C3E50" w:sz="4"/>
              <w:left w:val="single" w:color="2C3E50" w:sz="4"/>
              <w:bottom w:val="single" w:color="2C3E50" w:sz="4"/>
              <w:right w:val="single" w:color="2C3E50" w:sz="4"/>
            </w:tcBorders>
            <w:shd w:fill="2C3E50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Contenuto</w:t>
            </w:r>
          </w:p>
        </w:tc>
      </w:tr>
      <w:tr>
        <w:tc>
          <w:tcPr>
            <w:tcW w:type="dxa" w:w="270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paypalImports</w:t>
            </w:r>
          </w:p>
        </w:tc>
        <w:tc>
          <w:tcPr>
            <w:tcW w:type="dxa" w:w="631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array — tutte le importazioni PayPal (matched e unmatched)</w:t>
            </w:r>
          </w:p>
        </w:tc>
      </w:tr>
      <w:tr>
        <w:tc>
          <w:tcPr>
            <w:tcW w:type="dxa" w:w="270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customCats</w:t>
            </w:r>
          </w:p>
        </w:tc>
        <w:tc>
          <w:tcPr>
            <w:tcW w:type="dxa" w:w="631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object — categorie custom: {[L1]: {emoji, color, sub:[]}}</w:t>
            </w:r>
          </w:p>
        </w:tc>
      </w:tr>
      <w:tr>
        <w:tc>
          <w:tcPr>
            <w:tcW w:type="dxa" w:w="270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cashCats</w:t>
            </w:r>
          </w:p>
        </w:tc>
        <w:tc>
          <w:tcPr>
            <w:tcW w:type="dxa" w:w="631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array — categorie pagate in contanti (per CASH_CATS)</w:t>
            </w:r>
          </w:p>
        </w:tc>
      </w:tr>
      <w:tr>
        <w:tc>
          <w:tcPr>
            <w:tcW w:type="dxa" w:w="270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aiNamingRules</w:t>
            </w:r>
          </w:p>
        </w:tc>
        <w:tc>
          <w:tcPr>
            <w:tcW w:type="dxa" w:w="631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array — mapping merchant→descAI appreso dalle modifiche utente</w:t>
            </w:r>
          </w:p>
        </w:tc>
      </w:tr>
      <w:tr>
        <w:tc>
          <w:tcPr>
            <w:tcW w:type="dxa" w:w="270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nanny</w:t>
            </w:r>
          </w:p>
        </w:tc>
        <w:tc>
          <w:tcPr>
            <w:tcW w:type="dxa" w:w="631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object — dati mensili nanny (ore, tariffa, riconciliazioni)</w:t>
            </w:r>
          </w:p>
        </w:tc>
      </w:tr>
      <w:tr>
        <w:tc>
          <w:tcPr>
            <w:tcW w:type="dxa" w:w="270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colf</w:t>
            </w:r>
          </w:p>
        </w:tc>
        <w:tc>
          <w:tcPr>
            <w:tcW w:type="dxa" w:w="631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object — dati mensili colf (ore, tariffa, riconciliazioni)</w:t>
            </w:r>
          </w:p>
        </w:tc>
      </w:tr>
      <w:tr>
        <w:tc>
          <w:tcPr>
            <w:tcW w:type="dxa" w:w="270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satispayPots</w:t>
            </w:r>
          </w:p>
        </w:tc>
        <w:tc>
          <w:tcPr>
            <w:tcW w:type="dxa" w:w="631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array — fondi Satispay con categorie e dati mensili</w:t>
            </w:r>
          </w:p>
        </w:tc>
      </w:tr>
      <w:tr>
        <w:tc>
          <w:tcPr>
            <w:tcW w:type="dxa" w:w="270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loans</w:t>
            </w:r>
          </w:p>
        </w:tc>
        <w:tc>
          <w:tcPr>
            <w:tcW w:type="dxa" w:w="631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array — prestiti e mutui (nome, istituto, importo, rata, tasso)</w:t>
            </w:r>
          </w:p>
        </w:tc>
      </w:tr>
      <w:tr>
        <w:tc>
          <w:tcPr>
            <w:tcW w:type="dxa" w:w="270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investments</w:t>
            </w:r>
          </w:p>
        </w:tc>
        <w:tc>
          <w:tcPr>
            <w:tcW w:type="dxa" w:w="631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array — posizioni investimento per portafoglio</w:t>
            </w:r>
          </w:p>
        </w:tc>
      </w:tr>
      <w:tr>
        <w:tc>
          <w:tcPr>
            <w:tcW w:type="dxa" w:w="270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realAssets</w:t>
            </w:r>
          </w:p>
        </w:tc>
        <w:tc>
          <w:tcPr>
            <w:tcW w:type="dxa" w:w="631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array — beni reali (casa, auto, ecc.) con valori acquisto e corrente</w:t>
            </w:r>
          </w:p>
        </w:tc>
      </w:tr>
      <w:tr>
        <w:tc>
          <w:tcPr>
            <w:tcW w:type="dxa" w:w="270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scadenze</w:t>
            </w:r>
          </w:p>
        </w:tc>
        <w:tc>
          <w:tcPr>
            <w:tcW w:type="dxa" w:w="631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array — scadenze ricorrenti (nome, importo, data, preavviso)</w:t>
            </w:r>
          </w:p>
        </w:tc>
      </w:tr>
      <w:tr>
        <w:tc>
          <w:tcPr>
            <w:tcW w:type="dxa" w:w="270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vacations</w:t>
            </w:r>
          </w:p>
        </w:tc>
        <w:tc>
          <w:tcPr>
            <w:tcW w:type="dxa" w:w="631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array — viaggi (nome, tipo, date, costi manuali, flag usa-manuale)</w:t>
            </w:r>
          </w:p>
        </w:tc>
      </w:tr>
      <w:tr>
        <w:tc>
          <w:tcPr>
            <w:tcW w:type="dxa" w:w="270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blocNotes</w:t>
            </w:r>
          </w:p>
        </w:tc>
        <w:tc>
          <w:tcPr>
            <w:tcW w:type="dxa" w:w="631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string — contenuto note libere Bloc Notes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12.3 Collection ai_rules/{uid}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Una collection per utente. Ogni documento = una regola multi-condizione. Campi: id, label, description, conditions[], action, cats[], descAI, enabled, isKing, overlap, createdAt. Gestite tramite addAiRule(), updateAiRule(), deleteAiRule() in useStore.js.</w:t>
      </w:r>
    </w:p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12.4 Pattern di scrittura su Firestore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batchSaveDocuments("transactions", [{id: txId, data: enrichTx(tx)}]): scrittura batch di N transazioni — usa writeBatch Firestore per operazioni atomiche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setAppPref(key, value): aggiorna un singolo campo del documento appPrefs con setDoc merge:true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Nessun listener onSnapshot attivo — la consistenza è garantita dal fatto che un solo dispositivo è attivo per volta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enrichTx(tx): funzione che normalizza la transazione prima di salvarla (rimuove undefined, converte tipi)</w:t>
      </w:r>
    </w:p>
    <w:p>
      <w:pPr>
        <w:spacing w:after="60" w:before="60"/>
      </w:pPr>
      <w:r>
        <w:t xml:space="preserve"/>
      </w:r>
    </w:p>
    <w:p>
      <w:pPr>
        <w:spacing w:after="60" w:before="60"/>
      </w:pPr>
      <w:r>
        <w:t xml:space="preserve"/>
      </w:r>
    </w:p>
    <w:p>
      <w:pPr>
        <w:spacing w:after="0" w:before="240"/>
        <w:jc w:val="center"/>
      </w:pPr>
      <w:r>
        <w:rPr>
          <w:rFonts w:ascii="Arial" w:cs="Arial" w:eastAsia="Arial" w:hAnsi="Arial"/>
          <w:color w:val="999999"/>
          <w:sz w:val="18"/>
          <w:szCs w:val="18"/>
        </w:rPr>
        <w:t xml:space="preserve">Family Money Tracker · Documento Tecnico v3 · Luglio 2026 · family-money-one.vercel.app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2" w:space="4"/>
      </w:pBdr>
      <w:jc w:val="center"/>
    </w:pPr>
    <w:r>
      <w:rPr>
        <w:rFonts w:ascii="Arial" w:cs="Arial" w:eastAsia="Arial" w:hAnsi="Arial"/>
        <w:color w:val="888888"/>
        <w:sz w:val="18"/>
        <w:szCs w:val="18"/>
      </w:rPr>
      <w:t xml:space="preserve">Pag. </w:t>
    </w:r>
    <w:r>
      <w:rPr>
        <w:rFonts w:ascii="Arial" w:cs="Arial" w:eastAsia="Arial" w:hAnsi="Arial"/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888888"/>
        <w:sz w:val="18"/>
        <w:szCs w:val="18"/>
      </w:rPr>
      <w:t xml:space="preserve"> / </w:t>
    </w:r>
    <w:r>
      <w:rPr>
        <w:rFonts w:ascii="Arial" w:cs="Arial" w:eastAsia="Arial" w:hAnsi="Arial"/>
        <w:color w:val="888888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2" w:space="4"/>
      </w:pBdr>
      <w:tabs>
        <w:tab w:val="right" w:pos="8626"/>
      </w:tabs>
    </w:pPr>
    <w:r>
      <w:rPr>
        <w:rFonts w:ascii="Arial" w:cs="Arial" w:eastAsia="Arial" w:hAnsi="Arial"/>
        <w:color w:val="888888"/>
        <w:sz w:val="18"/>
        <w:szCs w:val="18"/>
      </w:rPr>
      <w:t xml:space="preserve">💎 Family Money Tracker — Documento Tecnico v3</w:t>
    </w:r>
    <w:r>
      <w:rPr>
        <w:rFonts w:ascii="Arial" w:cs="Arial" w:eastAsia="Arial" w:hAnsi="Arial"/>
        <w:color w:val="888888"/>
        <w:sz w:val="18"/>
        <w:szCs w:val="18"/>
      </w:rPr>
      <w:t xml:space="preserve">	family-money-one.vercel.app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360"/>
      </w:pPr>
    </w:lvl>
    <w:lvl w:ilvl="1" w15:tentative="1">
      <w:start w:val="1"/>
      <w:numFmt w:val="bullet"/>
      <w:lvlText w:val="◦"/>
      <w:lvlJc w:val="left"/>
      <w:pPr>
        <w:ind w:left="90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2C3E50" w:sz="6" w:space="4"/>
      </w:pBdr>
      <w:spacing w:after="140" w:before="320"/>
      <w:outlineLvl w:val="0"/>
    </w:pPr>
    <w:rPr>
      <w:rFonts w:ascii="Arial" w:cs="Arial" w:eastAsia="Arial" w:hAnsi="Arial"/>
      <w:b/>
      <w:bCs/>
      <w:color w:val="2C3E50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80" w:before="220"/>
      <w:outlineLvl w:val="1"/>
    </w:pPr>
    <w:rPr>
      <w:rFonts w:ascii="Arial" w:cs="Arial" w:eastAsia="Arial" w:hAnsi="Arial"/>
      <w:b/>
      <w:bCs/>
      <w:color w:val="34495E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2026-07-02T11:23:52.772Z</dcterms:created>
  <dcterms:modified xsi:type="dcterms:W3CDTF">2026-07-02T11:23:52.777Z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