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4R_Esercitazione2</w:t>
      </w:r>
    </w:p>
    <w:p>
      <w:pPr>
        <w:pStyle w:val="Author"/>
      </w:pPr>
      <w:r>
        <w:t xml:space="preserve">Francesca</w:t>
      </w:r>
      <w:r>
        <w:t xml:space="preserve"> </w:t>
      </w:r>
      <w:r>
        <w:t xml:space="preserve">Pecorari</w:t>
      </w:r>
    </w:p>
    <w:p>
      <w:pPr>
        <w:pStyle w:val="Date"/>
      </w:pPr>
      <w:r>
        <w:t xml:space="preserve">2024-01-19</w:t>
      </w:r>
    </w:p>
    <w:bookmarkStart w:id="67" w:name="report-analisi-di-dataset-alimenti.txt"/>
    <w:p>
      <w:pPr>
        <w:pStyle w:val="Heading1"/>
      </w:pPr>
      <w:r>
        <w:t xml:space="preserve">Report analisi di</w:t>
      </w:r>
      <w:r>
        <w:t xml:space="preserve"> </w:t>
      </w:r>
      <w:r>
        <w:t xml:space="preserve">“</w:t>
      </w:r>
      <w:r>
        <w:t xml:space="preserve">Dataset alimenti.txt</w:t>
      </w:r>
      <w:r>
        <w:t xml:space="preserve">”</w:t>
      </w:r>
    </w:p>
    <w:bookmarkStart w:id="46" w:name="pca"/>
    <w:p>
      <w:pPr>
        <w:pStyle w:val="Heading2"/>
      </w:pPr>
      <w:r>
        <w:t xml:space="preserve">PCA</w:t>
      </w:r>
    </w:p>
    <w:bookmarkStart w:id="23" w:name="Xbbf3ac6948f07c11418bc3d7d3d1ebbd3d96e70"/>
    <w:p>
      <w:pPr>
        <w:pStyle w:val="Heading3"/>
      </w:pPr>
      <w:r>
        <w:t xml:space="preserve">Scree plot e grafico della varianza cumulata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Dai grafici deduciamo che sono sufficienti 3 componenti per descrivere la varianza del dataset. Osservando lo Scree plot non è possibile notare un gomito ben definito, ma si vede che la terza componente è l’ ultima a mostrare varianza &gt; 1.</w:t>
      </w:r>
      <w:r>
        <w:t xml:space="preserve"> </w:t>
      </w:r>
      <w:r>
        <w:t xml:space="preserve">Dal plot della varianza cumulata notiamo che tra le 2 e le 3 componenti sono sufficienti a spiegare tra il 50 % e l’ 80 % della varianza del dataset.</w:t>
      </w:r>
    </w:p>
    <w:bookmarkEnd w:id="23"/>
    <w:bookmarkStart w:id="27" w:name="plot-loadings"/>
    <w:p>
      <w:pPr>
        <w:pStyle w:val="Heading3"/>
      </w:pPr>
      <w:r>
        <w:t xml:space="preserve">Plot loadings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Interpretando il grafico, si potrebbe affermare che l’unica variabile a contribuire poco alla direzione di una delle nostre componenti principali, in particolare la PC2, sia la variabile Zuccheri, in quanto è proprio sullo zero.</w:t>
      </w:r>
    </w:p>
    <w:p>
      <w:pPr>
        <w:pStyle w:val="BodyText"/>
      </w:pPr>
      <w:r>
        <w:t xml:space="preserve">Si nota che le variabili Amido, Carboidrati e Proteine e Lipidi sembrano contribuire in modo simile alla direzione delle componenti; per il resto le variabili non sembrano avere valori di loading simili e questo indica, in generale, che non sono correlate e che avranno effetti diversi sulle componenti.</w:t>
      </w:r>
    </w:p>
    <w:bookmarkEnd w:id="27"/>
    <w:bookmarkStart w:id="31" w:name="plot-scores"/>
    <w:p>
      <w:pPr>
        <w:pStyle w:val="Heading3"/>
      </w:pPr>
      <w:r>
        <w:t xml:space="preserve">Plot scores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Dal grafico si nota che ci sono delle osservazioni delle categorie Verdura e Frutta vicine all’ origine, questo indica che i loro valori sono prossimi alla media per la maggior parte delle variabili, inoltre sono posizionate vicine, il che significa che sono osservazioni simili.</w:t>
      </w:r>
      <w:r>
        <w:t xml:space="preserve"> </w:t>
      </w:r>
      <w:r>
        <w:t xml:space="preserve">Per le categorie Latticini, Cereali, Frutta e Uova notiamo dei valori molto lontani dall’origine, che potrebbero essere dati estremi o outliers.</w:t>
      </w:r>
    </w:p>
    <w:bookmarkEnd w:id="31"/>
    <w:bookmarkStart w:id="35" w:name="biplot"/>
    <w:p>
      <w:pPr>
        <w:pStyle w:val="Heading3"/>
      </w:pPr>
      <w:r>
        <w:t xml:space="preserve">Biplot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Non ci sono vettori paralleli agli assi di nessuna delle due PC, questo significa che nessuna variabile originale contribuisce in modo esclusivo a nessuna delle componenti di questo grafico.</w:t>
      </w:r>
      <w:r>
        <w:t xml:space="preserve"> </w:t>
      </w:r>
      <w:r>
        <w:t xml:space="preserve">La variabile originale che sembra avere la maggiore variabilità spiegata dalle PC utilizzate per costruire questo grafico è Acqua, mentre la variable Zucchero, quella con il vettore più corto, sarebbe rappresentata meglio da altre PC.</w:t>
      </w:r>
    </w:p>
    <w:bookmarkEnd w:id="35"/>
    <w:bookmarkStart w:id="45" w:name="X5ac001953e90b77927706e14630747087c12da4"/>
    <w:p>
      <w:pPr>
        <w:pStyle w:val="Heading3"/>
      </w:pPr>
      <w:r>
        <w:t xml:space="preserve">Grafico del peso delle variabili sperimentali su una PC</w:t>
      </w:r>
    </w:p>
    <w:p>
      <w:pPr>
        <w:pStyle w:val="FirstParagraph"/>
      </w:pPr>
      <w:r>
        <w:t xml:space="preserve">Le variabili sperimentali che hanno peso maggiore per la PC1 sono: Acqua, Carboidrati e Amido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variabili sperimentali che hanno peso maggiore per la PC2 sono: Proteine e Lipidi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variabili sperimentali che hanno peso maggiore per la PC3 sono: Zuccheri e Lipidi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9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4" w:name="clustering-gerarchico"/>
    <w:p>
      <w:pPr>
        <w:pStyle w:val="Heading2"/>
      </w:pPr>
      <w:r>
        <w:t xml:space="preserve">CLUSTERING GERARCHICO</w:t>
      </w:r>
    </w:p>
    <w:bookmarkStart w:id="53" w:name="dendrogrammi"/>
    <w:p>
      <w:pPr>
        <w:pStyle w:val="Heading3"/>
      </w:pPr>
      <w:r>
        <w:t xml:space="preserve">Dendrogrammi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Ci sono vari metodi per dividere gerarchicamente i dati in cluster e dipendono dal criterio linkage, nei grafici riportati si può notare, concentrandosi sulle altezze a cui avvengono le varie divisioni, come questi metodi lavorino facendo scelte differenti.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1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Dal boxplot si nota che in ogni cluster si ha una distribuzione diversa della variabile Acqua, probabilmente se i cluster corrispondessero effettivamente a alimenti di categorie diverse, questo si potrebbe spiegare dicendo che hanno tutti valori di acqua diversi e per questo si distinguono.</w:t>
      </w:r>
    </w:p>
    <w:bookmarkEnd w:id="53"/>
    <w:bookmarkEnd w:id="54"/>
    <w:bookmarkStart w:id="58" w:name="k-means-clustering"/>
    <w:p>
      <w:pPr>
        <w:pStyle w:val="Heading2"/>
      </w:pPr>
      <w:r>
        <w:t xml:space="preserve">K-MEANS CLUSTERING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13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Nell’ interpretazione dell’elbow plot si cerca un</w:t>
      </w:r>
      <w:r>
        <w:t xml:space="preserve"> </w:t>
      </w:r>
      <w:r>
        <w:t xml:space="preserve">“</w:t>
      </w:r>
      <w:r>
        <w:t xml:space="preserve">gomito</w:t>
      </w:r>
      <w:r>
        <w:t xml:space="preserve">”</w:t>
      </w:r>
      <w:r>
        <w:t xml:space="preserve"> </w:t>
      </w:r>
      <w:r>
        <w:t xml:space="preserve">in cui la discesa della somma dei quadrati degli errori inizia a rallentare significativamente; idealmente si sceglie il numero di cluster appena prima del punto di gomito.</w:t>
      </w:r>
      <w:r>
        <w:t xml:space="preserve"> </w:t>
      </w:r>
      <w:r>
        <w:t xml:space="preserve">Nel nostro grafico, si potrebbe scegliere il valore 8 e avere quindi 7 cluster.</w:t>
      </w:r>
    </w:p>
    <w:bookmarkEnd w:id="58"/>
    <w:bookmarkStart w:id="62" w:name="Xb56fcdc97867f818c391d5c6928701744cc3470"/>
    <w:p>
      <w:pPr>
        <w:pStyle w:val="Heading2"/>
      </w:pPr>
      <w:r>
        <w:t xml:space="preserve">Risultato HCA proiettato sul grafico degli score della PCA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1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Notiamo che osservazioni vicine, quindi simili, sono spesso assegnate allo stesso cluster.</w:t>
      </w:r>
    </w:p>
    <w:bookmarkEnd w:id="62"/>
    <w:bookmarkStart w:id="66" w:name="X37100bbf8ae4d3f828e661d02ef2a92a95eb4dd"/>
    <w:p>
      <w:pPr>
        <w:pStyle w:val="Heading2"/>
      </w:pPr>
      <w:r>
        <w:t xml:space="preserve">Risultato KM proiettato sul grafico degli score della PCA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4R_Esercitazione2_files/figure-docx/unnamed-chunk-1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Anche in questo caso, osservazioni vicine tendono ad essere assegnate allo stesso cluster.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4R_Esercitazione2</dc:title>
  <dc:creator>Francesca Pecorari</dc:creator>
  <cp:keywords/>
  <dcterms:created xsi:type="dcterms:W3CDTF">2024-01-20T15:44:33Z</dcterms:created>
  <dcterms:modified xsi:type="dcterms:W3CDTF">2024-01-20T15:44:33Z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>word_document</vt:lpwstr>
  </property>
</Properties>
</file>