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NOTUNG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2e5f8a"/>
          <w:sz w:val="36"/>
          <w:szCs w:val="36"/>
          <w:rtl w:val="0"/>
        </w:rPr>
        <w:t xml:space="preserve">Data Provider &amp; Integrazione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Guida operativa per SGR, SIM e Family Office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Questo documento descrive: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principali data provider per l'asset management istituzionale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 modalità di integrazione tecnica (REST, SDK proprietario, feed)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caso Bloomberg: complessità, infrastruttura e protocollo di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 stime dei tempi di integrazione per ogni provider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0"/>
          <w:szCs w:val="20"/>
          <w:rtl w:val="0"/>
        </w:rPr>
        <w:t xml:space="preserve">Modello operativo di riferimento: BYOD / client-hosted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Notung non rivende dati grezzi. Consegna software, pipeline e segnali derivati. Il dato vive nel perimetro licenze del cliente — nessun obbligo di redistribuzione su Notung.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Panoramica dei principali data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1.1 Provider enterprise (modello BYOD)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Questi provider sono usati dalle SGR con contratti enterprise già attivi. Nel modello Notung, il cliente porta le proprie licenze e credenziali — Notung fornisce i connettori e la logica segnali che girano nell'ambiente Azure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800"/>
        <w:gridCol w:w="1100"/>
        <w:gridCol w:w="900"/>
        <w:gridCol w:w="1226"/>
        <w:tblGridChange w:id="0">
          <w:tblGrid>
            <w:gridCol w:w="1800"/>
            <w:gridCol w:w="2200"/>
            <w:gridCol w:w="1800"/>
            <w:gridCol w:w="1100"/>
            <w:gridCol w:w="900"/>
            <w:gridCol w:w="1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 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integrazione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Complessità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Tipico cliente SGR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Bloomberg B-PIPE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Market data, reference, news,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SDK proprietario (blpapi)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5f8a"/>
                <w:sz w:val="20"/>
                <w:szCs w:val="2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71c1c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SGR gestione attiva, desk trading, fixed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LSEG / Refinitiv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Market data, fundamentals, news,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API moderna (refinitiv-data 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5f8a"/>
                <w:sz w:val="20"/>
                <w:szCs w:val="2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20"/>
                <w:szCs w:val="20"/>
                <w:rtl w:val="0"/>
              </w:rPr>
              <w:t xml:space="preserve">Bassa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SGR mid-size, research-driven, dopo razionalizzazione costi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FactSet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Estimates, entity, news, portfolio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API documentata (SDK 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5f8a"/>
                <w:sz w:val="20"/>
                <w:szCs w:val="2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Bassa-media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Portfolio management, approccio quant-fondamentale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S&amp;P Capital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Fundamentals, transcript,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API (Swagger disponibile)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5f8a"/>
                <w:sz w:val="20"/>
                <w:szCs w:val="2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Bassa-media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Credit research, private markets, M&amp;A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SIX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Corporate actions, reference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Feed SFTP o API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5f8a"/>
                <w:sz w:val="20"/>
                <w:szCs w:val="2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Complementare ai vendor sopra, forte su Europa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Morningstar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Fund data, NAV, rating fondi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5f8a"/>
                <w:sz w:val="20"/>
                <w:szCs w:val="20"/>
                <w:rtl w:val="0"/>
              </w:rPr>
              <w:t xml:space="preserve">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Bassa-media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Più rilevante per fondi, non per equity signals puri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1.2 Fonti open e ufficiali (gestibili direttamente da Notung)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Queste fonti non richiedono contratti enterprise e possono essere integrate direttamente da Notung nell'infrastruttura del cliente. Sono la base per macro overlay, fundamentals USA, security master e alt data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2000"/>
        <w:gridCol w:w="2400"/>
        <w:gridCol w:w="1826"/>
        <w:tblGridChange w:id="0">
          <w:tblGrid>
            <w:gridCol w:w="1600"/>
            <w:gridCol w:w="1200"/>
            <w:gridCol w:w="2000"/>
            <w:gridCol w:w="2400"/>
            <w:gridCol w:w="1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per Notung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 pratiche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Attenzione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ECB Data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Macro 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Overlay macro, regime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SDMX REST API gratuita, nessuna registrazione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Eurostat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Macro 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Indicatori economici europei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 gratuita, aggiornata 2x/giorno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Non versiona il passato — rischio look-ahead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ALFRED / FRED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Macro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Macro con revisioni storiche (point-in-time)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Gratuito. ALFRED archivia le release originali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Alcune serie hanno diritti di terzi — verificare per uso commerciale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BLS / BEA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Macro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Lavoro, inflazione, GDP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 pubblica, v2 richiede registrazione 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SEC EDGAR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Filings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Bilanci, XBRL, filing storici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JSON gratuita, real-time durante disseminazione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ESMA ESEF / ESAP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Filings EU/IT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Filing emittenti europei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ESAP sarà pubblico da luglio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Oggi frammentato: SDIR per Italia, siti emittenti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OpenFIGI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Security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Mapping ticker/ISIN/FIGI/CUSIP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 gratuita, rate limit aumentato con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GLEIF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Entity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LEI, identificativi emittenti europei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 pubblica basata su Golden Copy LEI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Copernicus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Satellite / 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Alt data open (meteo, land monitoring)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Dati open per policy 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Solo se hai use case specifico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NOAA / NCEI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Alt data meteo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 con token gratuito via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77b00"/>
                <w:sz w:val="20"/>
                <w:szCs w:val="20"/>
                <w:rtl w:val="0"/>
              </w:rPr>
              <w:t xml:space="preserve">Solo se hai use case specifico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b00"/>
                <w:sz w:val="20"/>
                <w:szCs w:val="20"/>
                <w:rtl w:val="0"/>
              </w:rPr>
              <w:t xml:space="preserve">⚠  Attenzione FRED/ALFRED: ideali per ricerca e POC. Per prodotti commerciali cliente-facing, verificare serie per serie i diritti di terzi prima dell'uso in produzione.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b00"/>
                <w:sz w:val="20"/>
                <w:szCs w:val="20"/>
                <w:rtl w:val="0"/>
              </w:rPr>
              <w:t xml:space="preserve">⚠  Eurostat non versiona le release passate: usare ALFRED per le serie macro con revisioni storiche (importante per evitare look-ahead nei backtest).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60" w:before="300" w:lineRule="auto"/>
        <w:rPr/>
      </w:pPr>
      <w:sdt>
        <w:sdtPr>
          <w:id w:val="4560861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f8a"/>
              <w:sz w:val="26"/>
              <w:szCs w:val="26"/>
              <w:rtl w:val="0"/>
            </w:rPr>
            <w:t xml:space="preserve">1.3 La correlazione provider → tipo di cliente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Esiste una correlazione abbastanza chiara tra il tipo di provider e il profilo della SGR: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Tipico cliente SGR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Implicazione per Notung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Bloomberg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Gestione attiva con desk trading, fixed income, AUM medio-grande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Coinvolgimento IT obbligatorio fin dal giorno zero. Trattare come variabile di progetto.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Refinitiv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Gestione attiva research-driven, SGR mid-size razionalizzate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Scenario ideale per primi clienti: API key e via, nessuna infrastruttura dedicata.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FactSet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Portfolio analytics, approccio quant-fondamentale, family office strutturati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 standard, onboarding più lento del tecnico ma poi pulito.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S&amp;P Capital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 research, private markets, M&amp;A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 tipico nelle SGR equity; più frequente in chi fa credit o mercati privati.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Modalità di integrazione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2.1 REST API — lo standard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REST API funziona come una chiamata web standard. Il codice Python invia una richiesta a un URL (come un browser che carica una pagina), passa i parametri richiesti (es. ticker, date, campi) e riceve i dati in risposta in formato JSON — testo strutturato, leggibile da qualsiasi linguaggio.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sdt>
              <w:sdtPr>
                <w:id w:val="25116899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20"/>
                    <w:szCs w:val="20"/>
                    <w:rtl w:val="0"/>
                  </w:rPr>
                  <w:t xml:space="preserve">✅  Funziona da qualsiasi computer connesso a internet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sdt>
              <w:sdtPr>
                <w:id w:val="14758973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20"/>
                    <w:szCs w:val="20"/>
                    <w:rtl w:val="0"/>
                  </w:rPr>
                  <w:t xml:space="preserve">✅  Non richiede software installato sul server del 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sdt>
              <w:sdtPr>
                <w:id w:val="-90222306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20"/>
                    <w:szCs w:val="20"/>
                    <w:rtl w:val="0"/>
                  </w:rPr>
                  <w:t xml:space="preserve">✅  Credenziali = una singola API key o username/password, gestite via Azure Key Vault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sdt>
              <w:sdtPr>
                <w:id w:val="15385110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20"/>
                    <w:szCs w:val="20"/>
                    <w:rtl w:val="0"/>
                  </w:rPr>
                  <w:t xml:space="preserve">✅  Sviluppabile e testabile in locale prima del deployment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sdt>
              <w:sdtPr>
                <w:id w:val="10701825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20"/>
                    <w:szCs w:val="20"/>
                    <w:rtl w:val="0"/>
                  </w:rPr>
                  <w:t xml:space="preserve">→   Provider che usano REST: Refinitiv, FactSet, S&amp;P Capital IQ, tutte le fonti open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2.2 SDK proprietario — il caso Bloomberg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Bloomberg non usa una REST API. Usa un protocollo proprietario chiamato blpapi, che richiede un programma Bloomberg attivo e in esecuzione sullo stesso server (o sulla stessa rete) del codice Python. Non è una chiamata verso internet: è una connessione verso un software locale.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Esistono tre configurazioni possibili: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Terminale Bloomberg fisico attivo: il codice gira sullo stesso PC o sulla stessa rete del terminale. Se il terminale viene spento, tutto si ferma.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Bloomberg B-UNIT: piccolo server fisico installato nella sala server del cliente, pensato per sistemi automatici. Costa diverse migliaia di euro/anno aggiuntivi rispetto al terminale.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Bloomberg Cloud (più recente): accesso via cloud con contratto dedicato. Non tutte le SGR ce l'hanno attivo.</w:t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b00"/>
                <w:sz w:val="20"/>
                <w:szCs w:val="20"/>
                <w:rtl w:val="0"/>
              </w:rPr>
              <w:t xml:space="preserve">⚠  Sviluppare il codice Bloomberg è fattibile con Claude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b00"/>
                <w:sz w:val="20"/>
                <w:szCs w:val="20"/>
                <w:rtl w:val="0"/>
              </w:rPr>
              <w:t xml:space="preserve">⚠  Ma non puoi testarlo senza accesso all'infrastruttura Bloomberg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b00"/>
                <w:sz w:val="20"/>
                <w:szCs w:val="20"/>
                <w:rtl w:val="0"/>
              </w:rPr>
              <w:t xml:space="preserve">⚠  Richiede il coinvolgimento diretto dell'IT della SGR fin dall'inizio.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sdt>
              <w:sdtPr>
                <w:id w:val="4862721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77b00"/>
                    <w:sz w:val="20"/>
                    <w:szCs w:val="20"/>
                    <w:rtl w:val="0"/>
                  </w:rPr>
                  <w:t xml:space="preserve">→   Trattarlo come un sotto-progetto infrastrutturale, non come un dettaglio tecnico.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2.3 Feed SFTP / enterprise — il caso 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SIX Financial e alcuni altri provider di reference data / corporate actions usano un meccanismo di consegna basato su file: ogni giorno o ogni settimana, i dati vengono depositati su un server SFTP (un sistema di file condivisi sicuri) da cui il codice li preleva. È meno elegante di una REST API ma molto stabile e largamente usato per dati di riferimento che cambiano raramente.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2.4 Come vengono gestite le credenziali nel modello Notung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tutti i casi, le credenziali (API key, username/password, certificati) non devono mai essere scritte nel codice. Il meccanismo corretto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Azure Key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 cliente carica le proprie credenziali (API key, password) nel Key Vault del suo Azure. È la cassaforte digitale — solo le applicazioni autorizzate le leggono.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Codice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 codice non contiene mai credenziali. Le legge a runtime dal Key Vault usando le identità Azure — senza che Notung le veda mai in chiaro.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Azure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Tutto gira nel perimetro del cliente: i dati non escono mai dalla sua rete. Notung fornisce il codice, non vede i dati grezzi del vendor.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Il caso Bloomberg — Approfondimento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3.1 Perché Bloomberg è diverso da tutti gli altri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Bloomberg è il provider più diffuso nelle SGR con gestione attiva e desk trading strutturati. È anche il più complicato da integrare in assoluto — non per il codice (la libreria blpapi esiste ed è documentata), ma per l'infrastruttura che richiede.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differenza fondamentale rispetto a Refinitiv o FactSet: Bloomberg non è una chiamata internet. È una connessione verso un programma Bloomberg che deve girare attivamente su un hardware fisico nella rete del cliente. Se quel hardware non c'è, o non è configurato correttamente, il codice Python non funziona — indipendentemente da quanto sia ben scritto.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3.2 Le tre configurazioni possibili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Terminale fisico attivo (scenario più comune nelle SGR mid-size):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cliente ha un PC con Bloomberg Terminal aperto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codice Python gira sullo stesso PC o sulla stessa rete locale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Rischio: se il terminale viene spento o Bloomberg chiude, tutto si ferma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adatto per sistemi automatici in produzione H24</w:t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Bloomberg B-UNIT (scenario per sistemi in produzione):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fisico consegnato da Bloomberg, installato nella sala server del cliente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Pensato apposta per sistemi automatici — sempre acceso, nessun terminale schermo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aggiuntivo: diverse migliaia di euro/anno sopra il contratto Bloomberg standard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Richiede installazione fisica e configurazione di rete da parte dell'IT del cliente</w:t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Bloomberg Cloud / BCOM (scenario emergente):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Accesso via cloud senza hardware fisico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Contratto separato, non tutte le SGR ce l'hanno attivo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Più vicino a un modello REST ma comunque con autenticazione e setup enterprise</w:t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3.3 Coinvolgimento IT della SGR — cosa serve concretamente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differenza di Refinitiv (dove basta l'APP_KEY), con Bloomberg l'IT della SGR deve: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Installare e configurare blpapi sul server dove gira il codice Notung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Assicurarsi che il server abbia accesso di rete al terminale o B-UNIT Bloomberg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Gestire le autorizzazioni Bloomberg (Bloomberg controlla quali dati sono accessibili e da quali macchine)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Tenere in piedi l'infrastruttura Bloomberg mentre il sistema è in produzione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Coordinarsi con Bloomberg support in caso di problemi di connessione</w:t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60" w:before="60" w:lineRule="auto"/>
              <w:rPr/>
            </w:pPr>
            <w:sdt>
              <w:sdtPr>
                <w:id w:val="78776273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8a"/>
                    <w:sz w:val="20"/>
                    <w:szCs w:val="20"/>
                    <w:rtl w:val="0"/>
                  </w:rPr>
                  <w:t xml:space="preserve">→  Regola operativa per Notung: con Bloomberg, dichiarare esplicitamente al cliente fin dal primo incontro che il progetto richiede un assessment infrastrutturale Bloomberg prima di stimare i tempi. Non trattarlo come un dettaglio tecnico da risolvere in corso d'opera.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3.4 Bloomberg Readiness Protocol — idea per accelerare l'onboarding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delle azioni più efficaci che Notung può fare per ridurre i tempi e le sorprese nei progetti Bloomberg è sviluppare un protocollo di pre-assessment da consegnare al cliente prima dell'inizio del progetto. L'idea è semplice: un documento di 1-2 pagine che il cliente (o il suo IT) compila autonomamente, che permette a Notung di sapere in anticipo in quale scenario si trova e cosa manca.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protocollo potrebbe articolarsi in tre sezioni: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Sezione A — Infrastruttura esistente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Domande per capire quale configurazione Bloomberg è già 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Avete un Bloomberg Terminal fisico attivo in ufficio? Su quante postazioni?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terminale è accessibile da remoto o solo in ufficio?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Avete un Bloomberg B-UNIT installato in sala server?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Avete accesso a Bloomberg Cloud / BCOM?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Esiste già un server (fisico o cloud) sulla stessa rete del terminale Bloomberg?</w:t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Sezione B — Contratto e autorizzazioni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Domande per capire cosa è licenziato e cosa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vostro contratto Bloomberg include il Data License o solo il terminale display?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Avete già attivato l'accesso programmatico (API) ai dati Bloomberg?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 dataset Bloomberg avete licenziato? (prezzi, fundamentals, news, altro)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Avete già usato Bloomberg con sistemi automatici in passato?</w:t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Sezione C — IT e 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Domande per capire la fattibilità tecnica: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 è il referente IT per Bloomberg in azienda?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server su cui girerà il codice Notung è sulla stessa rete del terminale Bloomberg?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 sono restrizioni firewall tra i server interni e la rete Bloomberg?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Siete su Azure? Se sì, in quale region?</w:t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sdt>
              <w:sdtPr>
                <w:id w:val="15018650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8a"/>
                    <w:sz w:val="20"/>
                    <w:szCs w:val="20"/>
                    <w:rtl w:val="0"/>
                  </w:rPr>
                  <w:t xml:space="preserve">→  Questo protocollo è da sviluppare come documento separato, con formato checklist.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before="60" w:lineRule="auto"/>
              <w:rPr/>
            </w:pPr>
            <w:sdt>
              <w:sdtPr>
                <w:id w:val="-16460746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8a"/>
                    <w:sz w:val="20"/>
                    <w:szCs w:val="20"/>
                    <w:rtl w:val="0"/>
                  </w:rPr>
                  <w:t xml:space="preserve">→  L'obiettivo è ricevere le risposte prima della firma del contratto, non durante lo sviluppo.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60" w:lineRule="auto"/>
              <w:rPr/>
            </w:pPr>
            <w:sdt>
              <w:sdtPr>
                <w:id w:val="143125045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8a"/>
                    <w:sz w:val="20"/>
                    <w:szCs w:val="20"/>
                    <w:rtl w:val="0"/>
                  </w:rPr>
                  <w:t xml:space="preserve">→  Con le risposte in mano, Notung può stimare i tempi realisticamente e capire se serve un Bloomberg engineer esterno per la configurazione iniziale.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Stime dei tempi di integrazione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stime seguenti si riferiscono al tempo necessario per avere il connettore funzionante in produzione sull'Azure del cliente, dall'inizio del lavoro tecnico. Non includono i tempi commerciali (firma contratto, onboarding con il vendor) né i tempi di sviluppo dei modelli segnali — solo l'integrazione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1600"/>
        <w:gridCol w:w="1800"/>
        <w:gridCol w:w="2926"/>
        <w:tblGridChange w:id="0">
          <w:tblGrid>
            <w:gridCol w:w="1600"/>
            <w:gridCol w:w="1100"/>
            <w:gridCol w:w="1600"/>
            <w:gridCol w:w="180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Coinvolgimento IT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Potenziali blocchi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 operative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Refinitiv / LSEG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1–3 giorni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20"/>
                <w:szCs w:val="20"/>
                <w:rtl w:val="0"/>
              </w:rPr>
              <w:t xml:space="preserve">Minimo (solo APP_KEY)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20"/>
                <w:szCs w:val="20"/>
                <w:rtl w:val="0"/>
              </w:rPr>
              <w:t xml:space="preserve">Nessuno strutturale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30571044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b5e20"/>
                    <w:sz w:val="20"/>
                    <w:szCs w:val="20"/>
                    <w:rtl w:val="0"/>
                  </w:rPr>
                  <w:t xml:space="preserve">Il più rapido. API key → test → produzione in pochi giorni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FactSet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3–7 giorni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Basso (API key + whitelist 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Onboarding commerciale FactSet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 standard. Il ritardo è l'onboarding, non il codice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S&amp;P Capital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3–7 giorni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Basso (credenziali 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Contratto enterprise attivo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Simile a FactSet. Swagger disponibile, integrazione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SIX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5–10 giorni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Medio (setup SFTP o API 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Configurazione feed con SIX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Principalmente per corporate actions e reference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Bloomberg B-PIPE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2–4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71c1c"/>
                <w:sz w:val="20"/>
                <w:szCs w:val="20"/>
                <w:rtl w:val="0"/>
              </w:rPr>
              <w:t xml:space="preserve">Alto (infrastruttura dedicata)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71c1c"/>
                <w:sz w:val="20"/>
                <w:szCs w:val="20"/>
                <w:rtl w:val="0"/>
              </w:rPr>
              <w:t xml:space="preserve">B-UNIT o terminale attivo, blpapi configurata, network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71c1c"/>
                <w:sz w:val="20"/>
                <w:szCs w:val="20"/>
                <w:rtl w:val="0"/>
              </w:rPr>
              <w:t xml:space="preserve">Non è solo codice — è un progetto infrastrutturale. Vedi sezione dedicata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Fonti open (ECB, FRED, SEC, OpenFIGI)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Poche 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20"/>
                <w:szCs w:val="20"/>
                <w:rtl w:val="0"/>
              </w:rPr>
              <w:t xml:space="preserve">Nessuno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20"/>
                <w:szCs w:val="20"/>
                <w:rtl w:val="0"/>
              </w:rPr>
              <w:t xml:space="preserve">Nessuno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20"/>
                <w:szCs w:val="20"/>
                <w:rtl w:val="0"/>
              </w:rPr>
              <w:t xml:space="preserve">Gestite direttamente da Notung. Integrazione immediata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4.1 Fattori che allungano i tempi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Indipendentemente dal provider, alcune situazioni allungano sistematicamente i tempi: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cliente non ha ancora un Azure attivo: aggiungere 1-2 giorni per il setup iniziale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L'IT del cliente non ha esperienza con Azure Key Vault: aggiungere 1-3 giorni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vendor (Bloomberg, FactSet) deve approvare l'accesso API: fuori dal controllo di Notung, può richiedere settimane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Restrizioni firewall o network policy del cliente: variabile, da ore a giorni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Bloomberg non ha B-UNIT e il cliente deve ordinarlo: aggiungere 2-4 settimane per consegna e installazione</w:t>
      </w:r>
    </w:p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6"/>
          <w:szCs w:val="26"/>
          <w:rtl w:val="0"/>
        </w:rPr>
        <w:t xml:space="preserve">4.2 Stima di massima per un progetto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sdt>
        <w:sdtPr>
          <w:id w:val="17496988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Un progetto Notung completo (Fase 1→4) con un cliente che ha Refinitiv attivo: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Durata stimata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Fase 1 —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0"/>
                <w:szCs w:val="20"/>
                <w:rtl w:val="0"/>
              </w:rPr>
              <w:t xml:space="preserve">1–2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Nessuna integrazione dati necessaria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Fase 2 — POC in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0"/>
                <w:szCs w:val="20"/>
                <w:rtl w:val="0"/>
              </w:rPr>
              <w:t xml:space="preserve">3–5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Dati open o sample forniti dal cliente — nessuna integrazione produzione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Integrazione dati (Refinitiv)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0"/>
                <w:szCs w:val="20"/>
                <w:rtl w:val="0"/>
              </w:rPr>
              <w:t xml:space="preserve">1–3 giorni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 fare in parallelo con Fase 3 o inizio Fase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Integrazione dati (Bloomberg)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0"/>
                <w:szCs w:val="20"/>
                <w:rtl w:val="0"/>
              </w:rPr>
              <w:t xml:space="preserve">2–4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 avviare subito dopo firma contratto, in parallelo con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Fase 3 — Ottimizzazione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0"/>
                <w:szCs w:val="20"/>
                <w:rtl w:val="0"/>
              </w:rPr>
              <w:t xml:space="preserve">2–3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Fase 4 — Sviluppo app 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0"/>
                <w:szCs w:val="20"/>
                <w:rtl w:val="0"/>
              </w:rPr>
              <w:t xml:space="preserve">4–6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Include integrazione dati se non già completata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spacing w:after="60" w:before="60" w:lineRule="auto"/>
              <w:rPr/>
            </w:pPr>
            <w:sdt>
              <w:sdtPr>
                <w:id w:val="-5671358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8a"/>
                    <w:sz w:val="20"/>
                    <w:szCs w:val="20"/>
                    <w:rtl w:val="0"/>
                  </w:rPr>
                  <w:t xml:space="preserve">→  Regola pratica: con Bloomberg, avviare il Bloomberg Readiness Protocol al momento della firma del contratto, non quando si inizia la Fase 4.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sdt>
              <w:sdtPr>
                <w:id w:val="-4385844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8a"/>
                    <w:sz w:val="20"/>
                    <w:szCs w:val="20"/>
                    <w:rtl w:val="0"/>
                  </w:rPr>
                  <w:t xml:space="preserve">→  Con Refinitiv: l'integrazione dati non è un task critico — si risolve in pochi giorni e non blocca il resto del progetto.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gqd6wirna2px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Come si dice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distinzione corretta è questa: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tutta la parte di </w:t>
      </w:r>
      <w:r w:rsidDel="00000000" w:rsidR="00000000" w:rsidRPr="00000000">
        <w:rPr>
          <w:b w:val="1"/>
          <w:bCs w:val="1"/>
          <w:rtl w:val="0"/>
        </w:rPr>
        <w:t xml:space="preserve">ricerca macroeconomica, analisi dei fondamentali USA e signal discovery su dati price-based</w:t>
      </w:r>
      <w:r w:rsidDel="00000000" w:rsidR="00000000" w:rsidRPr="00000000">
        <w:rPr>
          <w:rtl w:val="0"/>
        </w:rPr>
        <w:t xml:space="preserve">, Notung lavora su fonti istituzionali pubbliche — le stesse usate da banche centrali, accademici e istituzioni regolamentate. Questi dati sono disponibili sia per la fase di ricerca che per il sistema in produzione, senza nessuna dipendenza dai vendor del cliente.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la parte di </w:t>
      </w:r>
      <w:r w:rsidDel="00000000" w:rsidR="00000000" w:rsidRPr="00000000">
        <w:rPr>
          <w:b w:val="1"/>
          <w:bCs w:val="1"/>
          <w:rtl w:val="0"/>
        </w:rPr>
        <w:t xml:space="preserve">analisi operativa sul portafoglio del cliente</w:t>
      </w:r>
      <w:r w:rsidDel="00000000" w:rsidR="00000000" w:rsidRPr="00000000">
        <w:rPr>
          <w:rtl w:val="0"/>
        </w:rPr>
        <w:t xml:space="preserve"> — segnali su titoli europei e italiani, overlay su stime consensus, corporate actions, news strutturate — il sistema si aggancia ai vendor enterprise già licenziati dal cliente, senza richiedere nuovi contratti.</w:t>
      </w:r>
    </w:p>
    <w:p w:rsidR="00000000" w:rsidDel="00000000" w:rsidP="00000000" w:rsidRDefault="00000000" w:rsidRPr="00000000" w14:paraId="0000014C">
      <w:pPr>
        <w:spacing w:after="80" w:before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rwiznjbr3wwo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La lista esaustiva di cosa c'è open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Quello che puoi coprire con fonti open, sia in ricerca che in produzione: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Macro USA e EU</w:t>
      </w:r>
      <w:r w:rsidDel="00000000" w:rsidR="00000000" w:rsidRPr="00000000">
        <w:rPr>
          <w:rtl w:val="0"/>
        </w:rPr>
        <w:t xml:space="preserve"> — PIL, inflazione (CPI/PPI), disoccupazione, tassi ufficiali, PMI, retail sales, ordini industriali, bilancia commerciale, prezzi delle case, fiducia dei consumatori — con storico lungo e, per le serie USA, le revisioni vintage tramite ALFRED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Prezzi di mercato</w:t>
      </w:r>
      <w:r w:rsidDel="00000000" w:rsidR="00000000" w:rsidRPr="00000000">
        <w:rPr>
          <w:rtl w:val="0"/>
        </w:rPr>
        <w:t xml:space="preserve"> — OHLCV giornaliero su equity globale, ETF, indici, alcuni futures e FX, adjusted per split e dividendi (Yahoo Finance / yfinance)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Fondamentali USA</w:t>
      </w:r>
      <w:r w:rsidDel="00000000" w:rsidR="00000000" w:rsidRPr="00000000">
        <w:rPr>
          <w:rtl w:val="0"/>
        </w:rPr>
        <w:t xml:space="preserve"> — bilancio annuale e trimestrale (conto economico, stato patrimoniale, cash flow, capex) per tutte le società quotate USA, in formato strutturato XBRL, aggiornato in tempo reale durante la disseminazione (SEC EDGAR)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Identificativi e security master base</w:t>
      </w:r>
      <w:r w:rsidDel="00000000" w:rsidR="00000000" w:rsidRPr="00000000">
        <w:rPr>
          <w:rtl w:val="0"/>
        </w:rPr>
        <w:t xml:space="preserve"> — mapping ticker/ISIN/FIGI, tipo di asset, exchange, nome legale dell'emittente, LEI (OpenFIGI, GLEIF)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Quello che Yahoo Finance aggiunge</w:t>
      </w:r>
      <w:r w:rsidDel="00000000" w:rsidR="00000000" w:rsidRPr="00000000">
        <w:rPr>
          <w:rtl w:val="0"/>
        </w:rPr>
        <w:t xml:space="preserve"> — alcune metriche di valutazione di base (P/E, P/B, EV/EBITDA), dati su opzioni (catena, implied volatility), short interest, insider ownership. Utili per screening e ricerca, meno affidabili per produzione.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Quello che Yahoo Finance non dà in modo affidabile</w:t>
      </w:r>
      <w:r w:rsidDel="00000000" w:rsidR="00000000" w:rsidRPr="00000000">
        <w:rPr>
          <w:rtl w:val="0"/>
        </w:rPr>
        <w:t xml:space="preserve"> — stime degli analisti (consensus EPS/revenue), revisioni delle stime nel tempo, rating creditizi, corporate actions complete e storiche per mercati non-USA, transcript earnings call, news strutturate e taggiate.</w:t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zaal85v7fzxp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Come si esprime come selling point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formulazione più pulita per una conversazione con una SGR: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"Per la ricerca e per i modelli macro e price-based, Notung lavora interamente su fonti istituzionali pubbliche — Fed, BCE, Eurostat, SEC. Questo significa che la fase di ricerca parte immediatamente, senza dipendere dalla vostra infrastruttura dati, e che i modelli costruiti in questa fase possono andare in produzione sulle stesse fonti. Per l'analisi operativa sul vostro universo investibile — titoli europei, stime consensus, corporate actions, news — il sistema si aggancia ai vostri vendor esistenti. Nessun nuovo contratto, nessuna nuova licenza."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punto forte di questo framing è doppio: </w:t>
      </w:r>
      <w:r w:rsidDel="00000000" w:rsidR="00000000" w:rsidRPr="00000000">
        <w:rPr>
          <w:b w:val="1"/>
          <w:bCs w:val="1"/>
          <w:rtl w:val="0"/>
        </w:rPr>
        <w:t xml:space="preserve">abbassa la barriera di ingresso</w:t>
      </w:r>
      <w:r w:rsidDel="00000000" w:rsidR="00000000" w:rsidRPr="00000000">
        <w:rPr>
          <w:rtl w:val="0"/>
        </w:rPr>
        <w:t xml:space="preserve"> (si parte subito, senza procurement) e </w:t>
      </w:r>
      <w:r w:rsidDel="00000000" w:rsidR="00000000" w:rsidRPr="00000000">
        <w:rPr>
          <w:b w:val="1"/>
          <w:bCs w:val="1"/>
          <w:rtl w:val="0"/>
        </w:rPr>
        <w:t xml:space="preserve">non crea dipendenza da Notung</w:t>
      </w:r>
      <w:r w:rsidDel="00000000" w:rsidR="00000000" w:rsidRPr="00000000">
        <w:rPr>
          <w:rtl w:val="0"/>
        </w:rPr>
        <w:t xml:space="preserve"> come intermediario sui dati (il cliente usa le sue licenze, Notung porta la logica).</w:t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Bdr>
        <w:top w:color="2e5f8a" w:space="1" w:sz="6" w:val="single"/>
      </w:pBdr>
      <w:spacing w:after="0" w:before="200" w:lineRule="auto"/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Pagina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Bdr>
        <w:bottom w:color="2e5f8a" w:space="1" w:sz="6" w:val="single"/>
      </w:pBdr>
      <w:spacing w:after="200" w:before="0" w:lineRule="auto"/>
      <w:rPr/>
    </w:pPr>
    <w:r w:rsidDel="00000000" w:rsidR="00000000" w:rsidRPr="00000000">
      <w:rPr>
        <w:rFonts w:ascii="Arial" w:cs="Arial" w:eastAsia="Arial" w:hAnsi="Arial"/>
        <w:color w:val="2e5f8a"/>
        <w:sz w:val="18"/>
        <w:szCs w:val="18"/>
        <w:rtl w:val="0"/>
      </w:rPr>
      <w:t xml:space="preserve">NOTUNG  ·  Data Provider &amp; Integrazione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  —    Documento interno riservato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Rk/0rMlSNwbpM0AvDIfLpUc0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5ncWQ2d2lybmEycHgyDmgucndpem5qYnIzd3dvMg5oLnphYWw4NXY3Znp4cDgAciExdGIxRi1IUVZILXY4Z243TXlEeE02MmZPbjNmdW1iW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2026-03-31T08:25:17.980Z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