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FE0" w:rsidRDefault="00731885">
      <w:pPr>
        <w:rPr>
          <w:u w:val="single"/>
        </w:rPr>
      </w:pPr>
      <w:r>
        <w:rPr>
          <w:u w:val="single"/>
        </w:rPr>
        <w:t>Materials &amp; Methods</w:t>
      </w:r>
    </w:p>
    <w:p w:rsidR="00463FE0" w:rsidRDefault="00463FE0">
      <w:pPr>
        <w:rPr>
          <w:u w:val="single"/>
        </w:rPr>
      </w:pPr>
    </w:p>
    <w:p w:rsidR="00463FE0" w:rsidRDefault="00731885">
      <w:pPr>
        <w:rPr>
          <w:u w:val="single"/>
        </w:rPr>
      </w:pPr>
      <w:r>
        <w:rPr>
          <w:u w:val="single"/>
        </w:rPr>
        <w:t>Bacterial Growth</w:t>
      </w:r>
    </w:p>
    <w:p w:rsidR="00463FE0" w:rsidRDefault="00463FE0">
      <w:pPr>
        <w:rPr>
          <w:u w:val="single"/>
        </w:rPr>
      </w:pPr>
    </w:p>
    <w:p w:rsidR="00463FE0" w:rsidRDefault="00731885">
      <w:pPr>
        <w:jc w:val="both"/>
      </w:pPr>
      <w:r>
        <w:t>The chosen biological matrix was E.</w:t>
      </w:r>
      <w:r>
        <w:rPr>
          <w:i/>
        </w:rPr>
        <w:t xml:space="preserve">coli </w:t>
      </w:r>
      <w:r>
        <w:t>DH5</w:t>
      </w:r>
      <w:r>
        <w:rPr>
          <w:rFonts w:ascii="Symbol" w:eastAsia="Symbol" w:hAnsi="Symbol" w:cs="Symbol"/>
        </w:rPr>
        <w:t></w:t>
      </w:r>
      <w:r>
        <w:t xml:space="preserve"> cultured in LB broth. The cells were sub-cultured from a seed stock into 50 mL flasks and cultured overnight (180 rpm, </w:t>
      </w:r>
      <w:r>
        <w:rPr>
          <w:rFonts w:cs="AdvScalaLF-R"/>
        </w:rPr>
        <w:t>37</w:t>
      </w:r>
      <w:r>
        <w:rPr>
          <w:rStyle w:val="tgc"/>
          <w:b/>
          <w:bCs/>
        </w:rPr>
        <w:t>°</w:t>
      </w:r>
      <w:r>
        <w:rPr>
          <w:rFonts w:cs="AdvScalaLF-R"/>
        </w:rPr>
        <w:t>C</w:t>
      </w:r>
      <w:r>
        <w:t xml:space="preserve">) as five biological replicates. After 18 h the </w:t>
      </w:r>
      <w:r>
        <w:t>five replicates were pooled and the final OD</w:t>
      </w:r>
      <w:r>
        <w:rPr>
          <w:vertAlign w:val="subscript"/>
        </w:rPr>
        <w:t>600</w:t>
      </w:r>
      <w:r>
        <w:t xml:space="preserve"> was recorded. The two control media were combined.</w:t>
      </w:r>
    </w:p>
    <w:p w:rsidR="00463FE0" w:rsidRDefault="00463FE0">
      <w:pPr>
        <w:jc w:val="both"/>
      </w:pPr>
    </w:p>
    <w:p w:rsidR="00463FE0" w:rsidRDefault="00731885">
      <w:pPr>
        <w:jc w:val="both"/>
        <w:rPr>
          <w:u w:val="single"/>
        </w:rPr>
      </w:pPr>
      <w:r>
        <w:rPr>
          <w:u w:val="single"/>
        </w:rPr>
        <w:t>Metabolite Extraction</w:t>
      </w:r>
    </w:p>
    <w:p w:rsidR="00463FE0" w:rsidRDefault="00463FE0">
      <w:pPr>
        <w:jc w:val="both"/>
        <w:rPr>
          <w:u w:val="single"/>
        </w:rPr>
      </w:pPr>
    </w:p>
    <w:p w:rsidR="00463FE0" w:rsidRDefault="00731885">
      <w:pPr>
        <w:jc w:val="both"/>
      </w:pPr>
      <w:r>
        <w:t>A large batch of samples were extracted and prepared at once. The cell culture was aliquoted (10 mL) into respective centrifuge tubes</w:t>
      </w:r>
      <w:r>
        <w:t xml:space="preserve">. To rapidly quench the metabolism of the cells methanol (60%, 20 mL, </w:t>
      </w:r>
      <w:bookmarkStart w:id="0" w:name="OLE_LINK4"/>
      <w:bookmarkStart w:id="1" w:name="OLE_LINK3"/>
      <w:r>
        <w:t>-48</w:t>
      </w:r>
      <w:bookmarkStart w:id="2" w:name="OLE_LINK2"/>
      <w:bookmarkStart w:id="3" w:name="OLE_LINK1"/>
      <w:r>
        <w:rPr>
          <w:rFonts w:ascii="Symbol" w:eastAsia="Symbol" w:hAnsi="Symbol" w:cs="Symbol"/>
        </w:rPr>
        <w:t></w:t>
      </w:r>
      <w:r>
        <w:t>C</w:t>
      </w:r>
      <w:bookmarkEnd w:id="0"/>
      <w:bookmarkEnd w:id="1"/>
      <w:bookmarkEnd w:id="2"/>
      <w:bookmarkEnd w:id="3"/>
      <w:r>
        <w:t>) was added to each sample. The sample was manually mixed, centrifuged (</w:t>
      </w:r>
      <w:bookmarkStart w:id="4" w:name="OLE_LINK6"/>
      <w:bookmarkStart w:id="5" w:name="OLE_LINK5"/>
      <w:r>
        <w:t xml:space="preserve">4800 </w:t>
      </w:r>
      <w:r>
        <w:rPr>
          <w:i/>
        </w:rPr>
        <w:t>g</w:t>
      </w:r>
      <w:r>
        <w:t>, 4</w:t>
      </w:r>
      <w:r>
        <w:rPr>
          <w:rFonts w:ascii="Symbol" w:eastAsia="Symbol" w:hAnsi="Symbol" w:cs="Symbol"/>
        </w:rPr>
        <w:t></w:t>
      </w:r>
      <w:r>
        <w:t>C, 10 min</w:t>
      </w:r>
      <w:bookmarkEnd w:id="4"/>
      <w:bookmarkEnd w:id="5"/>
      <w:r>
        <w:t>) and the supernatant discarded. To extract the cells, methanol (80%, 1 mL, -48</w:t>
      </w:r>
      <w:r>
        <w:rPr>
          <w:rFonts w:ascii="Symbol" w:eastAsia="Symbol" w:hAnsi="Symbol" w:cs="Symbol"/>
        </w:rPr>
        <w:t></w:t>
      </w:r>
      <w:r>
        <w:t>C) was add</w:t>
      </w:r>
      <w:r>
        <w:t>ed to the cell pellet. The sample was vortex mixed (15 s) to fully disrupt the pellet before transferring the suspension to Eppendorf tubes (2 mL). The cells were then extracted by three freeze thaw cycles (liquid nitrogen for one minute followed by thawin</w:t>
      </w:r>
      <w:r>
        <w:t xml:space="preserve">g on ice). After the final thaw, the sample was vortex mixed (15 s) and centrifuged (2000 </w:t>
      </w:r>
      <w:r>
        <w:rPr>
          <w:i/>
        </w:rPr>
        <w:t>g</w:t>
      </w:r>
      <w:r>
        <w:t>, -9</w:t>
      </w:r>
      <w:r>
        <w:rPr>
          <w:rFonts w:ascii="Symbol" w:eastAsia="Symbol" w:hAnsi="Symbol" w:cs="Symbol"/>
        </w:rPr>
        <w:t></w:t>
      </w:r>
      <w:r>
        <w:t xml:space="preserve">C, </w:t>
      </w:r>
      <w:proofErr w:type="gramStart"/>
      <w:r>
        <w:t>5</w:t>
      </w:r>
      <w:proofErr w:type="gramEnd"/>
      <w:r>
        <w:t xml:space="preserve"> min). The supernatant was transferred to new Eppendorf tubes and dried under vacuum concentration (Eppendorf Concentrator </w:t>
      </w:r>
      <w:proofErr w:type="gramStart"/>
      <w:r>
        <w:t>Plus ,</w:t>
      </w:r>
      <w:proofErr w:type="gramEnd"/>
      <w:r>
        <w:t xml:space="preserve">  5 h, RT). The samples wer</w:t>
      </w:r>
      <w:r>
        <w:t>e stored at -80</w:t>
      </w:r>
      <w:r>
        <w:rPr>
          <w:rStyle w:val="tgc"/>
          <w:b/>
          <w:bCs/>
        </w:rPr>
        <w:t>°</w:t>
      </w:r>
      <w:r>
        <w:rPr>
          <w:rStyle w:val="tgc"/>
          <w:bCs/>
        </w:rPr>
        <w:t>C</w:t>
      </w:r>
      <w:r>
        <w:t xml:space="preserve"> until LC-MS analysis.</w:t>
      </w:r>
    </w:p>
    <w:p w:rsidR="00463FE0" w:rsidRDefault="00463FE0">
      <w:pPr>
        <w:jc w:val="both"/>
      </w:pPr>
    </w:p>
    <w:p w:rsidR="00463FE0" w:rsidRDefault="00731885">
      <w:pPr>
        <w:jc w:val="both"/>
        <w:rPr>
          <w:u w:val="single"/>
        </w:rPr>
      </w:pPr>
      <w:r>
        <w:rPr>
          <w:u w:val="single"/>
        </w:rPr>
        <w:t>Standard Mixes</w:t>
      </w:r>
    </w:p>
    <w:p w:rsidR="00463FE0" w:rsidRDefault="00463FE0">
      <w:pPr>
        <w:jc w:val="both"/>
        <w:rPr>
          <w:u w:val="single"/>
        </w:rPr>
      </w:pPr>
    </w:p>
    <w:p w:rsidR="00463FE0" w:rsidRDefault="00731885">
      <w:pPr>
        <w:jc w:val="both"/>
      </w:pPr>
      <w:r>
        <w:t>Spiking solutions were prepared separately for each of 30 standards at concentration 0.03 – 17.08 mg/mL (depending on solubility and required concentration) in 20% methanol/water (for details see Sup</w:t>
      </w:r>
      <w:r>
        <w:t xml:space="preserve">plement S1; Table 1). In order to achieve final fold concentrations (Supplement S1; Table 2), 3 standard mixes were prepared and used to reconstitute the samples (to a total volume of 200 µl per sample). Each of these standard mixes contained 10 standards </w:t>
      </w:r>
      <w:r>
        <w:t xml:space="preserve">(for composition see Supplementary, Table 1). </w:t>
      </w:r>
    </w:p>
    <w:p w:rsidR="00463FE0" w:rsidRDefault="00463FE0">
      <w:pPr>
        <w:jc w:val="both"/>
      </w:pPr>
    </w:p>
    <w:p w:rsidR="00463FE0" w:rsidRDefault="00463FE0">
      <w:pPr>
        <w:jc w:val="both"/>
      </w:pPr>
    </w:p>
    <w:p w:rsidR="00463FE0" w:rsidRDefault="00731885">
      <w:pPr>
        <w:jc w:val="both"/>
      </w:pPr>
      <w:r>
        <w:t xml:space="preserve">After reconstitution 10 </w:t>
      </w:r>
      <w:r>
        <w:rPr>
          <w:rFonts w:ascii="Symbol" w:eastAsia="Symbol" w:hAnsi="Symbol" w:cs="Symbol"/>
        </w:rPr>
        <w:t></w:t>
      </w:r>
      <w:r>
        <w:t>L of each sample was pooled together to provide a pooled QC sample.</w:t>
      </w:r>
    </w:p>
    <w:p w:rsidR="00463FE0" w:rsidRDefault="00463FE0">
      <w:pPr>
        <w:jc w:val="both"/>
        <w:rPr>
          <w:u w:val="single"/>
        </w:rPr>
      </w:pPr>
    </w:p>
    <w:p w:rsidR="00463FE0" w:rsidRDefault="00731885">
      <w:pPr>
        <w:jc w:val="both"/>
        <w:rPr>
          <w:u w:val="single"/>
        </w:rPr>
      </w:pPr>
      <w:r>
        <w:rPr>
          <w:u w:val="single"/>
        </w:rPr>
        <w:t>Mass Spectrometry</w:t>
      </w:r>
    </w:p>
    <w:p w:rsidR="00463FE0" w:rsidRDefault="00463FE0">
      <w:pPr>
        <w:jc w:val="both"/>
        <w:rPr>
          <w:u w:val="single"/>
        </w:rPr>
      </w:pPr>
    </w:p>
    <w:p w:rsidR="00463FE0" w:rsidRDefault="00731885">
      <w:pPr>
        <w:jc w:val="both"/>
      </w:pPr>
      <w:r>
        <w:t xml:space="preserve">All analysis was conducted on a </w:t>
      </w:r>
      <w:proofErr w:type="spellStart"/>
      <w:r>
        <w:t>QExactive</w:t>
      </w:r>
      <w:proofErr w:type="spellEnd"/>
      <w:r>
        <w:t xml:space="preserve"> </w:t>
      </w:r>
      <w:proofErr w:type="gramStart"/>
      <w:r>
        <w:t>Plus</w:t>
      </w:r>
      <w:proofErr w:type="gramEnd"/>
      <w:r>
        <w:t xml:space="preserve"> equipped with an Ultimate 3000 UHPLC (</w:t>
      </w:r>
      <w:proofErr w:type="spellStart"/>
      <w:r>
        <w:t>Thermo</w:t>
      </w:r>
      <w:proofErr w:type="spellEnd"/>
      <w:r>
        <w:t>, U</w:t>
      </w:r>
      <w:r>
        <w:t xml:space="preserve">K). The UHPLC was equipped with a </w:t>
      </w:r>
      <w:proofErr w:type="spellStart"/>
      <w:r>
        <w:t>Hypersil</w:t>
      </w:r>
      <w:proofErr w:type="spellEnd"/>
      <w:r>
        <w:t xml:space="preserve"> Gold reverse phase column (C18 -2.1 mm x 150 mm; 1.9 </w:t>
      </w:r>
      <w:bookmarkStart w:id="6" w:name="OLE_LINK12"/>
      <w:bookmarkStart w:id="7" w:name="OLE_LINK11"/>
      <w:r>
        <w:rPr>
          <w:rFonts w:ascii="Symbol" w:eastAsia="Symbol" w:hAnsi="Symbol" w:cs="Symbol"/>
        </w:rPr>
        <w:t></w:t>
      </w:r>
      <w:bookmarkEnd w:id="6"/>
      <w:bookmarkEnd w:id="7"/>
      <w:r>
        <w:t>m particle size). The solvents employed were (A) water + 0.1% formic acid and (B) methanol + 0.1 % formic acid. The flow gradient was programmed to equilibrate</w:t>
      </w:r>
      <w:r>
        <w:t xml:space="preserve"> at 95% A for 2 min followed by a linear gradient to 95% B over 8 min and held at 95% B for 2 min before returning to 95% A for 2 min. The column was maintained at 40 </w:t>
      </w:r>
      <w:bookmarkStart w:id="8" w:name="OLE_LINK8"/>
      <w:bookmarkStart w:id="9" w:name="OLE_LINK7"/>
      <w:r>
        <w:rPr>
          <w:rFonts w:ascii="Symbol" w:eastAsia="Symbol" w:hAnsi="Symbol" w:cs="Symbol"/>
        </w:rPr>
        <w:t></w:t>
      </w:r>
      <w:r>
        <w:t>C</w:t>
      </w:r>
      <w:bookmarkEnd w:id="8"/>
      <w:bookmarkEnd w:id="9"/>
      <w:r>
        <w:t xml:space="preserve"> and the samples chilled in the </w:t>
      </w:r>
      <w:proofErr w:type="spellStart"/>
      <w:r>
        <w:t>autosampler</w:t>
      </w:r>
      <w:proofErr w:type="spellEnd"/>
      <w:r>
        <w:t xml:space="preserve"> at 4 </w:t>
      </w:r>
      <w:r>
        <w:rPr>
          <w:rFonts w:ascii="Symbol" w:eastAsia="Symbol" w:hAnsi="Symbol" w:cs="Symbol"/>
        </w:rPr>
        <w:t></w:t>
      </w:r>
      <w:r>
        <w:t xml:space="preserve">C. A sample volume of 5 </w:t>
      </w:r>
      <w:r>
        <w:rPr>
          <w:rFonts w:ascii="Symbol" w:eastAsia="Symbol" w:hAnsi="Symbol" w:cs="Symbol"/>
        </w:rPr>
        <w:t></w:t>
      </w:r>
      <w:r>
        <w:t xml:space="preserve">L was </w:t>
      </w:r>
      <w:r>
        <w:lastRenderedPageBreak/>
        <w:t>inject</w:t>
      </w:r>
      <w:r>
        <w:t>ed onto the column. Blank injections were analysed at the start and end of the analytical batch to assess the background and carryover. In addition pooled QC samples were analysed at every 6</w:t>
      </w:r>
      <w:r>
        <w:rPr>
          <w:vertAlign w:val="superscript"/>
        </w:rPr>
        <w:t>th</w:t>
      </w:r>
      <w:r>
        <w:t xml:space="preserve"> injection to assess for analytical drift over time. Data acquis</w:t>
      </w:r>
      <w:r>
        <w:t>ition was conducted in full MS mode in the scan range of 70-1050 m/z with a resolution of 70,000, an AGC target of 3e</w:t>
      </w:r>
      <w:r>
        <w:rPr>
          <w:vertAlign w:val="superscript"/>
        </w:rPr>
        <w:t>6</w:t>
      </w:r>
      <w:r>
        <w:t xml:space="preserve"> and a maximum integration time of 200 </w:t>
      </w:r>
      <w:proofErr w:type="spellStart"/>
      <w:r>
        <w:t>ms</w:t>
      </w:r>
      <w:proofErr w:type="spellEnd"/>
      <w:r>
        <w:t xml:space="preserve">. </w:t>
      </w:r>
      <w:proofErr w:type="gramStart"/>
      <w:r>
        <w:t>The</w:t>
      </w:r>
      <w:proofErr w:type="gramEnd"/>
      <w:r>
        <w:t xml:space="preserve"> samples were analysed in positive and negative mode in separate acquisitions.</w:t>
      </w:r>
    </w:p>
    <w:p w:rsidR="00463FE0" w:rsidRDefault="00463FE0">
      <w:pPr>
        <w:jc w:val="both"/>
        <w:rPr>
          <w:u w:val="single"/>
        </w:rPr>
      </w:pPr>
    </w:p>
    <w:p w:rsidR="00463FE0" w:rsidRDefault="00463FE0">
      <w:pPr>
        <w:jc w:val="both"/>
      </w:pPr>
    </w:p>
    <w:p w:rsidR="00463FE0" w:rsidRDefault="00463FE0">
      <w:pPr>
        <w:jc w:val="both"/>
        <w:sectPr w:rsidR="00463FE0">
          <w:pgSz w:w="11906" w:h="16838"/>
          <w:pgMar w:top="1440" w:right="1800" w:bottom="1440" w:left="1800" w:header="0" w:footer="0" w:gutter="0"/>
          <w:cols w:space="720"/>
          <w:formProt w:val="0"/>
          <w:docGrid w:linePitch="360" w:charSpace="-6145"/>
        </w:sectPr>
      </w:pPr>
    </w:p>
    <w:p w:rsidR="00463FE0" w:rsidRDefault="00731885">
      <w:pPr>
        <w:ind w:left="1440" w:hanging="1440"/>
        <w:jc w:val="both"/>
        <w:rPr>
          <w:sz w:val="20"/>
          <w:szCs w:val="20"/>
        </w:rPr>
      </w:pPr>
      <w:proofErr w:type="gramStart"/>
      <w:r>
        <w:rPr>
          <w:sz w:val="20"/>
          <w:szCs w:val="20"/>
        </w:rPr>
        <w:lastRenderedPageBreak/>
        <w:t>Table 1.</w:t>
      </w:r>
      <w:proofErr w:type="gramEnd"/>
      <w:r>
        <w:rPr>
          <w:sz w:val="20"/>
          <w:szCs w:val="20"/>
        </w:rPr>
        <w:t xml:space="preserve"> </w:t>
      </w:r>
      <w:r>
        <w:rPr>
          <w:sz w:val="20"/>
          <w:szCs w:val="20"/>
        </w:rPr>
        <w:tab/>
      </w:r>
      <w:proofErr w:type="gramStart"/>
      <w:r>
        <w:rPr>
          <w:sz w:val="20"/>
          <w:szCs w:val="20"/>
        </w:rPr>
        <w:t xml:space="preserve">Composition of the standard mixes, required concentration of the standards in the standard mix and concentration of standards in </w:t>
      </w:r>
      <w:proofErr w:type="spellStart"/>
      <w:r>
        <w:rPr>
          <w:sz w:val="20"/>
          <w:szCs w:val="20"/>
        </w:rPr>
        <w:t>spiking.solutions</w:t>
      </w:r>
      <w:proofErr w:type="spellEnd"/>
      <w:r>
        <w:rPr>
          <w:sz w:val="20"/>
          <w:szCs w:val="20"/>
        </w:rPr>
        <w:t>.</w:t>
      </w:r>
      <w:proofErr w:type="gramEnd"/>
      <w:r>
        <w:rPr>
          <w:sz w:val="20"/>
          <w:szCs w:val="20"/>
        </w:rPr>
        <w:t xml:space="preserve"> </w:t>
      </w:r>
    </w:p>
    <w:tbl>
      <w:tblPr>
        <w:tblW w:w="135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67"/>
        <w:gridCol w:w="30"/>
        <w:gridCol w:w="1670"/>
        <w:gridCol w:w="26"/>
        <w:gridCol w:w="1676"/>
        <w:gridCol w:w="23"/>
        <w:gridCol w:w="1679"/>
        <w:gridCol w:w="21"/>
        <w:gridCol w:w="1680"/>
        <w:gridCol w:w="18"/>
        <w:gridCol w:w="1682"/>
        <w:gridCol w:w="14"/>
        <w:gridCol w:w="1699"/>
        <w:gridCol w:w="1698"/>
      </w:tblGrid>
      <w:tr w:rsidR="00463FE0">
        <w:trPr>
          <w:trHeight w:val="240"/>
        </w:trPr>
        <w:tc>
          <w:tcPr>
            <w:tcW w:w="13581" w:type="dxa"/>
            <w:gridSpan w:val="1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rPr>
                <w:rFonts w:eastAsia="Times New Roman"/>
                <w:b/>
                <w:bCs/>
                <w:sz w:val="20"/>
                <w:szCs w:val="20"/>
              </w:rPr>
            </w:pPr>
            <w:r>
              <w:rPr>
                <w:rFonts w:eastAsia="Times New Roman"/>
                <w:b/>
                <w:bCs/>
                <w:sz w:val="20"/>
                <w:szCs w:val="20"/>
              </w:rPr>
              <w:t>STANDARD MIX 1</w:t>
            </w:r>
          </w:p>
        </w:tc>
      </w:tr>
      <w:tr w:rsidR="00463FE0">
        <w:trPr>
          <w:trHeight w:val="240"/>
        </w:trPr>
        <w:tc>
          <w:tcPr>
            <w:tcW w:w="1695"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rFonts w:eastAsia="Times New Roman"/>
                <w:b/>
                <w:bCs/>
                <w:sz w:val="20"/>
                <w:szCs w:val="20"/>
              </w:rPr>
            </w:pPr>
            <w:r>
              <w:rPr>
                <w:rFonts w:eastAsia="Times New Roman"/>
                <w:b/>
                <w:bCs/>
                <w:sz w:val="20"/>
                <w:szCs w:val="20"/>
              </w:rPr>
              <w:t>ECMDB id</w:t>
            </w:r>
          </w:p>
        </w:tc>
        <w:tc>
          <w:tcPr>
            <w:tcW w:w="1696" w:type="dxa"/>
            <w:gridSpan w:val="2"/>
            <w:tcBorders>
              <w:top w:val="single" w:sz="4" w:space="0" w:color="00000A"/>
              <w:bottom w:val="single" w:sz="4" w:space="0" w:color="00000A"/>
              <w:right w:val="single" w:sz="4" w:space="0" w:color="00000A"/>
            </w:tcBorders>
            <w:shd w:val="clear" w:color="auto" w:fill="auto"/>
            <w:vAlign w:val="bottom"/>
          </w:tcPr>
          <w:p w:rsidR="00463FE0" w:rsidRDefault="00731885">
            <w:pPr>
              <w:jc w:val="center"/>
              <w:rPr>
                <w:rFonts w:eastAsia="Times New Roman"/>
                <w:b/>
                <w:bCs/>
                <w:sz w:val="20"/>
                <w:szCs w:val="20"/>
              </w:rPr>
            </w:pPr>
            <w:r>
              <w:rPr>
                <w:rFonts w:eastAsia="Times New Roman"/>
                <w:b/>
                <w:bCs/>
                <w:sz w:val="20"/>
                <w:szCs w:val="20"/>
              </w:rPr>
              <w:t>Standard</w:t>
            </w:r>
          </w:p>
        </w:tc>
        <w:tc>
          <w:tcPr>
            <w:tcW w:w="1699" w:type="dxa"/>
            <w:gridSpan w:val="2"/>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Concentration in the STD mix [</w:t>
            </w:r>
            <w:proofErr w:type="spellStart"/>
            <w:r>
              <w:rPr>
                <w:rFonts w:eastAsia="Times New Roman"/>
                <w:b/>
                <w:bCs/>
                <w:sz w:val="20"/>
                <w:szCs w:val="20"/>
              </w:rPr>
              <w:t>mM</w:t>
            </w:r>
            <w:proofErr w:type="spellEnd"/>
            <w:r>
              <w:rPr>
                <w:rFonts w:eastAsia="Times New Roman"/>
                <w:b/>
                <w:bCs/>
                <w:sz w:val="20"/>
                <w:szCs w:val="20"/>
              </w:rPr>
              <w:t>]</w:t>
            </w:r>
          </w:p>
        </w:tc>
        <w:tc>
          <w:tcPr>
            <w:tcW w:w="1700" w:type="dxa"/>
            <w:gridSpan w:val="2"/>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 xml:space="preserve">Mass </w:t>
            </w:r>
            <w:r>
              <w:rPr>
                <w:rFonts w:eastAsia="Times New Roman"/>
                <w:b/>
                <w:bCs/>
                <w:sz w:val="20"/>
                <w:szCs w:val="20"/>
              </w:rPr>
              <w:t>concentration [mg/mL]</w:t>
            </w:r>
          </w:p>
        </w:tc>
        <w:tc>
          <w:tcPr>
            <w:tcW w:w="1698" w:type="dxa"/>
            <w:gridSpan w:val="2"/>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Supplier</w:t>
            </w:r>
          </w:p>
        </w:tc>
        <w:tc>
          <w:tcPr>
            <w:tcW w:w="1696" w:type="dxa"/>
            <w:gridSpan w:val="2"/>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Product number</w:t>
            </w:r>
          </w:p>
        </w:tc>
        <w:tc>
          <w:tcPr>
            <w:tcW w:w="1699" w:type="dxa"/>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CAS number</w:t>
            </w:r>
          </w:p>
        </w:tc>
        <w:tc>
          <w:tcPr>
            <w:tcW w:w="1698" w:type="dxa"/>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Spiking solution concentration [mg/mL]</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ECMDB01406</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Nicotinamide</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0.252825615</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0.030856864</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N3376</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98-92-0</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1.760</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ECMDB00034</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Adenine</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0.009480961</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0.001280446</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A8626</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73-24-5</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0.360</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ECMDB00133</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Guanosine</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0.010113025</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0.002862913</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proofErr w:type="spellStart"/>
            <w:r>
              <w:rPr>
                <w:sz w:val="20"/>
                <w:szCs w:val="20"/>
              </w:rPr>
              <w:t>Acros</w:t>
            </w:r>
            <w:proofErr w:type="spellEnd"/>
            <w:r>
              <w:rPr>
                <w:sz w:val="20"/>
                <w:szCs w:val="20"/>
              </w:rPr>
              <w:t xml:space="preserve"> Organics</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411130050</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118-00-3</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0.128</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ECMDB00131</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rFonts w:eastAsia="Times New Roman"/>
                <w:sz w:val="20"/>
                <w:szCs w:val="20"/>
              </w:rPr>
            </w:pPr>
            <w:r>
              <w:rPr>
                <w:rFonts w:eastAsia="Times New Roman"/>
                <w:sz w:val="20"/>
                <w:szCs w:val="20"/>
              </w:rPr>
              <w:t>Glycerol</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0.063206404</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0.005817982</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Fisher Scientific</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G/0650</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56-81-5</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1.504</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ECMDB00283</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D-(-)-Ribose</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0.063206404</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0.009484299</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R1757</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50-69-1</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1.940</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ECMDB00161</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L-Alanine</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15.80160096</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1.407095882</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A-7627</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56-41-7</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8.400</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ECMDB00244</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(-)-Riboflavin</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0.120092167</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0.045171262</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R-4500</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83-88-5</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0.156</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ECMDB04087</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proofErr w:type="spellStart"/>
            <w:r>
              <w:rPr>
                <w:sz w:val="20"/>
                <w:szCs w:val="20"/>
              </w:rPr>
              <w:t>Myo</w:t>
            </w:r>
            <w:proofErr w:type="spellEnd"/>
            <w:r>
              <w:rPr>
                <w:sz w:val="20"/>
                <w:szCs w:val="20"/>
              </w:rPr>
              <w:t>-inositol</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0.063206404</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0.011381159</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I5125</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87-89-8</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1.940</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ECMDB00883</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L-Valine</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25.28256154</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2.960056481</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V-0500</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72-18-4</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10.960</w:t>
            </w:r>
          </w:p>
        </w:tc>
      </w:tr>
      <w:tr w:rsidR="00463FE0">
        <w:trPr>
          <w:trHeight w:val="240"/>
        </w:trPr>
        <w:tc>
          <w:tcPr>
            <w:tcW w:w="1695" w:type="dxa"/>
            <w:gridSpan w:val="2"/>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ECMDB00930</w:t>
            </w:r>
          </w:p>
        </w:tc>
        <w:tc>
          <w:tcPr>
            <w:tcW w:w="1696"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 xml:space="preserve">Trans </w:t>
            </w:r>
            <w:proofErr w:type="spellStart"/>
            <w:r>
              <w:rPr>
                <w:sz w:val="20"/>
                <w:szCs w:val="20"/>
              </w:rPr>
              <w:t>Cinnamic</w:t>
            </w:r>
            <w:proofErr w:type="spellEnd"/>
            <w:r>
              <w:rPr>
                <w:sz w:val="20"/>
                <w:szCs w:val="20"/>
              </w:rPr>
              <w:t xml:space="preserve"> Acid</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0.063206404</w:t>
            </w:r>
          </w:p>
        </w:tc>
        <w:tc>
          <w:tcPr>
            <w:tcW w:w="1700"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0.009357862</w:t>
            </w:r>
          </w:p>
        </w:tc>
        <w:tc>
          <w:tcPr>
            <w:tcW w:w="1698"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696"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133760-0</w:t>
            </w:r>
          </w:p>
        </w:tc>
        <w:tc>
          <w:tcPr>
            <w:tcW w:w="1699"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140-10-3</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0.076</w:t>
            </w:r>
          </w:p>
        </w:tc>
      </w:tr>
      <w:tr w:rsidR="00463FE0">
        <w:trPr>
          <w:trHeight w:val="240"/>
        </w:trPr>
        <w:tc>
          <w:tcPr>
            <w:tcW w:w="13581" w:type="dxa"/>
            <w:gridSpan w:val="14"/>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rFonts w:eastAsia="Times New Roman"/>
                <w:b/>
                <w:bCs/>
                <w:sz w:val="20"/>
                <w:szCs w:val="20"/>
              </w:rPr>
            </w:pPr>
            <w:r>
              <w:rPr>
                <w:rFonts w:eastAsia="Times New Roman"/>
                <w:b/>
                <w:bCs/>
                <w:sz w:val="20"/>
                <w:szCs w:val="20"/>
              </w:rPr>
              <w:t>STANDARD MIX 2</w:t>
            </w:r>
          </w:p>
        </w:tc>
      </w:tr>
      <w:tr w:rsidR="00463FE0">
        <w:trPr>
          <w:trHeight w:val="240"/>
        </w:trPr>
        <w:tc>
          <w:tcPr>
            <w:tcW w:w="16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rFonts w:eastAsia="Times New Roman"/>
                <w:b/>
                <w:bCs/>
                <w:sz w:val="20"/>
                <w:szCs w:val="20"/>
              </w:rPr>
            </w:pPr>
            <w:r>
              <w:rPr>
                <w:rFonts w:eastAsia="Times New Roman"/>
                <w:b/>
                <w:bCs/>
                <w:sz w:val="20"/>
                <w:szCs w:val="20"/>
              </w:rPr>
              <w:t>ECMDB id</w:t>
            </w:r>
          </w:p>
        </w:tc>
        <w:tc>
          <w:tcPr>
            <w:tcW w:w="1699" w:type="dxa"/>
            <w:gridSpan w:val="2"/>
            <w:tcBorders>
              <w:top w:val="single" w:sz="4" w:space="0" w:color="00000A"/>
              <w:bottom w:val="single" w:sz="4" w:space="0" w:color="00000A"/>
              <w:right w:val="single" w:sz="4" w:space="0" w:color="00000A"/>
            </w:tcBorders>
            <w:shd w:val="clear" w:color="auto" w:fill="auto"/>
            <w:vAlign w:val="bottom"/>
          </w:tcPr>
          <w:p w:rsidR="00463FE0" w:rsidRDefault="00731885">
            <w:pPr>
              <w:jc w:val="center"/>
              <w:rPr>
                <w:rFonts w:eastAsia="Times New Roman"/>
                <w:b/>
                <w:bCs/>
                <w:sz w:val="20"/>
                <w:szCs w:val="20"/>
              </w:rPr>
            </w:pPr>
            <w:r>
              <w:rPr>
                <w:rFonts w:eastAsia="Times New Roman"/>
                <w:b/>
                <w:bCs/>
                <w:sz w:val="20"/>
                <w:szCs w:val="20"/>
              </w:rPr>
              <w:t>Standard</w:t>
            </w:r>
          </w:p>
        </w:tc>
        <w:tc>
          <w:tcPr>
            <w:tcW w:w="1702" w:type="dxa"/>
            <w:gridSpan w:val="2"/>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Concentration in the STD mix [</w:t>
            </w:r>
            <w:proofErr w:type="spellStart"/>
            <w:r>
              <w:rPr>
                <w:rFonts w:eastAsia="Times New Roman"/>
                <w:b/>
                <w:bCs/>
                <w:sz w:val="20"/>
                <w:szCs w:val="20"/>
              </w:rPr>
              <w:t>mM</w:t>
            </w:r>
            <w:proofErr w:type="spellEnd"/>
            <w:r>
              <w:rPr>
                <w:rFonts w:eastAsia="Times New Roman"/>
                <w:b/>
                <w:bCs/>
                <w:sz w:val="20"/>
                <w:szCs w:val="20"/>
              </w:rPr>
              <w:t>]</w:t>
            </w:r>
          </w:p>
        </w:tc>
        <w:tc>
          <w:tcPr>
            <w:tcW w:w="1702" w:type="dxa"/>
            <w:gridSpan w:val="2"/>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Mass concentration [mg/mL]</w:t>
            </w:r>
          </w:p>
        </w:tc>
        <w:tc>
          <w:tcPr>
            <w:tcW w:w="1701" w:type="dxa"/>
            <w:gridSpan w:val="2"/>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Supplier</w:t>
            </w:r>
          </w:p>
        </w:tc>
        <w:tc>
          <w:tcPr>
            <w:tcW w:w="1700" w:type="dxa"/>
            <w:gridSpan w:val="2"/>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Product number</w:t>
            </w:r>
          </w:p>
        </w:tc>
        <w:tc>
          <w:tcPr>
            <w:tcW w:w="1713" w:type="dxa"/>
            <w:gridSpan w:val="2"/>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CAS number</w:t>
            </w:r>
          </w:p>
        </w:tc>
        <w:tc>
          <w:tcPr>
            <w:tcW w:w="1698" w:type="dxa"/>
            <w:tcBorders>
              <w:top w:val="single" w:sz="4" w:space="0" w:color="00000A"/>
              <w:bottom w:val="single" w:sz="4" w:space="0" w:color="00000A"/>
              <w:right w:val="single" w:sz="4" w:space="0" w:color="00000A"/>
            </w:tcBorders>
            <w:shd w:val="clear" w:color="auto" w:fill="auto"/>
          </w:tcPr>
          <w:p w:rsidR="00463FE0" w:rsidRDefault="00731885">
            <w:pPr>
              <w:jc w:val="center"/>
              <w:rPr>
                <w:rFonts w:eastAsia="Times New Roman"/>
                <w:b/>
                <w:bCs/>
                <w:sz w:val="20"/>
                <w:szCs w:val="20"/>
              </w:rPr>
            </w:pPr>
            <w:r>
              <w:rPr>
                <w:rFonts w:eastAsia="Times New Roman"/>
                <w:b/>
                <w:bCs/>
                <w:sz w:val="20"/>
                <w:szCs w:val="20"/>
              </w:rPr>
              <w:t xml:space="preserve">Spiking solution </w:t>
            </w:r>
            <w:r>
              <w:rPr>
                <w:rFonts w:eastAsia="Times New Roman"/>
                <w:b/>
                <w:bCs/>
                <w:sz w:val="20"/>
                <w:szCs w:val="20"/>
              </w:rPr>
              <w:t>concentration [mg/mL]</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ECMDB00044</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L-Ascorbic acid</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0.063206404</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0.011126355</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BDH</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103033E</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50-81-7</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2.056</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ECMDB04073</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D-(+)-Glucuronic acid</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0.063206404</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0.012264738</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proofErr w:type="spellStart"/>
            <w:r>
              <w:rPr>
                <w:sz w:val="20"/>
                <w:szCs w:val="20"/>
              </w:rPr>
              <w:t>Acros</w:t>
            </w:r>
            <w:proofErr w:type="spellEnd"/>
            <w:r>
              <w:rPr>
                <w:sz w:val="20"/>
                <w:szCs w:val="20"/>
              </w:rPr>
              <w:t xml:space="preserve"> Organics</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204570250</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14984-34-0</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2.000</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ECMDB00122</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D(+)-Glucose</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0.063206404</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0.011381159</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G8270</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50-99-7</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2.328</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ECMDB00176</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proofErr w:type="spellStart"/>
            <w:r>
              <w:rPr>
                <w:sz w:val="20"/>
                <w:szCs w:val="20"/>
              </w:rPr>
              <w:t>Fumaric</w:t>
            </w:r>
            <w:proofErr w:type="spellEnd"/>
            <w:r>
              <w:rPr>
                <w:sz w:val="20"/>
                <w:szCs w:val="20"/>
              </w:rPr>
              <w:t xml:space="preserve"> Acid</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0.695270442</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0.080658991</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24074-5</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110-17-8</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2.100</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ECMDB00696</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L-Methionine</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0.884889654</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0.131893731</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M9625</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63-68-3</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2.188</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ECMDB00167</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L-Threonine</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1.137715269</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0.135454381</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T-8625</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72-19-5</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1.976</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ECMDB00574</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L-Cysteine</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1.289410638</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0.156044152</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C-7352</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52-90-4</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2.024</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ECMDB00296</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Uridine</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13.96861525</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3.409313444</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U-3750</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58-96-8</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9.952</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ECMDB00517</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L-Arginine</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0.366597142</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0.063828843</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11009</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74-79-3</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1.004</w:t>
            </w:r>
          </w:p>
        </w:tc>
      </w:tr>
      <w:tr w:rsidR="00463FE0">
        <w:trPr>
          <w:trHeight w:val="240"/>
        </w:trPr>
        <w:tc>
          <w:tcPr>
            <w:tcW w:w="1666" w:type="dxa"/>
            <w:tcBorders>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rPr>
                <w:color w:val="000000"/>
                <w:sz w:val="20"/>
                <w:szCs w:val="20"/>
              </w:rPr>
            </w:pPr>
            <w:r>
              <w:rPr>
                <w:sz w:val="20"/>
                <w:szCs w:val="20"/>
              </w:rPr>
              <w:t>ECMDB00187</w:t>
            </w:r>
          </w:p>
        </w:tc>
        <w:tc>
          <w:tcPr>
            <w:tcW w:w="1699"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L-Serine</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0.429803546</w:t>
            </w:r>
          </w:p>
        </w:tc>
        <w:tc>
          <w:tcPr>
            <w:tcW w:w="1702" w:type="dxa"/>
            <w:gridSpan w:val="2"/>
            <w:tcBorders>
              <w:bottom w:val="single" w:sz="4" w:space="0" w:color="00000A"/>
              <w:right w:val="single" w:sz="4" w:space="0" w:color="00000A"/>
            </w:tcBorders>
            <w:shd w:val="clear" w:color="auto" w:fill="auto"/>
            <w:vAlign w:val="bottom"/>
          </w:tcPr>
          <w:p w:rsidR="00463FE0" w:rsidRDefault="00731885">
            <w:pPr>
              <w:jc w:val="center"/>
              <w:rPr>
                <w:color w:val="000000"/>
                <w:sz w:val="20"/>
                <w:szCs w:val="20"/>
              </w:rPr>
            </w:pPr>
            <w:r>
              <w:rPr>
                <w:sz w:val="20"/>
                <w:szCs w:val="20"/>
              </w:rPr>
              <w:t>0.045147679</w:t>
            </w:r>
          </w:p>
        </w:tc>
        <w:tc>
          <w:tcPr>
            <w:tcW w:w="1701"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Sigma</w:t>
            </w:r>
          </w:p>
        </w:tc>
        <w:tc>
          <w:tcPr>
            <w:tcW w:w="1700"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S-4500</w:t>
            </w:r>
          </w:p>
        </w:tc>
        <w:tc>
          <w:tcPr>
            <w:tcW w:w="1713" w:type="dxa"/>
            <w:gridSpan w:val="2"/>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56-45-1</w:t>
            </w:r>
          </w:p>
        </w:tc>
        <w:tc>
          <w:tcPr>
            <w:tcW w:w="1698" w:type="dxa"/>
            <w:tcBorders>
              <w:bottom w:val="single" w:sz="4" w:space="0" w:color="00000A"/>
              <w:right w:val="single" w:sz="4" w:space="0" w:color="00000A"/>
            </w:tcBorders>
            <w:shd w:val="clear" w:color="auto" w:fill="auto"/>
          </w:tcPr>
          <w:p w:rsidR="00463FE0" w:rsidRDefault="00731885">
            <w:pPr>
              <w:jc w:val="center"/>
              <w:rPr>
                <w:sz w:val="20"/>
                <w:szCs w:val="20"/>
              </w:rPr>
            </w:pPr>
            <w:r>
              <w:rPr>
                <w:sz w:val="20"/>
                <w:szCs w:val="20"/>
              </w:rPr>
              <w:t>2.008</w:t>
            </w:r>
          </w:p>
        </w:tc>
      </w:tr>
    </w:tbl>
    <w:p w:rsidR="00463FE0" w:rsidRDefault="00463FE0">
      <w:pPr>
        <w:rPr>
          <w:sz w:val="20"/>
          <w:szCs w:val="20"/>
        </w:rPr>
      </w:pPr>
    </w:p>
    <w:p w:rsidR="00463FE0" w:rsidRDefault="00731885">
      <w:pPr>
        <w:jc w:val="both"/>
      </w:pPr>
      <w:r>
        <w:rPr>
          <w:noProof/>
          <w:lang w:eastAsia="en-GB"/>
        </w:rPr>
        <mc:AlternateContent>
          <mc:Choice Requires="wps">
            <w:drawing>
              <wp:anchor distT="0" distB="0" distL="114300" distR="114300" simplePos="0" relativeHeight="2" behindDoc="0" locked="0" layoutInCell="1" allowOverlap="1">
                <wp:simplePos x="0" y="0"/>
                <wp:positionH relativeFrom="margin">
                  <wp:posOffset>-71755</wp:posOffset>
                </wp:positionH>
                <wp:positionV relativeFrom="paragraph">
                  <wp:posOffset>-40640</wp:posOffset>
                </wp:positionV>
                <wp:extent cx="8620125" cy="231140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8620125" cy="2311400"/>
                        </a:xfrm>
                        <a:prstGeom prst="rect">
                          <a:avLst/>
                        </a:prstGeom>
                      </wps:spPr>
                      <wps:txbx>
                        <w:txbxContent>
                          <w:tbl>
                            <w:tblPr>
                              <w:tblW w:w="13575"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69"/>
                              <w:gridCol w:w="1702"/>
                              <w:gridCol w:w="1701"/>
                              <w:gridCol w:w="1701"/>
                              <w:gridCol w:w="1701"/>
                              <w:gridCol w:w="1701"/>
                              <w:gridCol w:w="1701"/>
                              <w:gridCol w:w="1699"/>
                            </w:tblGrid>
                            <w:tr w:rsidR="00463FE0">
                              <w:trPr>
                                <w:trHeight w:val="240"/>
                              </w:trPr>
                              <w:tc>
                                <w:tcPr>
                                  <w:tcW w:w="13573" w:type="dxa"/>
                                  <w:gridSpan w:val="8"/>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rFonts w:eastAsia="Times New Roman"/>
                                      <w:b/>
                                      <w:bCs/>
                                      <w:sz w:val="20"/>
                                      <w:szCs w:val="20"/>
                                    </w:rPr>
                                    <w:t>STANDARD MIX 3</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rFonts w:eastAsia="Times New Roman"/>
                                      <w:b/>
                                      <w:bCs/>
                                      <w:sz w:val="20"/>
                                      <w:szCs w:val="20"/>
                                    </w:rPr>
                                    <w:t>ECMDB 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rFonts w:eastAsia="Times New Roman"/>
                                      <w:b/>
                                      <w:bCs/>
                                      <w:sz w:val="20"/>
                                      <w:szCs w:val="20"/>
                                    </w:rPr>
                                    <w:t>Standard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Concentration in the STD mix [</w:t>
                                  </w:r>
                                  <w:proofErr w:type="spellStart"/>
                                  <w:r>
                                    <w:rPr>
                                      <w:rFonts w:eastAsia="Times New Roman"/>
                                      <w:b/>
                                      <w:bCs/>
                                      <w:sz w:val="20"/>
                                      <w:szCs w:val="20"/>
                                    </w:rPr>
                                    <w:t>mM</w:t>
                                  </w:r>
                                  <w:proofErr w:type="spellEnd"/>
                                  <w:r>
                                    <w:rPr>
                                      <w:rFonts w:eastAsia="Times New Roman"/>
                                      <w:b/>
                                      <w:bCs/>
                                      <w:sz w:val="20"/>
                                      <w:szCs w:val="20"/>
                                    </w:rPr>
                                    <w:t>]</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Mass concentration [mg/mL]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Supplier</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Product number</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CAS number</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Spiking solution concentration [mg/mL]</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ECMDB00094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Citric acid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12.64128077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2.427467255</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BDH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10081314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77-92-9</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17.084</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ECMDB00121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Folic Acid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0.063206404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sidRPr="00731885">
                                    <w:rPr>
                                      <w:sz w:val="20"/>
                                      <w:szCs w:val="20"/>
                                    </w:rPr>
                                    <w:t>0.013</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F7876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59-30-3</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0.033</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ECMDB00929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L-Tryptophan</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0.075847685</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0.015479745</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T-0254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73-22-3</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0.396</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ECMDB00630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Cytosine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0.088488965</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0.009826103</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C3506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71-30-7</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0.908</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ECMDB00687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L-Leucine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1.390540884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0.182292441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proofErr w:type="spellStart"/>
                                  <w:r>
                                    <w:rPr>
                                      <w:sz w:val="20"/>
                                      <w:szCs w:val="20"/>
                                    </w:rPr>
                                    <w:t>Acros</w:t>
                                  </w:r>
                                  <w:proofErr w:type="spellEnd"/>
                                  <w:r>
                                    <w:rPr>
                                      <w:sz w:val="20"/>
                                      <w:szCs w:val="20"/>
                                    </w:rPr>
                                    <w:t xml:space="preserve"> Organics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125121000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61-90-5</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4.548</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ECMDB00162</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L-Proline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2.401843346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0.27636409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P0380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147-85-3</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4.428</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ECMDB00168</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L-Asparagine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3.229847236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0.426512607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A-0884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70-47-3</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1.992</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ECMDB00904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w:t>
                                  </w:r>
                                  <w:proofErr w:type="spellStart"/>
                                  <w:r>
                                    <w:rPr>
                                      <w:sz w:val="20"/>
                                      <w:szCs w:val="20"/>
                                    </w:rPr>
                                    <w:t>Citrulline</w:t>
                                  </w:r>
                                  <w:proofErr w:type="spellEnd"/>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3.261450438</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0.571065919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C-7629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372-75-8</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7.876</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ECMDB00159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L-Phenylalanine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0.113771527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0.018781287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P2126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63-91-2</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0.860</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ECMDB00300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Uracil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0.001120868</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U-0750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66-22-8</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3.774</w:t>
                                  </w:r>
                                </w:p>
                              </w:tc>
                            </w:tr>
                          </w:tbl>
                          <w:p w:rsidR="00000000" w:rsidRDefault="00731885"/>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5.65pt;margin-top:-3.2pt;width:678.75pt;height:182pt;z-index: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" filled="f" stroked="f">
                <v:textbox style="mso-fit-shape-to-text:t" inset="0,0,0,0">
                  <w:txbxContent>
                    <w:tbl>
                      <w:tblPr>
                        <w:tblW w:w="13575"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69"/>
                        <w:gridCol w:w="1702"/>
                        <w:gridCol w:w="1701"/>
                        <w:gridCol w:w="1701"/>
                        <w:gridCol w:w="1701"/>
                        <w:gridCol w:w="1701"/>
                        <w:gridCol w:w="1701"/>
                        <w:gridCol w:w="1699"/>
                      </w:tblGrid>
                      <w:tr w:rsidR="00463FE0">
                        <w:trPr>
                          <w:trHeight w:val="240"/>
                        </w:trPr>
                        <w:tc>
                          <w:tcPr>
                            <w:tcW w:w="13573" w:type="dxa"/>
                            <w:gridSpan w:val="8"/>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rFonts w:eastAsia="Times New Roman"/>
                                <w:b/>
                                <w:bCs/>
                                <w:sz w:val="20"/>
                                <w:szCs w:val="20"/>
                              </w:rPr>
                              <w:t>STANDARD MIX 3</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rFonts w:eastAsia="Times New Roman"/>
                                <w:b/>
                                <w:bCs/>
                                <w:sz w:val="20"/>
                                <w:szCs w:val="20"/>
                              </w:rPr>
                              <w:t>ECMDB 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rFonts w:eastAsia="Times New Roman"/>
                                <w:b/>
                                <w:bCs/>
                                <w:sz w:val="20"/>
                                <w:szCs w:val="20"/>
                              </w:rPr>
                              <w:t>Standard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Concentration in the STD mix [</w:t>
                            </w:r>
                            <w:proofErr w:type="spellStart"/>
                            <w:r>
                              <w:rPr>
                                <w:rFonts w:eastAsia="Times New Roman"/>
                                <w:b/>
                                <w:bCs/>
                                <w:sz w:val="20"/>
                                <w:szCs w:val="20"/>
                              </w:rPr>
                              <w:t>mM</w:t>
                            </w:r>
                            <w:proofErr w:type="spellEnd"/>
                            <w:r>
                              <w:rPr>
                                <w:rFonts w:eastAsia="Times New Roman"/>
                                <w:b/>
                                <w:bCs/>
                                <w:sz w:val="20"/>
                                <w:szCs w:val="20"/>
                              </w:rPr>
                              <w:t>]</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Mass concentration [mg/mL]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Supplier</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Product number</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CAS number</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rFonts w:eastAsia="Times New Roman"/>
                                <w:b/>
                                <w:bCs/>
                                <w:sz w:val="20"/>
                                <w:szCs w:val="20"/>
                              </w:rPr>
                              <w:t>Spiking solution concentration [mg/mL]</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ECMDB00094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Citric acid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12.64128077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2.427467255</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BDH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10081314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77-92-9</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17.084</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ECMDB00121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Folic Acid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0.063206404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sidRPr="00731885">
                              <w:rPr>
                                <w:sz w:val="20"/>
                                <w:szCs w:val="20"/>
                              </w:rPr>
                              <w:t>0.013</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F7876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59-30-3</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0.033</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ECMDB00929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L-Tryptophan</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0.075847685</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0.015479745</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T-0254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73-22-3</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0.396</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ECMDB00630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Cytosine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0.088488965</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0.009826103</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C3506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71-30-7</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0.908</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ECMDB00687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L-Leucine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1.390540884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0.182292441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proofErr w:type="spellStart"/>
                            <w:r>
                              <w:rPr>
                                <w:sz w:val="20"/>
                                <w:szCs w:val="20"/>
                              </w:rPr>
                              <w:t>Acros</w:t>
                            </w:r>
                            <w:proofErr w:type="spellEnd"/>
                            <w:r>
                              <w:rPr>
                                <w:sz w:val="20"/>
                                <w:szCs w:val="20"/>
                              </w:rPr>
                              <w:t xml:space="preserve"> Organics</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125121000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61-90-5</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4.548</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ECMDB00162</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L-Proline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2.401843346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0.27636409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P0380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147-85-3</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4.428</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ECMDB00168</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L-Asparagine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3.229847236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0.426512607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A-0884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70-47-3</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1.992</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ECMDB00904</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w:t>
                            </w:r>
                            <w:proofErr w:type="spellStart"/>
                            <w:r>
                              <w:rPr>
                                <w:sz w:val="20"/>
                                <w:szCs w:val="20"/>
                              </w:rPr>
                              <w:t>Citrulline</w:t>
                            </w:r>
                            <w:proofErr w:type="spellEnd"/>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3.261450438</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0.571065919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C-7629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372-75-8</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7.876</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ECMDB00159</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L-Phenylalanine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0.113771527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0.018781287</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P2126</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63-91-2</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0.860</w:t>
                            </w:r>
                          </w:p>
                        </w:tc>
                      </w:tr>
                      <w:tr w:rsidR="00463FE0">
                        <w:trPr>
                          <w:trHeight w:val="240"/>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ECMDB00300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Uracil</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463FE0" w:rsidRDefault="00731885">
                            <w:pPr>
                              <w:jc w:val="center"/>
                            </w:pPr>
                            <w:r>
                              <w:rPr>
                                <w:sz w:val="20"/>
                                <w:szCs w:val="20"/>
                              </w:rPr>
                              <w:t>0.001120868</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Sigma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U-0750</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66-22-8</w:t>
                            </w: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63FE0" w:rsidRDefault="00731885">
                            <w:pPr>
                              <w:jc w:val="center"/>
                            </w:pPr>
                            <w:r>
                              <w:rPr>
                                <w:sz w:val="20"/>
                                <w:szCs w:val="20"/>
                              </w:rPr>
                              <w:t>3.774</w:t>
                            </w:r>
                          </w:p>
                        </w:tc>
                      </w:tr>
                    </w:tbl>
                    <w:p w:rsidR="00000000" w:rsidRDefault="00731885"/>
                  </w:txbxContent>
                </v:textbox>
                <w10:wrap type="square" anchorx="margin"/>
              </v:shape>
            </w:pict>
          </mc:Fallback>
        </mc:AlternateContent>
      </w:r>
    </w:p>
    <w:p w:rsidR="00463FE0" w:rsidRDefault="00463FE0">
      <w:pPr>
        <w:jc w:val="both"/>
      </w:pPr>
    </w:p>
    <w:p w:rsidR="00463FE0" w:rsidRDefault="00731885">
      <w:pPr>
        <w:jc w:val="both"/>
        <w:rPr>
          <w:sz w:val="20"/>
          <w:szCs w:val="20"/>
        </w:rPr>
      </w:pPr>
      <w:proofErr w:type="gramStart"/>
      <w:r>
        <w:rPr>
          <w:sz w:val="20"/>
          <w:szCs w:val="20"/>
        </w:rPr>
        <w:t>Ta</w:t>
      </w:r>
      <w:bookmarkStart w:id="10" w:name="_GoBack"/>
      <w:bookmarkEnd w:id="10"/>
      <w:r>
        <w:rPr>
          <w:sz w:val="20"/>
          <w:szCs w:val="20"/>
        </w:rPr>
        <w:t>ble 2.</w:t>
      </w:r>
      <w:proofErr w:type="gramEnd"/>
      <w:r>
        <w:rPr>
          <w:sz w:val="20"/>
          <w:szCs w:val="20"/>
        </w:rPr>
        <w:t xml:space="preserve"> </w:t>
      </w:r>
      <w:r>
        <w:rPr>
          <w:sz w:val="20"/>
          <w:szCs w:val="20"/>
        </w:rPr>
        <w:tab/>
      </w:r>
      <w:proofErr w:type="gramStart"/>
      <w:r>
        <w:rPr>
          <w:sz w:val="20"/>
          <w:szCs w:val="20"/>
        </w:rPr>
        <w:t>Setting of reconstitution of bacterial extracts.</w:t>
      </w:r>
      <w:proofErr w:type="gramEnd"/>
    </w:p>
    <w:p w:rsidR="00463FE0" w:rsidRDefault="00463FE0">
      <w:pPr>
        <w:jc w:val="both"/>
        <w:rPr>
          <w:sz w:val="20"/>
          <w:szCs w:val="20"/>
        </w:rPr>
      </w:pPr>
    </w:p>
    <w:tbl>
      <w:tblPr>
        <w:tblW w:w="7720" w:type="dxa"/>
        <w:tblInd w:w="-5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600" w:firstRow="0" w:lastRow="0" w:firstColumn="0" w:lastColumn="0" w:noHBand="1" w:noVBand="1"/>
      </w:tblPr>
      <w:tblGrid>
        <w:gridCol w:w="2344"/>
        <w:gridCol w:w="1792"/>
        <w:gridCol w:w="1792"/>
        <w:gridCol w:w="1792"/>
      </w:tblGrid>
      <w:tr w:rsidR="00463FE0">
        <w:trPr>
          <w:trHeight w:val="222"/>
        </w:trPr>
        <w:tc>
          <w:tcPr>
            <w:tcW w:w="234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463FE0">
            <w:pPr>
              <w:widowControl w:val="0"/>
              <w:rPr>
                <w:sz w:val="20"/>
                <w:szCs w:val="20"/>
              </w:rPr>
            </w:pP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b/>
                <w:sz w:val="20"/>
                <w:szCs w:val="20"/>
              </w:rPr>
            </w:pPr>
            <w:r>
              <w:rPr>
                <w:b/>
                <w:sz w:val="20"/>
                <w:szCs w:val="20"/>
              </w:rPr>
              <w:t>Standard mix 1</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b/>
                <w:sz w:val="20"/>
                <w:szCs w:val="20"/>
              </w:rPr>
            </w:pPr>
            <w:r>
              <w:rPr>
                <w:b/>
                <w:sz w:val="20"/>
                <w:szCs w:val="20"/>
              </w:rPr>
              <w:t>Standard mix 2</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b/>
                <w:sz w:val="20"/>
                <w:szCs w:val="20"/>
              </w:rPr>
            </w:pPr>
            <w:r>
              <w:rPr>
                <w:b/>
                <w:sz w:val="20"/>
                <w:szCs w:val="20"/>
              </w:rPr>
              <w:t>Standard  mix 3</w:t>
            </w:r>
          </w:p>
        </w:tc>
      </w:tr>
      <w:tr w:rsidR="00463FE0">
        <w:trPr>
          <w:trHeight w:val="165"/>
        </w:trPr>
        <w:tc>
          <w:tcPr>
            <w:tcW w:w="234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b/>
                <w:sz w:val="20"/>
                <w:szCs w:val="20"/>
              </w:rPr>
            </w:pPr>
            <w:r>
              <w:rPr>
                <w:b/>
                <w:sz w:val="20"/>
                <w:szCs w:val="20"/>
              </w:rPr>
              <w:t>group A</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3 Fold</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5 Fold</w:t>
            </w:r>
          </w:p>
        </w:tc>
      </w:tr>
      <w:tr w:rsidR="00463FE0">
        <w:trPr>
          <w:trHeight w:val="165"/>
        </w:trPr>
        <w:tc>
          <w:tcPr>
            <w:tcW w:w="234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b/>
                <w:sz w:val="20"/>
                <w:szCs w:val="20"/>
              </w:rPr>
            </w:pPr>
            <w:r>
              <w:rPr>
                <w:b/>
                <w:sz w:val="20"/>
                <w:szCs w:val="20"/>
              </w:rPr>
              <w:t>group B</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 xml:space="preserve">3 Fold </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5 Fold</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w:t>
            </w:r>
          </w:p>
        </w:tc>
      </w:tr>
      <w:tr w:rsidR="00463FE0">
        <w:trPr>
          <w:trHeight w:val="173"/>
        </w:trPr>
        <w:tc>
          <w:tcPr>
            <w:tcW w:w="234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b/>
                <w:sz w:val="20"/>
                <w:szCs w:val="20"/>
              </w:rPr>
            </w:pPr>
            <w:r>
              <w:rPr>
                <w:b/>
                <w:sz w:val="20"/>
                <w:szCs w:val="20"/>
              </w:rPr>
              <w:t>group C</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5 Fold</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3 Fold</w:t>
            </w:r>
          </w:p>
        </w:tc>
      </w:tr>
      <w:tr w:rsidR="00463FE0">
        <w:trPr>
          <w:trHeight w:val="165"/>
        </w:trPr>
        <w:tc>
          <w:tcPr>
            <w:tcW w:w="234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b/>
                <w:sz w:val="20"/>
                <w:szCs w:val="20"/>
              </w:rPr>
            </w:pPr>
            <w:r>
              <w:rPr>
                <w:b/>
                <w:sz w:val="20"/>
                <w:szCs w:val="20"/>
              </w:rPr>
              <w:t>group D  / Controls</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w:t>
            </w:r>
          </w:p>
        </w:tc>
        <w:tc>
          <w:tcPr>
            <w:tcW w:w="179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463FE0" w:rsidRDefault="00731885">
            <w:pPr>
              <w:widowControl w:val="0"/>
              <w:jc w:val="center"/>
              <w:rPr>
                <w:sz w:val="20"/>
                <w:szCs w:val="20"/>
              </w:rPr>
            </w:pPr>
            <w:r>
              <w:rPr>
                <w:sz w:val="20"/>
                <w:szCs w:val="20"/>
              </w:rPr>
              <w:t>--</w:t>
            </w:r>
          </w:p>
        </w:tc>
      </w:tr>
    </w:tbl>
    <w:p w:rsidR="00463FE0" w:rsidRDefault="00463FE0">
      <w:pPr>
        <w:jc w:val="both"/>
      </w:pPr>
    </w:p>
    <w:p w:rsidR="00463FE0" w:rsidRDefault="00463FE0">
      <w:pPr>
        <w:jc w:val="both"/>
      </w:pPr>
    </w:p>
    <w:sectPr w:rsidR="00463FE0">
      <w:pgSz w:w="16838" w:h="11906" w:orient="landscape"/>
      <w:pgMar w:top="1588" w:right="1440" w:bottom="1797"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dvScalaLF-R">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E0"/>
    <w:rsid w:val="00463FE0"/>
    <w:rsid w:val="00731885"/>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46582E"/>
    <w:rPr>
      <w:sz w:val="16"/>
      <w:szCs w:val="16"/>
    </w:rPr>
  </w:style>
  <w:style w:type="character" w:customStyle="1" w:styleId="CommentTextChar">
    <w:name w:val="Comment Text Char"/>
    <w:basedOn w:val="DefaultParagraphFont"/>
    <w:link w:val="CommentText"/>
    <w:uiPriority w:val="99"/>
    <w:semiHidden/>
    <w:qFormat/>
    <w:rsid w:val="0046582E"/>
    <w:rPr>
      <w:sz w:val="20"/>
      <w:szCs w:val="20"/>
    </w:rPr>
  </w:style>
  <w:style w:type="character" w:customStyle="1" w:styleId="CommentSubjectChar">
    <w:name w:val="Comment Subject Char"/>
    <w:basedOn w:val="CommentTextChar"/>
    <w:link w:val="CommentSubject"/>
    <w:uiPriority w:val="99"/>
    <w:semiHidden/>
    <w:qFormat/>
    <w:rsid w:val="0046582E"/>
    <w:rPr>
      <w:b/>
      <w:bCs/>
      <w:sz w:val="20"/>
      <w:szCs w:val="20"/>
    </w:rPr>
  </w:style>
  <w:style w:type="character" w:customStyle="1" w:styleId="BalloonTextChar">
    <w:name w:val="Balloon Text Char"/>
    <w:basedOn w:val="DefaultParagraphFont"/>
    <w:link w:val="BalloonText"/>
    <w:uiPriority w:val="99"/>
    <w:semiHidden/>
    <w:qFormat/>
    <w:rsid w:val="0046582E"/>
    <w:rPr>
      <w:rFonts w:ascii="Tahoma" w:hAnsi="Tahoma" w:cs="Tahoma"/>
      <w:sz w:val="16"/>
      <w:szCs w:val="16"/>
    </w:rPr>
  </w:style>
  <w:style w:type="character" w:customStyle="1" w:styleId="tgc">
    <w:name w:val="_tgc"/>
    <w:basedOn w:val="DefaultParagraphFont"/>
    <w:qFormat/>
    <w:rsid w:val="00275B50"/>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uiPriority w:val="99"/>
    <w:semiHidden/>
    <w:unhideWhenUsed/>
    <w:qFormat/>
    <w:rsid w:val="0046582E"/>
    <w:rPr>
      <w:sz w:val="20"/>
      <w:szCs w:val="20"/>
    </w:rPr>
  </w:style>
  <w:style w:type="paragraph" w:styleId="CommentSubject">
    <w:name w:val="annotation subject"/>
    <w:basedOn w:val="CommentText"/>
    <w:link w:val="CommentSubjectChar"/>
    <w:uiPriority w:val="99"/>
    <w:semiHidden/>
    <w:unhideWhenUsed/>
    <w:qFormat/>
    <w:rsid w:val="0046582E"/>
    <w:rPr>
      <w:b/>
      <w:bCs/>
    </w:rPr>
  </w:style>
  <w:style w:type="paragraph" w:styleId="BalloonText">
    <w:name w:val="Balloon Text"/>
    <w:basedOn w:val="Normal"/>
    <w:link w:val="BalloonTextChar"/>
    <w:uiPriority w:val="99"/>
    <w:semiHidden/>
    <w:unhideWhenUsed/>
    <w:qFormat/>
    <w:rsid w:val="0046582E"/>
    <w:rPr>
      <w:rFonts w:ascii="Tahoma" w:hAnsi="Tahoma" w:cs="Tahoma"/>
      <w:sz w:val="16"/>
      <w:szCs w:val="16"/>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46582E"/>
    <w:rPr>
      <w:sz w:val="16"/>
      <w:szCs w:val="16"/>
    </w:rPr>
  </w:style>
  <w:style w:type="character" w:customStyle="1" w:styleId="CommentTextChar">
    <w:name w:val="Comment Text Char"/>
    <w:basedOn w:val="DefaultParagraphFont"/>
    <w:link w:val="CommentText"/>
    <w:uiPriority w:val="99"/>
    <w:semiHidden/>
    <w:qFormat/>
    <w:rsid w:val="0046582E"/>
    <w:rPr>
      <w:sz w:val="20"/>
      <w:szCs w:val="20"/>
    </w:rPr>
  </w:style>
  <w:style w:type="character" w:customStyle="1" w:styleId="CommentSubjectChar">
    <w:name w:val="Comment Subject Char"/>
    <w:basedOn w:val="CommentTextChar"/>
    <w:link w:val="CommentSubject"/>
    <w:uiPriority w:val="99"/>
    <w:semiHidden/>
    <w:qFormat/>
    <w:rsid w:val="0046582E"/>
    <w:rPr>
      <w:b/>
      <w:bCs/>
      <w:sz w:val="20"/>
      <w:szCs w:val="20"/>
    </w:rPr>
  </w:style>
  <w:style w:type="character" w:customStyle="1" w:styleId="BalloonTextChar">
    <w:name w:val="Balloon Text Char"/>
    <w:basedOn w:val="DefaultParagraphFont"/>
    <w:link w:val="BalloonText"/>
    <w:uiPriority w:val="99"/>
    <w:semiHidden/>
    <w:qFormat/>
    <w:rsid w:val="0046582E"/>
    <w:rPr>
      <w:rFonts w:ascii="Tahoma" w:hAnsi="Tahoma" w:cs="Tahoma"/>
      <w:sz w:val="16"/>
      <w:szCs w:val="16"/>
    </w:rPr>
  </w:style>
  <w:style w:type="character" w:customStyle="1" w:styleId="tgc">
    <w:name w:val="_tgc"/>
    <w:basedOn w:val="DefaultParagraphFont"/>
    <w:qFormat/>
    <w:rsid w:val="00275B50"/>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uiPriority w:val="99"/>
    <w:semiHidden/>
    <w:unhideWhenUsed/>
    <w:qFormat/>
    <w:rsid w:val="0046582E"/>
    <w:rPr>
      <w:sz w:val="20"/>
      <w:szCs w:val="20"/>
    </w:rPr>
  </w:style>
  <w:style w:type="paragraph" w:styleId="CommentSubject">
    <w:name w:val="annotation subject"/>
    <w:basedOn w:val="CommentText"/>
    <w:link w:val="CommentSubjectChar"/>
    <w:uiPriority w:val="99"/>
    <w:semiHidden/>
    <w:unhideWhenUsed/>
    <w:qFormat/>
    <w:rsid w:val="0046582E"/>
    <w:rPr>
      <w:b/>
      <w:bCs/>
    </w:rPr>
  </w:style>
  <w:style w:type="paragraph" w:styleId="BalloonText">
    <w:name w:val="Balloon Text"/>
    <w:basedOn w:val="Normal"/>
    <w:link w:val="BalloonTextChar"/>
    <w:uiPriority w:val="99"/>
    <w:semiHidden/>
    <w:unhideWhenUsed/>
    <w:qFormat/>
    <w:rsid w:val="0046582E"/>
    <w:rPr>
      <w:rFonts w:ascii="Tahoma" w:hAnsi="Tahoma" w:cs="Tahoma"/>
      <w:sz w:val="16"/>
      <w:szCs w:val="16"/>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ECAAD-2CB7-48CE-80F9-2614BD78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795</Words>
  <Characters>4534</Characters>
  <Application>Microsoft Office Word</Application>
  <DocSecurity>0</DocSecurity>
  <Lines>37</Lines>
  <Paragraphs>10</Paragraphs>
  <ScaleCrop>false</ScaleCrop>
  <Company>University of Manchester</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Hollywood</dc:creator>
  <dc:description/>
  <cp:lastModifiedBy>Francesco Del Carratore</cp:lastModifiedBy>
  <cp:revision>4</cp:revision>
  <dcterms:created xsi:type="dcterms:W3CDTF">2017-12-05T22:53:00Z</dcterms:created>
  <dcterms:modified xsi:type="dcterms:W3CDTF">2018-03-22T20:00:00Z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