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73CF4" w14:textId="77777777" w:rsidR="002F3FE2" w:rsidRDefault="002F3FE2" w:rsidP="002F3FE2">
      <w:pPr>
        <w:spacing w:after="160"/>
        <w:jc w:val="center"/>
        <w:rPr>
          <w:rFonts w:ascii="Helvetica" w:hAnsi="Helvetica" w:cs="Bangla Sangam MN"/>
          <w:b/>
          <w:bCs/>
          <w:color w:val="212D85"/>
          <w:sz w:val="40"/>
          <w:szCs w:val="40"/>
        </w:rPr>
      </w:pPr>
    </w:p>
    <w:p w14:paraId="39E0BB1F" w14:textId="77777777" w:rsidR="002F3FE2" w:rsidRDefault="002F3FE2" w:rsidP="002F3FE2">
      <w:pPr>
        <w:spacing w:after="160"/>
        <w:jc w:val="center"/>
        <w:rPr>
          <w:rFonts w:ascii="Helvetica" w:hAnsi="Helvetica" w:cs="Bangla Sangam MN"/>
          <w:b/>
          <w:bCs/>
          <w:color w:val="212D85"/>
          <w:sz w:val="40"/>
          <w:szCs w:val="40"/>
        </w:rPr>
      </w:pPr>
    </w:p>
    <w:p w14:paraId="6B853912" w14:textId="77777777" w:rsidR="002F3FE2" w:rsidRDefault="002F3FE2" w:rsidP="002F3FE2">
      <w:pPr>
        <w:spacing w:after="160"/>
        <w:jc w:val="center"/>
        <w:rPr>
          <w:rFonts w:ascii="Helvetica" w:hAnsi="Helvetica" w:cs="Bangla Sangam MN"/>
          <w:b/>
          <w:bCs/>
          <w:color w:val="212D85"/>
          <w:sz w:val="40"/>
          <w:szCs w:val="40"/>
        </w:rPr>
      </w:pPr>
    </w:p>
    <w:p w14:paraId="0E2C217C" w14:textId="77777777" w:rsidR="002F3FE2" w:rsidRDefault="002F3FE2" w:rsidP="002F3FE2">
      <w:pPr>
        <w:spacing w:after="160"/>
        <w:jc w:val="center"/>
        <w:rPr>
          <w:rFonts w:ascii="Helvetica" w:hAnsi="Helvetica" w:cs="Bangla Sangam MN"/>
          <w:b/>
          <w:bCs/>
          <w:color w:val="212D85"/>
          <w:sz w:val="40"/>
          <w:szCs w:val="40"/>
        </w:rPr>
      </w:pPr>
    </w:p>
    <w:p w14:paraId="7B87592B" w14:textId="77777777" w:rsidR="002F3FE2" w:rsidRDefault="002F3FE2" w:rsidP="002F3FE2">
      <w:pPr>
        <w:spacing w:after="160"/>
        <w:jc w:val="center"/>
        <w:rPr>
          <w:rFonts w:ascii="Helvetica" w:hAnsi="Helvetica" w:cs="Bangla Sangam MN"/>
          <w:b/>
          <w:bCs/>
          <w:color w:val="212D85"/>
          <w:sz w:val="40"/>
          <w:szCs w:val="40"/>
        </w:rPr>
      </w:pPr>
    </w:p>
    <w:p w14:paraId="1E5E8CEE" w14:textId="77777777" w:rsidR="002F3FE2" w:rsidRDefault="002F3FE2" w:rsidP="002F3FE2">
      <w:pPr>
        <w:spacing w:after="160"/>
        <w:jc w:val="center"/>
        <w:rPr>
          <w:rFonts w:ascii="Helvetica" w:hAnsi="Helvetica" w:cs="Bangla Sangam MN"/>
          <w:b/>
          <w:bCs/>
          <w:color w:val="212D85"/>
          <w:sz w:val="40"/>
          <w:szCs w:val="40"/>
        </w:rPr>
      </w:pPr>
    </w:p>
    <w:p w14:paraId="63C79DFC" w14:textId="1274CFBE" w:rsidR="002C423B" w:rsidRPr="006803C7" w:rsidRDefault="002C423B" w:rsidP="002F3FE2">
      <w:pPr>
        <w:spacing w:after="160"/>
        <w:jc w:val="center"/>
        <w:rPr>
          <w:rFonts w:ascii="Helvetica" w:hAnsi="Helvetica" w:cs="Bangla Sangam MN"/>
          <w:b/>
          <w:bCs/>
          <w:color w:val="212D85"/>
          <w:sz w:val="40"/>
          <w:szCs w:val="40"/>
        </w:rPr>
      </w:pPr>
      <w:commentRangeStart w:id="0"/>
      <w:r>
        <w:rPr>
          <w:rFonts w:ascii="Helvetica" w:hAnsi="Helvetica" w:cs="Bangla Sangam MN"/>
          <w:b/>
          <w:bCs/>
          <w:color w:val="212D85"/>
          <w:sz w:val="40"/>
          <w:szCs w:val="40"/>
        </w:rPr>
        <w:t>Equities Portfolio Research</w:t>
      </w:r>
      <w:commentRangeEnd w:id="0"/>
      <w:r>
        <w:rPr>
          <w:rStyle w:val="CommentReference"/>
        </w:rPr>
        <w:commentReference w:id="0"/>
      </w:r>
    </w:p>
    <w:p w14:paraId="63408418" w14:textId="77777777" w:rsidR="00982246" w:rsidRPr="006803C7" w:rsidRDefault="00982246">
      <w:pPr>
        <w:spacing w:after="40" w:line="270" w:lineRule="auto"/>
        <w:rPr>
          <w:rFonts w:ascii="Helvetica" w:hAnsi="Helvetica" w:cs="Bangla Sangam MN"/>
        </w:rPr>
      </w:pPr>
    </w:p>
    <w:p w14:paraId="245513C0" w14:textId="77777777" w:rsidR="00982246" w:rsidRPr="006803C7" w:rsidRDefault="00982246" w:rsidP="002F3FE2">
      <w:pPr>
        <w:spacing w:after="40" w:line="360" w:lineRule="auto"/>
        <w:jc w:val="center"/>
        <w:rPr>
          <w:rFonts w:ascii="Helvetica" w:hAnsi="Helvetica" w:cs="Bangla Sangam MN"/>
        </w:rPr>
      </w:pPr>
      <w:r>
        <w:rPr>
          <w:rFonts w:ascii="Helvetica" w:hAnsi="Helvetica" w:cs="Bangla Sangam MN"/>
          <w:b/>
          <w:bCs/>
        </w:rPr>
        <w:t xml:space="preserve">As of: </w:t>
      </w:r>
      <w:r>
        <w:rPr>
          <w:rFonts w:ascii="Helvetica" w:hAnsi="Helvetica" w:cs="Bangla Sangam MN"/>
        </w:rPr>
        <w:t>24 June 2026</w:t>
      </w:r>
    </w:p>
    <w:p w14:paraId="3D52699A" w14:textId="52185A95" w:rsidR="005C4BC6" w:rsidRPr="006803C7" w:rsidRDefault="00000000" w:rsidP="002F3FE2">
      <w:pPr>
        <w:spacing w:after="40" w:line="360" w:lineRule="auto"/>
        <w:jc w:val="center"/>
        <w:rPr>
          <w:rFonts w:ascii="Helvetica" w:hAnsi="Helvetica" w:cs="Bangla Sangam MN"/>
        </w:rPr>
      </w:pPr>
      <w:r>
        <w:rPr>
          <w:rFonts w:ascii="Helvetica" w:hAnsi="Helvetica" w:cs="Bangla Sangam MN"/>
          <w:b/>
          <w:bCs/>
        </w:rPr>
        <w:t xml:space="preserve">Holding period: </w:t>
      </w:r>
      <w:r>
        <w:rPr>
          <w:rFonts w:ascii="Helvetica" w:hAnsi="Helvetica" w:cs="Bangla Sangam MN"/>
        </w:rPr>
        <w:t>Deployment to December 2026 rebalancing</w:t>
      </w:r>
    </w:p>
    <w:p w14:paraId="213C87E3" w14:textId="0B57DF72" w:rsidR="00982246" w:rsidRDefault="00000000" w:rsidP="002F3FE2">
      <w:pPr>
        <w:spacing w:after="200" w:line="360" w:lineRule="auto"/>
        <w:jc w:val="center"/>
        <w:rPr>
          <w:rFonts w:ascii="Helvetica" w:hAnsi="Helvetica" w:cs="Bangla Sangam MN"/>
        </w:rPr>
      </w:pPr>
      <w:r>
        <w:rPr>
          <w:rFonts w:ascii="Helvetica" w:hAnsi="Helvetica" w:cs="Bangla Sangam MN"/>
          <w:b/>
          <w:bCs/>
        </w:rPr>
        <w:t xml:space="preserve">Coverage: </w:t>
      </w:r>
      <w:r>
        <w:rPr>
          <w:rFonts w:ascii="Helvetica" w:hAnsi="Helvetica" w:cs="Bangla Sangam MN"/>
        </w:rPr>
        <w:t>United States and Europe</w:t>
      </w:r>
    </w:p>
    <w:p w14:paraId="3A2C3DDA" w14:textId="77777777" w:rsidR="002F3FE2" w:rsidRDefault="002F3FE2" w:rsidP="002F3FE2">
      <w:pPr>
        <w:spacing w:after="200" w:line="360" w:lineRule="auto"/>
        <w:jc w:val="center"/>
        <w:rPr>
          <w:rFonts w:ascii="Helvetica" w:hAnsi="Helvetica" w:cs="Bangla Sangam MN"/>
        </w:rPr>
      </w:pPr>
    </w:p>
    <w:p w14:paraId="136E1437" w14:textId="77777777" w:rsidR="002F3FE2" w:rsidRDefault="002F3FE2" w:rsidP="002F3FE2">
      <w:pPr>
        <w:spacing w:after="200" w:line="360" w:lineRule="auto"/>
        <w:jc w:val="center"/>
        <w:rPr>
          <w:rFonts w:ascii="Helvetica" w:hAnsi="Helvetica" w:cs="Bangla Sangam MN"/>
        </w:rPr>
      </w:pPr>
    </w:p>
    <w:p w14:paraId="1F38752D" w14:textId="77777777" w:rsidR="002F3FE2" w:rsidRDefault="002F3FE2" w:rsidP="002F3FE2">
      <w:pPr>
        <w:spacing w:after="200" w:line="360" w:lineRule="auto"/>
        <w:jc w:val="center"/>
        <w:rPr>
          <w:rFonts w:ascii="Helvetica" w:hAnsi="Helvetica" w:cs="Bangla Sangam MN"/>
        </w:rPr>
      </w:pPr>
    </w:p>
    <w:p w14:paraId="54CACB61" w14:textId="77777777" w:rsidR="002F3FE2" w:rsidRDefault="002F3FE2" w:rsidP="002F3FE2">
      <w:pPr>
        <w:spacing w:after="200" w:line="360" w:lineRule="auto"/>
        <w:jc w:val="center"/>
        <w:rPr>
          <w:rFonts w:ascii="Helvetica" w:hAnsi="Helvetica" w:cs="Bangla Sangam MN"/>
        </w:rPr>
      </w:pPr>
    </w:p>
    <w:p w14:paraId="5EE3A15D" w14:textId="77777777" w:rsidR="00247BC1" w:rsidRDefault="00247BC1" w:rsidP="002F3FE2">
      <w:pPr>
        <w:spacing w:after="200" w:line="360" w:lineRule="auto"/>
        <w:jc w:val="center"/>
        <w:rPr>
          <w:rFonts w:ascii="Helvetica" w:hAnsi="Helvetica" w:cs="Bangla Sangam MN"/>
        </w:rPr>
      </w:pPr>
    </w:p>
    <w:p w14:paraId="44C48B53" w14:textId="77777777" w:rsidR="002F3FE2" w:rsidRDefault="002F3FE2" w:rsidP="002F3FE2">
      <w:pPr>
        <w:spacing w:after="200" w:line="360" w:lineRule="auto"/>
        <w:jc w:val="center"/>
        <w:rPr>
          <w:rFonts w:ascii="Helvetica" w:hAnsi="Helvetica" w:cs="Bangla Sangam MN"/>
        </w:rPr>
      </w:pPr>
    </w:p>
    <w:p w14:paraId="03F1AC64" w14:textId="77777777" w:rsidR="002F3FE2" w:rsidRDefault="002F3FE2" w:rsidP="002F3FE2">
      <w:pPr>
        <w:spacing w:after="200" w:line="360" w:lineRule="auto"/>
        <w:jc w:val="center"/>
        <w:rPr>
          <w:rFonts w:ascii="Helvetica" w:hAnsi="Helvetica" w:cs="Bangla Sangam MN"/>
        </w:rPr>
      </w:pPr>
    </w:p>
    <w:p w14:paraId="670D653C" w14:textId="77777777" w:rsidR="002F3FE2" w:rsidRDefault="002F3FE2" w:rsidP="002F3FE2">
      <w:pPr>
        <w:spacing w:after="200" w:line="360" w:lineRule="auto"/>
        <w:jc w:val="center"/>
        <w:rPr>
          <w:rFonts w:ascii="Helvetica" w:hAnsi="Helvetica" w:cs="Bangla Sangam MN"/>
        </w:rPr>
      </w:pPr>
    </w:p>
    <w:p w14:paraId="5847648F" w14:textId="77777777" w:rsidR="002F3FE2" w:rsidRDefault="002F3FE2" w:rsidP="002F3FE2">
      <w:pPr>
        <w:spacing w:after="200" w:line="360" w:lineRule="auto"/>
        <w:jc w:val="center"/>
        <w:rPr>
          <w:rFonts w:ascii="Helvetica" w:hAnsi="Helvetica" w:cs="Bangla Sangam MN"/>
        </w:rPr>
      </w:pPr>
    </w:p>
    <w:p w14:paraId="2E5AE26F" w14:textId="77777777" w:rsidR="002F3FE2" w:rsidRDefault="002F3FE2" w:rsidP="002F3FE2">
      <w:pPr>
        <w:spacing w:after="200" w:line="360" w:lineRule="auto"/>
        <w:jc w:val="center"/>
        <w:rPr>
          <w:rFonts w:ascii="Helvetica" w:hAnsi="Helvetica" w:cs="Bangla Sangam MN"/>
        </w:rPr>
      </w:pPr>
    </w:p>
    <w:p w14:paraId="4ABB77C6" w14:textId="77777777" w:rsidR="0040648E" w:rsidRDefault="0040648E" w:rsidP="002F3FE2">
      <w:pPr>
        <w:spacing w:after="200" w:line="360" w:lineRule="auto"/>
        <w:jc w:val="center"/>
        <w:rPr>
          <w:rFonts w:ascii="Helvetica" w:hAnsi="Helvetica" w:cs="Bangla Sangam MN"/>
        </w:rPr>
      </w:pPr>
    </w:p>
    <w:p w14:paraId="3B6ACE82" w14:textId="77777777" w:rsidR="003D092E" w:rsidRPr="006803C7" w:rsidRDefault="003D092E" w:rsidP="002F3FE2">
      <w:pPr>
        <w:spacing w:after="200" w:line="360" w:lineRule="auto"/>
        <w:jc w:val="center"/>
        <w:rPr>
          <w:rFonts w:ascii="Helvetica" w:hAnsi="Helvetica" w:cs="Bangla Sangam MN"/>
          <w:b/>
          <w:bCs/>
        </w:rPr>
      </w:pPr>
    </w:p>
    <w:p w14:paraId="671444A2" w14:textId="606E9B17" w:rsidR="00EC4664" w:rsidRPr="006803C7" w:rsidRDefault="00000000">
      <w:pPr>
        <w:pStyle w:val="Heading1"/>
        <w:rPr>
          <w:rFonts w:ascii="Helvetica" w:hAnsi="Helvetica" w:cs="Bangla Sangam MN"/>
          <w:color w:val="212D85"/>
        </w:rPr>
      </w:pPr>
      <w:r>
        <w:rPr>
          <w:rFonts w:ascii="Helvetica" w:hAnsi="Helvetica" w:cs="Bangla Sangam MN"/>
          <w:color w:val="212D85"/>
        </w:rPr>
        <w:lastRenderedPageBreak/>
        <w:t>Executive Summary</w:t>
      </w:r>
    </w:p>
    <w:p w14:paraId="13D24BCA" w14:textId="5EFC4D2A" w:rsidR="003509D7" w:rsidRPr="006803C7" w:rsidRDefault="00EC4664" w:rsidP="00310D05">
      <w:pPr>
        <w:spacing w:after="130" w:line="270" w:lineRule="auto"/>
        <w:jc w:val="both"/>
        <w:rPr>
          <w:rFonts w:ascii="Helvetica" w:hAnsi="Helvetica" w:cs="Bangla Sangam MN"/>
        </w:rPr>
      </w:pPr>
      <w:r>
        <w:rPr>
          <w:rFonts w:ascii="Helvetica" w:hAnsi="Helvetica" w:cs="Bangla Sangam MN"/>
        </w:rPr>
        <w:t xml:space="preserve">Halfway through 2026, the global economy is mostly driven by one dominant factor – the geopolitical situation caused by the war in Iran. The most significant outcome to note is the supply side energy shock burdening key central banks at their different cyclical starting points. The shock pushed inflation above target everywhere simultaneously and forced a synchronized hawkish turn: the ECB delivered its first hike since 2023, lifting the deposit rate to 2.25%, while the Federal Reserve held at 3.50–3.75% and removed any bias toward cuts. Thus, the current environment negatively affects those companies, whose value sits in future profits, while rewarding cheap, cash generative, rate-benefiting, and pricing power sectors. </w:t>
      </w:r>
    </w:p>
    <w:p w14:paraId="121E3AC6" w14:textId="497FED4A" w:rsidR="003509D7"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This paper first presents the full underlying research: the global macro and rate environment, the US sector analysis, and the European sector analysis. Each part first includes its complete data set and figures and, second, synthesizes them into a single combined allocation. We construct the equity portion of the portfolio, which accounts for 100 percent of the portfolio, around a passive core of ETFs, approximately 60% of which consists of the broad U.S. and European markets, with the remaining approximately 40% consisting of thematic satellites: European banks, global defense, health care, consumer staples/food, energy, US financials, and a small rare-earths position. </w:t>
      </w:r>
    </w:p>
    <w:p w14:paraId="6C94703F" w14:textId="1D480D8D" w:rsidR="003509D7" w:rsidRPr="006803C7" w:rsidRDefault="003509D7" w:rsidP="00310D05">
      <w:pPr>
        <w:spacing w:after="130" w:line="270" w:lineRule="auto"/>
        <w:jc w:val="both"/>
        <w:rPr>
          <w:rFonts w:ascii="Helvetica" w:hAnsi="Helvetica" w:cs="Bangla Sangam MN"/>
        </w:rPr>
      </w:pPr>
      <w:r>
        <w:rPr>
          <w:rFonts w:ascii="Helvetica" w:hAnsi="Helvetica" w:cs="Bangla Sangam MN"/>
        </w:rPr>
        <w:t xml:space="preserve">The portfolio’s regional breakdown is slightly skewed toward the U.S. (~55%) due to the growth momentum and liquidity of thematic sectors, which is offset by the discount in European asset valuations, the ECB’s interest rate policy, which creates favorable conditions for banks, and the absence of a negative currency impact from the USD/EUR exchange rate on the euro-denominated fund. The portfolio’s largest active holdings (energy and the defense industry) represent, in part, a volatile forecast on the duration of the energy crisis. However, at the time of writing this paper, that crisis is gradually subsiding, although not without the emergence of new risks. </w:t>
      </w:r>
    </w:p>
    <w:p w14:paraId="6F942081" w14:textId="5354BE3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A US-Iran interim ceasefire (a memorandum of understanding) was signed on 17 June, and front-month Brent futures fell back toward $80 by 19 June from a late March peak near $119. Nevertheless, it is hard to claim if it was the final accord in this long-standing global uncertainty, especially given that de-escalation is not yet settled: by 20–21 June Iran again declared the Strait of Hormuz closed, while US disputing that fact. Hence, we size energy down and reframe it as a hedge, while retaining defense on its more durable NATO/budget backlog logic due to its unreliability on the previously discussed factors with financing being solely driven by the treaty’s budget commitments. </w:t>
      </w:r>
    </w:p>
    <w:p w14:paraId="60663523" w14:textId="77777777" w:rsidR="003509D7" w:rsidRPr="006803C7" w:rsidRDefault="003509D7" w:rsidP="003509D7">
      <w:pPr>
        <w:spacing w:after="130" w:line="270" w:lineRule="auto"/>
        <w:rPr>
          <w:rFonts w:ascii="Helvetica" w:hAnsi="Helvetica" w:cs="Bangla Sangam MN"/>
        </w:rPr>
      </w:pPr>
    </w:p>
    <w:p w14:paraId="5040D2C9" w14:textId="77777777" w:rsidR="003509D7" w:rsidRPr="006803C7" w:rsidRDefault="003509D7" w:rsidP="003509D7">
      <w:pPr>
        <w:spacing w:after="130" w:line="270" w:lineRule="auto"/>
        <w:rPr>
          <w:rFonts w:ascii="Helvetica" w:hAnsi="Helvetica" w:cs="Bangla Sangam MN"/>
        </w:rPr>
      </w:pPr>
    </w:p>
    <w:p w14:paraId="5A506A5F" w14:textId="77777777" w:rsidR="003509D7" w:rsidRDefault="003509D7" w:rsidP="003509D7">
      <w:pPr>
        <w:spacing w:after="130" w:line="270" w:lineRule="auto"/>
        <w:rPr>
          <w:rFonts w:ascii="Helvetica" w:hAnsi="Helvetica" w:cs="Bangla Sangam MN"/>
        </w:rPr>
      </w:pPr>
    </w:p>
    <w:p w14:paraId="4641DA2A" w14:textId="77777777" w:rsidR="002F3FE2" w:rsidRDefault="002F3FE2" w:rsidP="003509D7">
      <w:pPr>
        <w:spacing w:after="130" w:line="270" w:lineRule="auto"/>
        <w:rPr>
          <w:rFonts w:ascii="Helvetica" w:hAnsi="Helvetica" w:cs="Bangla Sangam MN"/>
        </w:rPr>
      </w:pPr>
    </w:p>
    <w:p w14:paraId="381D5541" w14:textId="77777777" w:rsidR="002F3FE2" w:rsidRDefault="002F3FE2" w:rsidP="003509D7">
      <w:pPr>
        <w:spacing w:after="130" w:line="270" w:lineRule="auto"/>
        <w:rPr>
          <w:rFonts w:ascii="Helvetica" w:hAnsi="Helvetica" w:cs="Bangla Sangam MN"/>
        </w:rPr>
      </w:pPr>
    </w:p>
    <w:p w14:paraId="6A7AFA5E" w14:textId="77777777" w:rsidR="002F3FE2" w:rsidRDefault="002F3FE2" w:rsidP="003509D7">
      <w:pPr>
        <w:spacing w:after="130" w:line="270" w:lineRule="auto"/>
        <w:rPr>
          <w:rFonts w:ascii="Helvetica" w:hAnsi="Helvetica" w:cs="Bangla Sangam MN"/>
        </w:rPr>
      </w:pPr>
    </w:p>
    <w:p w14:paraId="62616CDE" w14:textId="77777777" w:rsidR="002F3FE2" w:rsidRDefault="002F3FE2" w:rsidP="003509D7">
      <w:pPr>
        <w:spacing w:after="130" w:line="270" w:lineRule="auto"/>
        <w:rPr>
          <w:rFonts w:ascii="Helvetica" w:hAnsi="Helvetica" w:cs="Bangla Sangam MN"/>
        </w:rPr>
      </w:pPr>
    </w:p>
    <w:p w14:paraId="29F76860" w14:textId="77777777" w:rsidR="0040648E" w:rsidRDefault="0040648E" w:rsidP="003509D7">
      <w:pPr>
        <w:spacing w:after="130" w:line="270" w:lineRule="auto"/>
        <w:rPr>
          <w:rFonts w:ascii="Helvetica" w:hAnsi="Helvetica" w:cs="Bangla Sangam MN"/>
        </w:rPr>
      </w:pPr>
    </w:p>
    <w:p w14:paraId="4140CD69" w14:textId="77777777" w:rsidR="003D092E" w:rsidRDefault="003D092E" w:rsidP="003509D7">
      <w:pPr>
        <w:spacing w:after="130" w:line="270" w:lineRule="auto"/>
        <w:rPr>
          <w:rFonts w:ascii="Helvetica" w:hAnsi="Helvetica" w:cs="Bangla Sangam MN"/>
        </w:rPr>
      </w:pPr>
    </w:p>
    <w:p w14:paraId="29011A1D" w14:textId="77777777" w:rsidR="003A1392" w:rsidRPr="006803C7" w:rsidRDefault="003A1392" w:rsidP="003509D7">
      <w:pPr>
        <w:spacing w:after="130" w:line="270" w:lineRule="auto"/>
        <w:rPr>
          <w:rFonts w:ascii="Helvetica" w:hAnsi="Helvetica" w:cs="Bangla Sangam MN"/>
        </w:rPr>
      </w:pPr>
    </w:p>
    <w:p w14:paraId="20AFFA76" w14:textId="77777777" w:rsidR="005C4BC6" w:rsidRPr="006803C7" w:rsidRDefault="00000000">
      <w:pPr>
        <w:pStyle w:val="Heading1"/>
        <w:rPr>
          <w:rFonts w:ascii="Helvetica" w:hAnsi="Helvetica" w:cs="Bangla Sangam MN"/>
          <w:color w:val="212D85"/>
        </w:rPr>
      </w:pPr>
      <w:r>
        <w:rPr>
          <w:rFonts w:ascii="Helvetica" w:hAnsi="Helvetica" w:cs="Bangla Sangam MN"/>
          <w:color w:val="212D85"/>
        </w:rPr>
        <w:lastRenderedPageBreak/>
        <w:t>1. Methodology and Source Audit</w:t>
      </w:r>
    </w:p>
    <w:p w14:paraId="1A28559D" w14:textId="4FF79074"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All macro and instrument figures were cross checked against primary or institutional open sources. Three corrections emerged and are reflected throughout: </w:t>
      </w:r>
    </w:p>
    <w:p w14:paraId="18692C39" w14:textId="158E2A15" w:rsidR="005C4BC6" w:rsidRPr="006803C7" w:rsidRDefault="00000000" w:rsidP="00310D05">
      <w:pPr>
        <w:pStyle w:val="ListParagraph"/>
        <w:numPr>
          <w:ilvl w:val="0"/>
          <w:numId w:val="2"/>
        </w:numPr>
        <w:spacing w:after="80" w:line="268" w:lineRule="auto"/>
        <w:jc w:val="both"/>
        <w:rPr>
          <w:rFonts w:ascii="Helvetica" w:hAnsi="Helvetica" w:cs="Bangla Sangam MN"/>
        </w:rPr>
      </w:pPr>
      <w:commentRangeStart w:id="1"/>
      <w:r>
        <w:rPr>
          <w:rFonts w:ascii="Helvetica" w:hAnsi="Helvetica" w:cs="Bangla Sangam MN"/>
          <w:b/>
          <w:bCs/>
        </w:rPr>
        <w:t xml:space="preserve">Fed: </w:t>
      </w:r>
      <w:r>
        <w:rPr>
          <w:rFonts w:ascii="Helvetica" w:hAnsi="Helvetica" w:cs="Bangla Sangam MN"/>
        </w:rPr>
        <w:t xml:space="preserve">Even though 17 June FOMC held 3.50–3.75%, its dot plot removed the bias toward cuts and pushed reductions into 2027-28; this was Kevin Warsh's first meeting as chair, and markets moved to price the next hike as early as October. (Federal Reserve; CNBC; Advisor Perspectives, June 2026.)</w:t>
      </w:r>
      <w:commentRangeEnd w:id="1"/>
      <w:r>
        <w:rPr>
          <w:rStyle w:val="CommentReference"/>
        </w:rPr>
        <w:commentReference w:id="1"/>
      </w:r>
    </w:p>
    <w:p w14:paraId="2BBE7240" w14:textId="77777777" w:rsidR="00F72FCB" w:rsidRPr="006803C7" w:rsidRDefault="00000000" w:rsidP="00310D05">
      <w:pPr>
        <w:pStyle w:val="ListParagraph"/>
        <w:numPr>
          <w:ilvl w:val="0"/>
          <w:numId w:val="2"/>
        </w:numPr>
        <w:spacing w:after="80" w:line="268" w:lineRule="auto"/>
        <w:jc w:val="both"/>
        <w:rPr>
          <w:rFonts w:ascii="Helvetica" w:hAnsi="Helvetica" w:cs="Bangla Sangam MN"/>
        </w:rPr>
      </w:pPr>
      <w:commentRangeStart w:id="2"/>
      <w:r>
        <w:rPr>
          <w:rFonts w:ascii="Helvetica" w:hAnsi="Helvetica" w:cs="Bangla Sangam MN"/>
          <w:b/>
          <w:bCs/>
        </w:rPr>
        <w:t xml:space="preserve">Peace path: </w:t>
      </w:r>
      <w:r>
        <w:rPr>
          <w:rFonts w:ascii="Helvetica" w:hAnsi="Helvetica" w:cs="Bangla Sangam MN"/>
        </w:rPr>
        <w:t xml:space="preserve">A 60-day ceasefire between the US and Iran signed on June 17 intended to pause the conflict and reopen the Strait of Hormuz. Oil markets responded immediately, which could be seen in front-month Brent futures dropping by roughly 8.5% in a week to around $80, and Goldman Sachs cutting its Q4 price forecast to the same level. However, the physical spot price (as tracked by EIA/FRED) was still around $93 on June 11, reflecting the lag between futures and spot markets. Nevertheless, the calm and greater confidence in how events would unfold did not last long: by June 20-21, Iran had once again announced the closure of the strait, and the U.S. responded by attempting to confound. Thus, a consensus was still lacking, and technical negotiations continued in Switzerland. </w:t>
      </w:r>
      <w:commentRangeEnd w:id="2"/>
      <w:r>
        <w:rPr>
          <w:rStyle w:val="CommentReference"/>
        </w:rPr>
        <w:commentReference w:id="2"/>
      </w:r>
    </w:p>
    <w:p w14:paraId="3EBE1B59" w14:textId="100F084F"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ECB: </w:t>
      </w:r>
      <w:r>
        <w:rPr>
          <w:rFonts w:ascii="Helvetica" w:hAnsi="Helvetica" w:cs="Bangla Sangam MN"/>
        </w:rPr>
        <w:t>confirmed +25bp to a 2.25% deposit rate effective 17 June, with 2026 growth cut to 0.8% and a further July hike seen as likely. (ECB statement, 11 June 2026; Capital Economics.)</w:t>
      </w:r>
    </w:p>
    <w:p w14:paraId="1E2BFA61" w14:textId="50BD59DE" w:rsidR="005C4BC6" w:rsidRPr="006803C7" w:rsidRDefault="00000000" w:rsidP="00310D05">
      <w:pPr>
        <w:spacing w:after="60" w:line="270" w:lineRule="auto"/>
        <w:jc w:val="both"/>
        <w:rPr>
          <w:rFonts w:ascii="Helvetica" w:hAnsi="Helvetica" w:cs="Bangla Sangam MN"/>
        </w:rPr>
      </w:pPr>
      <w:r>
        <w:rPr>
          <w:rFonts w:ascii="Helvetica" w:hAnsi="Helvetica" w:cs="Bangla Sangam MN"/>
        </w:rPr>
        <w:t xml:space="preserve">The valuation premise holds: Europe trades at a 9-26% forward-P/E discount to the US with roughly double the dividend yield. For a euro-based fund the dollar's 2026 weakness against the euro considerably slows down the unhedged US exposure. (InvestingBrokers; eupersonalfinance.eu, 2026.)</w:t>
      </w:r>
    </w:p>
    <w:p w14:paraId="183114F0" w14:textId="77777777" w:rsidR="005C4BC6" w:rsidRPr="006803C7" w:rsidRDefault="00000000">
      <w:pPr>
        <w:rPr>
          <w:rFonts w:ascii="Helvetica" w:hAnsi="Helvetica" w:cs="Bangla Sangam MN"/>
        </w:rPr>
      </w:pPr>
      <w:r>
        <w:rPr>
          <w:rFonts w:ascii="Helvetica" w:hAnsi="Helvetica" w:cs="Bangla Sangam MN"/>
        </w:rPr>
        <w:br w:type="page"/>
      </w:r>
    </w:p>
    <w:p w14:paraId="2DFCE96B"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2. The Global Macro and Rate Environment</w:t>
      </w:r>
    </w:p>
    <w:p w14:paraId="5A938A7B" w14:textId="7F1DA8B9"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The proximate cause of the 2026 inflation impulse is the Iran conflict and the disruption to oil and gas supply, including fears over the Strait of Hormuz. Brent began the year near $66, climbed to a peak around $119 at the end of March, then eased back as peace expectations built. It was followed by front-month futures reaching roughly $80 by 19 June, although EIA/FRED was still around $93 ($92.84) on 11 June. This round-trip is the single most important macro development of the year: it lifted headline inflation everywhere, fed into core measures with a lag, and introduced two-sided risk, since any breakdown or consolidation of the peace process moves the global price level sharply either way.</w:t>
      </w:r>
    </w:p>
    <w:p w14:paraId="69347E00" w14:textId="3C6D6D7A" w:rsidR="005C4BC6" w:rsidRPr="006803C7" w:rsidRDefault="005C4BC6">
      <w:pPr>
        <w:spacing w:before="60" w:after="20"/>
        <w:jc w:val="center"/>
        <w:rPr>
          <w:rFonts w:ascii="Helvetica" w:hAnsi="Helvetica" w:cs="Bangla Sangam MN"/>
        </w:rPr>
      </w:pPr>
    </w:p>
    <w:p w14:paraId="008587D5" w14:textId="6737CCF1" w:rsidR="00902FD8" w:rsidRPr="006803C7" w:rsidRDefault="00902FD8" w:rsidP="00902FD8">
      <w:pPr>
        <w:spacing w:before="60" w:after="20"/>
        <w:jc w:val="center"/>
        <w:rPr>
          <w:rFonts w:ascii="Helvetica" w:hAnsi="Helvetica" w:cs="Bangla Sangam MN"/>
        </w:rPr>
      </w:pPr>
      <w:r>
        <w:rPr>
          <w:rFonts w:ascii="Helvetica" w:hAnsi="Helvetica" w:cs="Bangla Sangam MN"/>
          <w:noProof/>
          <w:shd w:val="clear" w:color="auto" w:fill="212D85"/>
        </w:rPr>
        <w:drawing>
          <wp:inline distT="0" distB="0" distL="0" distR="0" wp14:anchorId="41AB429D" wp14:editId="26E409A1">
            <wp:extent cx="5890260" cy="2370455"/>
            <wp:effectExtent l="0" t="0" r="2540" b="4445"/>
            <wp:docPr id="1925827531" name="Chart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DD2C6BB" w14:textId="5DB26245"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Sources: EIA/FRED (spot); ICE/Investing.com (front-month futures)</w:t>
      </w:r>
    </w:p>
    <w:p w14:paraId="2B8B5A1D" w14:textId="77777777" w:rsidR="00247BC1" w:rsidRPr="006803C7" w:rsidRDefault="00247BC1" w:rsidP="00247BC1">
      <w:pPr>
        <w:spacing w:before="30" w:after="160"/>
        <w:rPr>
          <w:rFonts w:ascii="Helvetica" w:hAnsi="Helvetica" w:cs="Bangla Sangam MN"/>
        </w:rPr>
      </w:pPr>
    </w:p>
    <w:p w14:paraId="3A1EA9A8"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2.1 Inflation above target across the major economies</w:t>
      </w:r>
    </w:p>
    <w:p w14:paraId="455F74F0" w14:textId="48CAEC41"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The energy shock left inflation uncomfortably above the 2% objective everywhere. That brought about the US core PCE to rise from 3.0% in December 2025 to roughly 3.3% by April 2026. Euro-area headline HICP accelerated to 3.2% in May, the highest since 2023, with core at 2.5%. UK CPI ran around 3.3% with services inflation stabilizing near 4.5%. Long-run inflation expectations stayed comparatively well anchored, which can be comprehended as signal that investors read the spike as a supply-driven episode rather than a de-anchoring.</w:t>
      </w:r>
    </w:p>
    <w:p w14:paraId="7A15EC08" w14:textId="78B9A0A1" w:rsidR="005C4BC6" w:rsidRPr="006803C7" w:rsidRDefault="005C4BC6">
      <w:pPr>
        <w:spacing w:before="60" w:after="20"/>
        <w:jc w:val="center"/>
        <w:rPr>
          <w:rFonts w:ascii="Helvetica" w:hAnsi="Helvetica" w:cs="Bangla Sangam MN"/>
        </w:rPr>
      </w:pPr>
    </w:p>
    <w:p w14:paraId="754E3178" w14:textId="4BE4C8FD" w:rsidR="002A15A3" w:rsidRPr="006803C7" w:rsidRDefault="002A15A3" w:rsidP="002A15A3">
      <w:pPr>
        <w:spacing w:before="60" w:after="20"/>
        <w:rPr>
          <w:rFonts w:ascii="Helvetica" w:hAnsi="Helvetica" w:cs="Bangla Sangam MN"/>
        </w:rPr>
      </w:pPr>
      <w:r>
        <w:rPr>
          <w:rFonts w:ascii="Helvetica" w:hAnsi="Helvetica" w:cs="Bangla Sangam MN"/>
          <w:noProof/>
          <w:shd w:val="clear" w:color="auto" w:fill="212D85"/>
        </w:rPr>
        <w:drawing>
          <wp:inline distT="0" distB="0" distL="0" distR="0" wp14:anchorId="65CD1B6F" wp14:editId="68A66D39">
            <wp:extent cx="4637314" cy="1817824"/>
            <wp:effectExtent l="0" t="0" r="0" b="0"/>
            <wp:docPr id="974464457"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60CEEBC" w14:textId="6D19E8A8" w:rsidR="005C4BC6" w:rsidRPr="006803C7" w:rsidRDefault="00000000" w:rsidP="00247BC1">
      <w:pPr>
        <w:spacing w:before="30" w:after="160"/>
        <w:rPr>
          <w:rFonts w:ascii="Helvetica" w:hAnsi="Helvetica" w:cs="Bangla Sangam MN"/>
        </w:rPr>
      </w:pPr>
      <w:r>
        <w:rPr>
          <w:rFonts w:ascii="Helvetica" w:hAnsi="Helvetica" w:cs="Bangla Sangam MN"/>
          <w:i/>
          <w:iCs/>
          <w:color w:val="595959"/>
          <w:sz w:val="16"/>
          <w:szCs w:val="16"/>
        </w:rPr>
        <w:t>Sources: BEA, Eurostat, ONS.</w:t>
      </w:r>
    </w:p>
    <w:p w14:paraId="292F777E"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lastRenderedPageBreak/>
        <w:t>2.2 Divergence among the major central banks</w:t>
      </w:r>
    </w:p>
    <w:p w14:paraId="1D07E468" w14:textId="6444FCE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The shared shock produced divergent responses. The Fed held its target range at 3.50–3.75%, with the conversation tilting toward a possible hike. The ECB raised by 25bp on 11 June, lifting the deposit rate to 2.25% — its first increase since September 2023 and a reversal of eight consecutive cuts. The Bank of England held at 3.75% with a hawkish split. The Bank of Japan, still the outlier on level, extended its gradual normalization with a 25bp hike to 1.00% on 16 June (a 7-1 vote) — its first increase since December and its highest policy rate since 1995. The euro area illustrates the dilemma most acutely: the bloc contracted slightly in Q1 2026, yet staff revised inflation up and growth down. </w:t>
      </w:r>
    </w:p>
    <w:p w14:paraId="52D23622" w14:textId="10DD7347" w:rsidR="005C4BC6" w:rsidRPr="006803C7" w:rsidRDefault="005C4BC6">
      <w:pPr>
        <w:spacing w:before="60" w:after="20"/>
        <w:jc w:val="center"/>
        <w:rPr>
          <w:rFonts w:ascii="Helvetica" w:hAnsi="Helvetica" w:cs="Bangla Sangam MN"/>
        </w:rPr>
      </w:pPr>
    </w:p>
    <w:p w14:paraId="74282FE6" w14:textId="251BE5EC" w:rsidR="002A15A3" w:rsidRPr="006803C7" w:rsidRDefault="002A15A3" w:rsidP="001645B8">
      <w:pPr>
        <w:spacing w:before="60" w:after="20"/>
        <w:jc w:val="center"/>
        <w:rPr>
          <w:rFonts w:ascii="Helvetica" w:hAnsi="Helvetica" w:cs="Bangla Sangam MN"/>
        </w:rPr>
      </w:pPr>
      <w:r>
        <w:rPr>
          <w:rFonts w:ascii="Helvetica" w:hAnsi="Helvetica" w:cs="Bangla Sangam MN"/>
          <w:noProof/>
        </w:rPr>
        <w:drawing>
          <wp:inline distT="0" distB="0" distL="0" distR="0" wp14:anchorId="28DE8558" wp14:editId="7C96240A">
            <wp:extent cx="5885180" cy="1928553"/>
            <wp:effectExtent l="0" t="0" r="0" b="1905"/>
            <wp:docPr id="177987573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3C7BC9" w14:textId="77777777" w:rsidR="00247BC1" w:rsidRDefault="00247BC1" w:rsidP="00247BC1">
      <w:pPr>
        <w:spacing w:before="30" w:after="160"/>
        <w:rPr>
          <w:rFonts w:ascii="Helvetica" w:hAnsi="Helvetica" w:cs="Bangla Sangam MN"/>
        </w:rPr>
      </w:pPr>
    </w:p>
    <w:p w14:paraId="657393B6" w14:textId="48E0D447"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Sources: respective central banks</w:t>
      </w:r>
    </w:p>
    <w:p w14:paraId="0D74AB9A" w14:textId="77777777" w:rsidR="00247BC1" w:rsidRPr="006803C7" w:rsidRDefault="00247BC1" w:rsidP="00247BC1">
      <w:pPr>
        <w:spacing w:before="30" w:after="160"/>
        <w:rPr>
          <w:rFonts w:ascii="Helvetica" w:hAnsi="Helvetica" w:cs="Bangla Sangam MN"/>
        </w:rPr>
      </w:pPr>
    </w:p>
    <w:p w14:paraId="1DF69366"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2.3 US policy path and the term structure</w:t>
      </w:r>
    </w:p>
    <w:p w14:paraId="67921988" w14:textId="37F28BC6" w:rsidR="00310D05" w:rsidRPr="00AB77DF" w:rsidRDefault="00FE76FC" w:rsidP="00310D05">
      <w:pPr>
        <w:spacing w:after="130" w:line="270" w:lineRule="auto"/>
        <w:jc w:val="both"/>
        <w:rPr>
          <w:rFonts w:ascii="Helvetica" w:hAnsi="Helvetica" w:cs="Bangla Sangam MN"/>
        </w:rPr>
      </w:pPr>
      <w:commentRangeStart w:id="4"/>
      <w:r>
        <w:rPr>
          <w:rFonts w:ascii="Helvetica" w:hAnsi="Helvetica" w:cs="Bangla Sangam MN"/>
        </w:rPr>
        <w:t xml:space="preserve">The dollar market anchors global financing conditions, which results in the US trajectory’s outsized weight: having cut three-quarters of a point across 2024–25, the Fed entered 2026 on hold, and the energy-driven reacceleration removed the basis for further easing. The Treasury curve normalized into a conventional upward slope, keeping the cost of term capital elevated worldwide.</w:t>
      </w:r>
      <w:commentRangeEnd w:id="4"/>
      <w:r>
        <w:rPr>
          <w:rStyle w:val="CommentReference"/>
        </w:rPr>
        <w:commentReference w:id="4"/>
      </w:r>
    </w:p>
    <w:p w14:paraId="60D8480B" w14:textId="52A0EC65" w:rsidR="005C4BC6" w:rsidRPr="00310D05" w:rsidRDefault="001645B8" w:rsidP="00310D05">
      <w:pPr>
        <w:spacing w:after="130" w:line="270" w:lineRule="auto"/>
        <w:rPr>
          <w:rFonts w:ascii="Helvetica" w:hAnsi="Helvetica" w:cs="Bangla Sangam MN"/>
        </w:rPr>
      </w:pPr>
      <w:r>
        <w:rPr>
          <w:rFonts w:ascii="Helvetica" w:hAnsi="Helvetica" w:cs="Bangla Sangam MN"/>
          <w:noProof/>
        </w:rPr>
        <w:drawing>
          <wp:inline distT="0" distB="0" distL="0" distR="0" wp14:anchorId="2C5489FC" wp14:editId="23980BA4">
            <wp:extent cx="6017260" cy="2194907"/>
            <wp:effectExtent l="0" t="0" r="2540" b="2540"/>
            <wp:docPr id="1933292867" name="Chart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Helvetica" w:hAnsi="Helvetica" w:cs="Bangla Sangam MN"/>
          <w:i/>
          <w:iCs/>
          <w:color w:val="595959"/>
          <w:sz w:val="16"/>
          <w:szCs w:val="16"/>
        </w:rPr>
        <w:t xml:space="preserve"> Source: FOMC statements</w:t>
      </w:r>
    </w:p>
    <w:p w14:paraId="2D43B51D" w14:textId="77777777" w:rsidR="001645B8" w:rsidRPr="006803C7" w:rsidRDefault="001645B8">
      <w:pPr>
        <w:spacing w:before="30" w:after="160"/>
        <w:jc w:val="center"/>
        <w:rPr>
          <w:rFonts w:ascii="Helvetica" w:hAnsi="Helvetica" w:cs="Bangla Sangam MN"/>
        </w:rPr>
      </w:pPr>
    </w:p>
    <w:p w14:paraId="0CE9D9D1" w14:textId="1F70EA14" w:rsidR="00992BBB" w:rsidRPr="00247BC1" w:rsidRDefault="001645B8" w:rsidP="00247BC1">
      <w:pPr>
        <w:spacing w:before="60" w:after="20"/>
        <w:jc w:val="center"/>
        <w:rPr>
          <w:rFonts w:ascii="Helvetica" w:hAnsi="Helvetica" w:cs="Bangla Sangam MN"/>
        </w:rPr>
      </w:pPr>
      <w:r>
        <w:rPr>
          <w:rFonts w:ascii="Helvetica" w:hAnsi="Helvetica" w:cs="Bangla Sangam MN"/>
          <w:noProof/>
        </w:rPr>
        <w:lastRenderedPageBreak/>
        <w:drawing>
          <wp:inline distT="0" distB="0" distL="0" distR="0" wp14:anchorId="6CB53F36" wp14:editId="36430983">
            <wp:extent cx="6017260" cy="2607945"/>
            <wp:effectExtent l="0" t="0" r="2540" b="0"/>
            <wp:docPr id="187575155" name="Chart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788344B" w14:textId="61626762"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Sources: US Treasury constant-maturity; Fed H.15</w:t>
      </w:r>
    </w:p>
    <w:p w14:paraId="6BCBC89A" w14:textId="77777777" w:rsidR="00247BC1" w:rsidRPr="006803C7" w:rsidRDefault="00247BC1" w:rsidP="00247BC1">
      <w:pPr>
        <w:spacing w:before="30" w:after="160"/>
        <w:rPr>
          <w:rFonts w:ascii="Helvetica" w:hAnsi="Helvetica" w:cs="Bangla Sangam MN"/>
          <w:i/>
          <w:iCs/>
          <w:color w:val="595959"/>
          <w:sz w:val="16"/>
          <w:szCs w:val="16"/>
        </w:rPr>
      </w:pPr>
    </w:p>
    <w:p w14:paraId="55A458EB" w14:textId="77777777" w:rsidR="001645B8" w:rsidRPr="006803C7" w:rsidRDefault="001645B8" w:rsidP="001645B8">
      <w:pPr>
        <w:spacing w:before="30" w:after="160"/>
        <w:ind w:firstLine="720"/>
        <w:rPr>
          <w:rFonts w:ascii="Helvetica" w:hAnsi="Helvetica" w:cs="Bangla Sangam MN"/>
        </w:rPr>
      </w:pPr>
    </w:p>
    <w:p w14:paraId="0F4ADFD1"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2.4 Financial conditions and outlook</w:t>
      </w:r>
    </w:p>
    <w:p w14:paraId="4678FBBD" w14:textId="77777777" w:rsidR="005C4BC6" w:rsidRPr="006803C7" w:rsidRDefault="00000000" w:rsidP="00310D05">
      <w:pPr>
        <w:spacing w:after="60" w:line="270" w:lineRule="auto"/>
        <w:jc w:val="both"/>
        <w:rPr>
          <w:rFonts w:ascii="Helvetica" w:hAnsi="Helvetica" w:cs="Bangla Sangam MN"/>
        </w:rPr>
      </w:pPr>
      <w:r>
        <w:rPr>
          <w:rFonts w:ascii="Helvetica" w:hAnsi="Helvetica" w:cs="Bangla Sangam MN"/>
        </w:rPr>
        <w:t>Despite the hawkish backdrop, broad financial conditions remained comparatively benign: US high-yield credit spreads stayed compressed near 2.7 percentage points, well below crisis levels, and equities recovered on improving risk sentiment as de-escalation hopes grew. The central tension into H2 2026 is between still-easy financial conditions and a policy stance restrictive in intent. The dominant risk is two-sided and runs through energy: a durable settlement lets inflation resume falling and reopens the path to easing; renewed escalation around Hormuz could force central banks from holding into active tightening — leaving the global rate environment in a higher-for-longer regime with an unusually wide range of outcomes.</w:t>
      </w:r>
    </w:p>
    <w:p w14:paraId="2A5E5EF3" w14:textId="77777777" w:rsidR="005C4BC6" w:rsidRPr="006803C7" w:rsidRDefault="00000000" w:rsidP="00310D05">
      <w:pPr>
        <w:jc w:val="both"/>
        <w:rPr>
          <w:rFonts w:ascii="Helvetica" w:hAnsi="Helvetica" w:cs="Bangla Sangam MN"/>
        </w:rPr>
      </w:pPr>
      <w:r>
        <w:rPr>
          <w:rFonts w:ascii="Helvetica" w:hAnsi="Helvetica" w:cs="Bangla Sangam MN"/>
        </w:rPr>
        <w:br w:type="page"/>
      </w:r>
    </w:p>
    <w:p w14:paraId="016D493A"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3. United States — Equity Sector Research</w:t>
      </w:r>
    </w:p>
    <w:p w14:paraId="589EEB58"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The US economy is in a late-cycle regime: firm, accelerating growth and rising, sticky inflation, with manufacturing at a multi-year high and headline CPI above 4% on an oil-driven energy shock. The Fed holds at 3.50–3.75%; futures had priced meaningful hike risk by December with no cuts in sight. This higher-for-longer environment favors cheap, cash-generative, and defensive sectors over expensive, rate-sensitive ones.</w:t>
      </w:r>
    </w:p>
    <w:p w14:paraId="63B76E6D"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3.1 Regime: policy, growth, inflation</w:t>
      </w:r>
    </w:p>
    <w:p w14:paraId="0F1440A4"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Policy — </w:t>
      </w:r>
      <w:r>
        <w:rPr>
          <w:rFonts w:ascii="Helvetica" w:hAnsi="Helvetica" w:cs="Bangla Sangam MN"/>
        </w:rPr>
        <w:t>target range held at 3.50–3.75%; the forward curve priced a ~59% probability of at least one hike by December (as of mid-June), with cuts near 1%. The stance shifted from neutral hold to hawkish hold within a month.</w:t>
      </w:r>
    </w:p>
    <w:p w14:paraId="17007C6B"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Growth — </w:t>
      </w:r>
      <w:r>
        <w:rPr>
          <w:rFonts w:ascii="Helvetica" w:hAnsi="Helvetica" w:cs="Bangla Sangam MN"/>
        </w:rPr>
        <w:t xml:space="preserve">ISM Manufacturing PMI reached 54.0 in May, a fifth month above 50 consistent with ~2.2% annualised GDP; New Orders rose to 56.8. Payrolls added 172,000 vs ~85,000 expected; unemployment held at 4.3%.</w:t>
      </w:r>
    </w:p>
    <w:p w14:paraId="08B1C820"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commentRangeStart w:id="3"/>
      <w:r>
        <w:rPr>
          <w:rFonts w:ascii="Helvetica" w:hAnsi="Helvetica" w:cs="Bangla Sangam MN"/>
          <w:b/>
          <w:bCs/>
        </w:rPr>
        <w:t xml:space="preserve">Inflation — </w:t>
      </w:r>
      <w:r>
        <w:rPr>
          <w:rFonts w:ascii="Helvetica" w:hAnsi="Helvetica" w:cs="Bangla Sangam MN"/>
        </w:rPr>
        <w:t>headline CPI rose 4.2% YoY in May, the fastest since 2023; energy was over 60% of the monthly gain. Core PCE reached 3.3% YoY in April, 130bp above target — sticky, not solely energy-driven.</w:t>
      </w:r>
      <w:commentRangeEnd w:id="3"/>
      <w:r>
        <w:rPr>
          <w:rStyle w:val="CommentReference"/>
        </w:rPr>
        <w:commentReference w:id="3"/>
      </w:r>
    </w:p>
    <w:p w14:paraId="3387726B" w14:textId="6E3D5373" w:rsidR="00411601" w:rsidRPr="006803C7" w:rsidRDefault="00000000" w:rsidP="00310D05">
      <w:pPr>
        <w:spacing w:after="130" w:line="270" w:lineRule="auto"/>
        <w:jc w:val="both"/>
        <w:rPr>
          <w:rFonts w:ascii="Helvetica" w:hAnsi="Helvetica" w:cs="Bangla Sangam MN"/>
        </w:rPr>
      </w:pPr>
      <w:r>
        <w:rPr>
          <w:rFonts w:ascii="Helvetica" w:hAnsi="Helvetica" w:cs="Bangla Sangam MN"/>
        </w:rPr>
        <w:t>Regime classification: growth rising, inflation rising — the reflation / late-cycle quadrant. It favors commodity-linked and cyclical sectors (Energy, Materials, Industrials) and defensives with pricing power (Staples, Health Care); it penalizes long-duration rate-sensitive sectors (Information Technology, Real Estate, Utilities as bond proxy).</w:t>
      </w:r>
    </w:p>
    <w:p w14:paraId="56E85214"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3.2 US key macro indicators</w:t>
      </w:r>
    </w:p>
    <w:tbl>
      <w:tblPr>
        <w:tblW w:w="9360" w:type="dxa"/>
        <w:tblCellMar>
          <w:left w:w="10" w:type="dxa"/>
          <w:right w:w="10" w:type="dxa"/>
        </w:tblCellMar>
        <w:tblLook w:val="04A0" w:firstRow="1" w:lastRow="0" w:firstColumn="1" w:lastColumn="0" w:noHBand="0" w:noVBand="1"/>
      </w:tblPr>
      <w:tblGrid>
        <w:gridCol w:w="3000"/>
        <w:gridCol w:w="2000"/>
        <w:gridCol w:w="2400"/>
        <w:gridCol w:w="1960"/>
      </w:tblGrid>
      <w:tr w:rsidR="005C4BC6" w:rsidRPr="006803C7" w14:paraId="79AA0CEF" w14:textId="77777777" w:rsidTr="00411601">
        <w:trPr>
          <w:tblHeader/>
        </w:trPr>
        <w:tc>
          <w:tcPr>
            <w:tcW w:w="3000" w:type="dxa"/>
            <w:shd w:val="clear" w:color="auto" w:fill="212D85"/>
            <w:tcMar>
              <w:top w:w="60" w:type="dxa"/>
              <w:left w:w="100" w:type="dxa"/>
              <w:bottom w:w="60" w:type="dxa"/>
              <w:right w:w="100" w:type="dxa"/>
            </w:tcMar>
          </w:tcPr>
          <w:p w14:paraId="29A1BCBB" w14:textId="77777777" w:rsidR="005C4BC6" w:rsidRPr="006803C7" w:rsidRDefault="00000000">
            <w:pPr>
              <w:rPr>
                <w:rFonts w:ascii="Helvetica" w:hAnsi="Helvetica" w:cs="Bangla Sangam MN"/>
              </w:rPr>
            </w:pPr>
            <w:r>
              <w:rPr>
                <w:rFonts w:ascii="Helvetica" w:hAnsi="Helvetica" w:cs="Bangla Sangam MN"/>
                <w:b/>
                <w:bCs/>
                <w:color w:val="FFFFFF"/>
                <w:sz w:val="16"/>
                <w:szCs w:val="16"/>
              </w:rPr>
              <w:t>Indicator</w:t>
            </w:r>
          </w:p>
        </w:tc>
        <w:tc>
          <w:tcPr>
            <w:tcW w:w="2000" w:type="dxa"/>
            <w:shd w:val="clear" w:color="auto" w:fill="212D85"/>
            <w:tcMar>
              <w:top w:w="60" w:type="dxa"/>
              <w:left w:w="100" w:type="dxa"/>
              <w:bottom w:w="60" w:type="dxa"/>
              <w:right w:w="100" w:type="dxa"/>
            </w:tcMar>
          </w:tcPr>
          <w:p w14:paraId="3CD22840" w14:textId="77777777" w:rsidR="005C4BC6" w:rsidRPr="006803C7" w:rsidRDefault="00000000">
            <w:pPr>
              <w:rPr>
                <w:rFonts w:ascii="Helvetica" w:hAnsi="Helvetica" w:cs="Bangla Sangam MN"/>
              </w:rPr>
            </w:pPr>
            <w:r>
              <w:rPr>
                <w:rFonts w:ascii="Helvetica" w:hAnsi="Helvetica" w:cs="Bangla Sangam MN"/>
                <w:b/>
                <w:bCs/>
                <w:color w:val="FFFFFF"/>
                <w:sz w:val="16"/>
                <w:szCs w:val="16"/>
              </w:rPr>
              <w:t>Reading</w:t>
            </w:r>
          </w:p>
        </w:tc>
        <w:tc>
          <w:tcPr>
            <w:tcW w:w="2400" w:type="dxa"/>
            <w:shd w:val="clear" w:color="auto" w:fill="212D85"/>
            <w:tcMar>
              <w:top w:w="60" w:type="dxa"/>
              <w:left w:w="100" w:type="dxa"/>
              <w:bottom w:w="60" w:type="dxa"/>
              <w:right w:w="100" w:type="dxa"/>
            </w:tcMar>
          </w:tcPr>
          <w:p w14:paraId="655F02AE" w14:textId="77777777" w:rsidR="005C4BC6" w:rsidRPr="006803C7" w:rsidRDefault="00000000">
            <w:pPr>
              <w:rPr>
                <w:rFonts w:ascii="Helvetica" w:hAnsi="Helvetica" w:cs="Bangla Sangam MN"/>
              </w:rPr>
            </w:pPr>
            <w:r>
              <w:rPr>
                <w:rFonts w:ascii="Helvetica" w:hAnsi="Helvetica" w:cs="Bangla Sangam MN"/>
                <w:b/>
                <w:bCs/>
                <w:color w:val="FFFFFF"/>
                <w:sz w:val="16"/>
                <w:szCs w:val="16"/>
              </w:rPr>
              <w:t>Signal</w:t>
            </w:r>
          </w:p>
        </w:tc>
        <w:tc>
          <w:tcPr>
            <w:tcW w:w="1960" w:type="dxa"/>
            <w:shd w:val="clear" w:color="auto" w:fill="212D85"/>
            <w:tcMar>
              <w:top w:w="60" w:type="dxa"/>
              <w:left w:w="100" w:type="dxa"/>
              <w:bottom w:w="60" w:type="dxa"/>
              <w:right w:w="100" w:type="dxa"/>
            </w:tcMar>
          </w:tcPr>
          <w:p w14:paraId="08F6A87A" w14:textId="77777777" w:rsidR="005C4BC6" w:rsidRPr="006803C7" w:rsidRDefault="00000000">
            <w:pPr>
              <w:rPr>
                <w:rFonts w:ascii="Helvetica" w:hAnsi="Helvetica" w:cs="Bangla Sangam MN"/>
              </w:rPr>
            </w:pPr>
            <w:r>
              <w:rPr>
                <w:rFonts w:ascii="Helvetica" w:hAnsi="Helvetica" w:cs="Bangla Sangam MN"/>
                <w:b/>
                <w:bCs/>
                <w:color w:val="FFFFFF"/>
                <w:sz w:val="16"/>
                <w:szCs w:val="16"/>
              </w:rPr>
              <w:t>Implication</w:t>
            </w:r>
          </w:p>
        </w:tc>
      </w:tr>
      <w:tr w:rsidR="005C4BC6" w:rsidRPr="006803C7" w14:paraId="3BEF2B73" w14:textId="77777777" w:rsidTr="00411601">
        <w:tc>
          <w:tcPr>
            <w:tcW w:w="3000" w:type="dxa"/>
            <w:shd w:val="clear" w:color="auto" w:fill="F2F2F2" w:themeFill="background1" w:themeFillShade="F2"/>
            <w:tcMar>
              <w:top w:w="60" w:type="dxa"/>
              <w:left w:w="100" w:type="dxa"/>
              <w:bottom w:w="60" w:type="dxa"/>
              <w:right w:w="100" w:type="dxa"/>
            </w:tcMar>
          </w:tcPr>
          <w:p w14:paraId="0BBF2B02" w14:textId="77777777" w:rsidR="005C4BC6" w:rsidRPr="006803C7" w:rsidRDefault="00000000">
            <w:pPr>
              <w:rPr>
                <w:rFonts w:ascii="Helvetica" w:hAnsi="Helvetica" w:cs="Bangla Sangam MN"/>
              </w:rPr>
            </w:pPr>
            <w:r>
              <w:rPr>
                <w:rFonts w:ascii="Helvetica" w:hAnsi="Helvetica" w:cs="Bangla Sangam MN"/>
                <w:sz w:val="16"/>
                <w:szCs w:val="16"/>
              </w:rPr>
              <w:t>Fed Funds Rate</w:t>
            </w:r>
          </w:p>
        </w:tc>
        <w:tc>
          <w:tcPr>
            <w:tcW w:w="2000" w:type="dxa"/>
            <w:shd w:val="clear" w:color="auto" w:fill="F2F2F2" w:themeFill="background1" w:themeFillShade="F2"/>
            <w:tcMar>
              <w:top w:w="60" w:type="dxa"/>
              <w:left w:w="100" w:type="dxa"/>
              <w:bottom w:w="60" w:type="dxa"/>
              <w:right w:w="100" w:type="dxa"/>
            </w:tcMar>
          </w:tcPr>
          <w:p w14:paraId="3FE19AB5" w14:textId="77777777" w:rsidR="005C4BC6" w:rsidRPr="006803C7" w:rsidRDefault="00000000">
            <w:pPr>
              <w:rPr>
                <w:rFonts w:ascii="Helvetica" w:hAnsi="Helvetica" w:cs="Bangla Sangam MN"/>
              </w:rPr>
            </w:pPr>
            <w:r>
              <w:rPr>
                <w:rFonts w:ascii="Helvetica" w:hAnsi="Helvetica" w:cs="Bangla Sangam MN"/>
                <w:sz w:val="16"/>
                <w:szCs w:val="16"/>
              </w:rPr>
              <w:t>3.50–3.75%</w:t>
            </w:r>
          </w:p>
        </w:tc>
        <w:tc>
          <w:tcPr>
            <w:tcW w:w="2400" w:type="dxa"/>
            <w:shd w:val="clear" w:color="auto" w:fill="F2F2F2" w:themeFill="background1" w:themeFillShade="F2"/>
            <w:tcMar>
              <w:top w:w="60" w:type="dxa"/>
              <w:left w:w="100" w:type="dxa"/>
              <w:bottom w:w="60" w:type="dxa"/>
              <w:right w:w="100" w:type="dxa"/>
            </w:tcMar>
          </w:tcPr>
          <w:p w14:paraId="4CF8E752" w14:textId="77777777" w:rsidR="005C4BC6" w:rsidRPr="006803C7" w:rsidRDefault="00000000">
            <w:pPr>
              <w:rPr>
                <w:rFonts w:ascii="Helvetica" w:hAnsi="Helvetica" w:cs="Bangla Sangam MN"/>
              </w:rPr>
            </w:pPr>
            <w:r>
              <w:rPr>
                <w:rFonts w:ascii="Helvetica" w:hAnsi="Helvetica" w:cs="Bangla Sangam MN"/>
                <w:sz w:val="16"/>
                <w:szCs w:val="16"/>
              </w:rPr>
              <w:t>Hold (97.4% prob, Jun 17)</w:t>
            </w:r>
          </w:p>
        </w:tc>
        <w:tc>
          <w:tcPr>
            <w:tcW w:w="1960" w:type="dxa"/>
            <w:shd w:val="clear" w:color="auto" w:fill="F2F2F2" w:themeFill="background1" w:themeFillShade="F2"/>
            <w:tcMar>
              <w:top w:w="60" w:type="dxa"/>
              <w:left w:w="100" w:type="dxa"/>
              <w:bottom w:w="60" w:type="dxa"/>
              <w:right w:w="100" w:type="dxa"/>
            </w:tcMar>
          </w:tcPr>
          <w:p w14:paraId="03CF1F44" w14:textId="77777777" w:rsidR="005C4BC6" w:rsidRPr="006803C7" w:rsidRDefault="00000000">
            <w:pPr>
              <w:rPr>
                <w:rFonts w:ascii="Helvetica" w:hAnsi="Helvetica" w:cs="Bangla Sangam MN"/>
              </w:rPr>
            </w:pPr>
            <w:r>
              <w:rPr>
                <w:rFonts w:ascii="Helvetica" w:hAnsi="Helvetica" w:cs="Bangla Sangam MN"/>
                <w:sz w:val="16"/>
                <w:szCs w:val="16"/>
              </w:rPr>
              <w:t>Higher-for-longer; hike risk by Dec</w:t>
            </w:r>
          </w:p>
        </w:tc>
      </w:tr>
      <w:tr w:rsidR="005C4BC6" w:rsidRPr="006803C7" w14:paraId="6891E841" w14:textId="77777777" w:rsidTr="002E71CA">
        <w:tc>
          <w:tcPr>
            <w:tcW w:w="3000" w:type="dxa"/>
            <w:tcMar>
              <w:top w:w="60" w:type="dxa"/>
              <w:left w:w="100" w:type="dxa"/>
              <w:bottom w:w="60" w:type="dxa"/>
              <w:right w:w="100" w:type="dxa"/>
            </w:tcMar>
          </w:tcPr>
          <w:p w14:paraId="6162BA02" w14:textId="77777777" w:rsidR="005C4BC6" w:rsidRPr="006803C7" w:rsidRDefault="00000000">
            <w:pPr>
              <w:rPr>
                <w:rFonts w:ascii="Helvetica" w:hAnsi="Helvetica" w:cs="Bangla Sangam MN"/>
              </w:rPr>
            </w:pPr>
            <w:r>
              <w:rPr>
                <w:rFonts w:ascii="Helvetica" w:hAnsi="Helvetica" w:cs="Bangla Sangam MN"/>
                <w:sz w:val="16"/>
                <w:szCs w:val="16"/>
              </w:rPr>
              <w:t>Dec 2026 hike probability</w:t>
            </w:r>
          </w:p>
        </w:tc>
        <w:tc>
          <w:tcPr>
            <w:tcW w:w="2000" w:type="dxa"/>
            <w:tcMar>
              <w:top w:w="60" w:type="dxa"/>
              <w:left w:w="100" w:type="dxa"/>
              <w:bottom w:w="60" w:type="dxa"/>
              <w:right w:w="100" w:type="dxa"/>
            </w:tcMar>
          </w:tcPr>
          <w:p w14:paraId="2386D9C3" w14:textId="77777777" w:rsidR="005C4BC6" w:rsidRPr="006803C7" w:rsidRDefault="00000000">
            <w:pPr>
              <w:rPr>
                <w:rFonts w:ascii="Helvetica" w:hAnsi="Helvetica" w:cs="Bangla Sangam MN"/>
              </w:rPr>
            </w:pPr>
            <w:r>
              <w:rPr>
                <w:rFonts w:ascii="Helvetica" w:hAnsi="Helvetica" w:cs="Bangla Sangam MN"/>
                <w:sz w:val="16"/>
                <w:szCs w:val="16"/>
              </w:rPr>
              <w:t>~59%</w:t>
            </w:r>
          </w:p>
        </w:tc>
        <w:tc>
          <w:tcPr>
            <w:tcW w:w="2400" w:type="dxa"/>
            <w:tcMar>
              <w:top w:w="60" w:type="dxa"/>
              <w:left w:w="100" w:type="dxa"/>
              <w:bottom w:w="60" w:type="dxa"/>
              <w:right w:w="100" w:type="dxa"/>
            </w:tcMar>
          </w:tcPr>
          <w:p w14:paraId="075CCB0F" w14:textId="77777777" w:rsidR="005C4BC6" w:rsidRPr="006803C7" w:rsidRDefault="00000000">
            <w:pPr>
              <w:rPr>
                <w:rFonts w:ascii="Helvetica" w:hAnsi="Helvetica" w:cs="Bangla Sangam MN"/>
              </w:rPr>
            </w:pPr>
            <w:r>
              <w:rPr>
                <w:rFonts w:ascii="Helvetica" w:hAnsi="Helvetica" w:cs="Bangla Sangam MN"/>
                <w:sz w:val="16"/>
                <w:szCs w:val="16"/>
              </w:rPr>
              <w:t>Hawkish drift</w:t>
            </w:r>
          </w:p>
        </w:tc>
        <w:tc>
          <w:tcPr>
            <w:tcW w:w="1960" w:type="dxa"/>
            <w:tcMar>
              <w:top w:w="60" w:type="dxa"/>
              <w:left w:w="100" w:type="dxa"/>
              <w:bottom w:w="60" w:type="dxa"/>
              <w:right w:w="100" w:type="dxa"/>
            </w:tcMar>
          </w:tcPr>
          <w:p w14:paraId="0DE6C14A" w14:textId="77777777" w:rsidR="005C4BC6" w:rsidRPr="006803C7" w:rsidRDefault="00000000">
            <w:pPr>
              <w:rPr>
                <w:rFonts w:ascii="Helvetica" w:hAnsi="Helvetica" w:cs="Bangla Sangam MN"/>
              </w:rPr>
            </w:pPr>
            <w:r>
              <w:rPr>
                <w:rFonts w:ascii="Helvetica" w:hAnsi="Helvetica" w:cs="Bangla Sangam MN"/>
                <w:sz w:val="16"/>
                <w:szCs w:val="16"/>
              </w:rPr>
              <w:t>No cuts priced; possible tightening</w:t>
            </w:r>
          </w:p>
        </w:tc>
      </w:tr>
      <w:tr w:rsidR="005C4BC6" w:rsidRPr="006803C7" w14:paraId="53A9D80E" w14:textId="77777777" w:rsidTr="00411601">
        <w:tc>
          <w:tcPr>
            <w:tcW w:w="3000" w:type="dxa"/>
            <w:shd w:val="clear" w:color="auto" w:fill="F2F2F2" w:themeFill="background1" w:themeFillShade="F2"/>
            <w:tcMar>
              <w:top w:w="60" w:type="dxa"/>
              <w:left w:w="100" w:type="dxa"/>
              <w:bottom w:w="60" w:type="dxa"/>
              <w:right w:w="100" w:type="dxa"/>
            </w:tcMar>
          </w:tcPr>
          <w:p w14:paraId="4088048B" w14:textId="77777777" w:rsidR="005C4BC6" w:rsidRPr="006803C7" w:rsidRDefault="00000000">
            <w:pPr>
              <w:rPr>
                <w:rFonts w:ascii="Helvetica" w:hAnsi="Helvetica" w:cs="Bangla Sangam MN"/>
              </w:rPr>
            </w:pPr>
            <w:r>
              <w:rPr>
                <w:rFonts w:ascii="Helvetica" w:hAnsi="Helvetica" w:cs="Bangla Sangam MN"/>
                <w:sz w:val="16"/>
                <w:szCs w:val="16"/>
              </w:rPr>
              <w:t>10-year Treasury yield</w:t>
            </w:r>
          </w:p>
        </w:tc>
        <w:tc>
          <w:tcPr>
            <w:tcW w:w="2000" w:type="dxa"/>
            <w:shd w:val="clear" w:color="auto" w:fill="F2F2F2" w:themeFill="background1" w:themeFillShade="F2"/>
            <w:tcMar>
              <w:top w:w="60" w:type="dxa"/>
              <w:left w:w="100" w:type="dxa"/>
              <w:bottom w:w="60" w:type="dxa"/>
              <w:right w:w="100" w:type="dxa"/>
            </w:tcMar>
          </w:tcPr>
          <w:p w14:paraId="3D2316CC" w14:textId="77777777" w:rsidR="005C4BC6" w:rsidRPr="006803C7" w:rsidRDefault="00000000">
            <w:pPr>
              <w:rPr>
                <w:rFonts w:ascii="Helvetica" w:hAnsi="Helvetica" w:cs="Bangla Sangam MN"/>
              </w:rPr>
            </w:pPr>
            <w:r>
              <w:rPr>
                <w:rFonts w:ascii="Helvetica" w:hAnsi="Helvetica" w:cs="Bangla Sangam MN"/>
                <w:sz w:val="16"/>
                <w:szCs w:val="16"/>
              </w:rPr>
              <w:t>~4.54%</w:t>
            </w:r>
          </w:p>
        </w:tc>
        <w:tc>
          <w:tcPr>
            <w:tcW w:w="2400" w:type="dxa"/>
            <w:shd w:val="clear" w:color="auto" w:fill="F2F2F2" w:themeFill="background1" w:themeFillShade="F2"/>
            <w:tcMar>
              <w:top w:w="60" w:type="dxa"/>
              <w:left w:w="100" w:type="dxa"/>
              <w:bottom w:w="60" w:type="dxa"/>
              <w:right w:w="100" w:type="dxa"/>
            </w:tcMar>
          </w:tcPr>
          <w:p w14:paraId="062E62D6" w14:textId="77777777" w:rsidR="005C4BC6" w:rsidRPr="006803C7" w:rsidRDefault="00000000">
            <w:pPr>
              <w:rPr>
                <w:rFonts w:ascii="Helvetica" w:hAnsi="Helvetica" w:cs="Bangla Sangam MN"/>
              </w:rPr>
            </w:pPr>
            <w:r>
              <w:rPr>
                <w:rFonts w:ascii="Helvetica" w:hAnsi="Helvetica" w:cs="Bangla Sangam MN"/>
                <w:sz w:val="16"/>
                <w:szCs w:val="16"/>
              </w:rPr>
              <w:t>Elevated</w:t>
            </w:r>
          </w:p>
        </w:tc>
        <w:tc>
          <w:tcPr>
            <w:tcW w:w="1960" w:type="dxa"/>
            <w:shd w:val="clear" w:color="auto" w:fill="F2F2F2" w:themeFill="background1" w:themeFillShade="F2"/>
            <w:tcMar>
              <w:top w:w="60" w:type="dxa"/>
              <w:left w:w="100" w:type="dxa"/>
              <w:bottom w:w="60" w:type="dxa"/>
              <w:right w:w="100" w:type="dxa"/>
            </w:tcMar>
          </w:tcPr>
          <w:p w14:paraId="3C924D3C" w14:textId="77777777" w:rsidR="005C4BC6" w:rsidRPr="006803C7" w:rsidRDefault="00000000">
            <w:pPr>
              <w:rPr>
                <w:rFonts w:ascii="Helvetica" w:hAnsi="Helvetica" w:cs="Bangla Sangam MN"/>
              </w:rPr>
            </w:pPr>
            <w:r>
              <w:rPr>
                <w:rFonts w:ascii="Helvetica" w:hAnsi="Helvetica" w:cs="Bangla Sangam MN"/>
                <w:sz w:val="16"/>
                <w:szCs w:val="16"/>
              </w:rPr>
              <w:t>Headwind for rate-sensitive sectors</w:t>
            </w:r>
          </w:p>
        </w:tc>
      </w:tr>
      <w:tr w:rsidR="005C4BC6" w:rsidRPr="006803C7" w14:paraId="381FAFA5" w14:textId="77777777" w:rsidTr="002E71CA">
        <w:tc>
          <w:tcPr>
            <w:tcW w:w="3000" w:type="dxa"/>
            <w:tcMar>
              <w:top w:w="60" w:type="dxa"/>
              <w:left w:w="100" w:type="dxa"/>
              <w:bottom w:w="60" w:type="dxa"/>
              <w:right w:w="100" w:type="dxa"/>
            </w:tcMar>
          </w:tcPr>
          <w:p w14:paraId="35D26216" w14:textId="77777777" w:rsidR="005C4BC6" w:rsidRPr="006803C7" w:rsidRDefault="00000000">
            <w:pPr>
              <w:rPr>
                <w:rFonts w:ascii="Helvetica" w:hAnsi="Helvetica" w:cs="Bangla Sangam MN"/>
              </w:rPr>
            </w:pPr>
            <w:r>
              <w:rPr>
                <w:rFonts w:ascii="Helvetica" w:hAnsi="Helvetica" w:cs="Bangla Sangam MN"/>
                <w:sz w:val="16"/>
                <w:szCs w:val="16"/>
              </w:rPr>
              <w:t>2s10s curve slope</w:t>
            </w:r>
          </w:p>
        </w:tc>
        <w:tc>
          <w:tcPr>
            <w:tcW w:w="2000" w:type="dxa"/>
            <w:tcMar>
              <w:top w:w="60" w:type="dxa"/>
              <w:left w:w="100" w:type="dxa"/>
              <w:bottom w:w="60" w:type="dxa"/>
              <w:right w:w="100" w:type="dxa"/>
            </w:tcMar>
          </w:tcPr>
          <w:p w14:paraId="6309A707" w14:textId="77777777" w:rsidR="005C4BC6" w:rsidRPr="006803C7" w:rsidRDefault="00000000">
            <w:pPr>
              <w:rPr>
                <w:rFonts w:ascii="Helvetica" w:hAnsi="Helvetica" w:cs="Bangla Sangam MN"/>
              </w:rPr>
            </w:pPr>
            <w:r>
              <w:rPr>
                <w:rFonts w:ascii="Helvetica" w:hAnsi="Helvetica" w:cs="Bangla Sangam MN"/>
                <w:sz w:val="16"/>
                <w:szCs w:val="16"/>
              </w:rPr>
              <w:t>+0.38%</w:t>
            </w:r>
          </w:p>
        </w:tc>
        <w:tc>
          <w:tcPr>
            <w:tcW w:w="2400" w:type="dxa"/>
            <w:tcMar>
              <w:top w:w="60" w:type="dxa"/>
              <w:left w:w="100" w:type="dxa"/>
              <w:bottom w:w="60" w:type="dxa"/>
              <w:right w:w="100" w:type="dxa"/>
            </w:tcMar>
          </w:tcPr>
          <w:p w14:paraId="0459AADD" w14:textId="77777777" w:rsidR="005C4BC6" w:rsidRPr="006803C7" w:rsidRDefault="00000000">
            <w:pPr>
              <w:rPr>
                <w:rFonts w:ascii="Helvetica" w:hAnsi="Helvetica" w:cs="Bangla Sangam MN"/>
              </w:rPr>
            </w:pPr>
            <w:r>
              <w:rPr>
                <w:rFonts w:ascii="Helvetica" w:hAnsi="Helvetica" w:cs="Bangla Sangam MN"/>
                <w:sz w:val="16"/>
                <w:szCs w:val="16"/>
              </w:rPr>
              <w:t>Positive / steepening</w:t>
            </w:r>
          </w:p>
        </w:tc>
        <w:tc>
          <w:tcPr>
            <w:tcW w:w="1960" w:type="dxa"/>
            <w:tcMar>
              <w:top w:w="60" w:type="dxa"/>
              <w:left w:w="100" w:type="dxa"/>
              <w:bottom w:w="60" w:type="dxa"/>
              <w:right w:w="100" w:type="dxa"/>
            </w:tcMar>
          </w:tcPr>
          <w:p w14:paraId="7EFC824D" w14:textId="77777777" w:rsidR="005C4BC6" w:rsidRPr="006803C7" w:rsidRDefault="00000000">
            <w:pPr>
              <w:rPr>
                <w:rFonts w:ascii="Helvetica" w:hAnsi="Helvetica" w:cs="Bangla Sangam MN"/>
              </w:rPr>
            </w:pPr>
            <w:r>
              <w:rPr>
                <w:rFonts w:ascii="Helvetica" w:hAnsi="Helvetica" w:cs="Bangla Sangam MN"/>
                <w:sz w:val="16"/>
                <w:szCs w:val="16"/>
              </w:rPr>
              <w:t>Tailwind for bank NIM</w:t>
            </w:r>
          </w:p>
        </w:tc>
      </w:tr>
      <w:tr w:rsidR="005C4BC6" w:rsidRPr="006803C7" w14:paraId="7398D9AB" w14:textId="77777777" w:rsidTr="00411601">
        <w:tc>
          <w:tcPr>
            <w:tcW w:w="3000" w:type="dxa"/>
            <w:shd w:val="clear" w:color="auto" w:fill="F2F2F2" w:themeFill="background1" w:themeFillShade="F2"/>
            <w:tcMar>
              <w:top w:w="60" w:type="dxa"/>
              <w:left w:w="100" w:type="dxa"/>
              <w:bottom w:w="60" w:type="dxa"/>
              <w:right w:w="100" w:type="dxa"/>
            </w:tcMar>
          </w:tcPr>
          <w:p w14:paraId="32A22788" w14:textId="77777777" w:rsidR="005C4BC6" w:rsidRPr="006803C7" w:rsidRDefault="00000000">
            <w:pPr>
              <w:rPr>
                <w:rFonts w:ascii="Helvetica" w:hAnsi="Helvetica" w:cs="Bangla Sangam MN"/>
              </w:rPr>
            </w:pPr>
            <w:r>
              <w:rPr>
                <w:rFonts w:ascii="Helvetica" w:hAnsi="Helvetica" w:cs="Bangla Sangam MN"/>
                <w:sz w:val="16"/>
                <w:szCs w:val="16"/>
              </w:rPr>
              <w:t>US Dollar (DXY)</w:t>
            </w:r>
          </w:p>
        </w:tc>
        <w:tc>
          <w:tcPr>
            <w:tcW w:w="2000" w:type="dxa"/>
            <w:shd w:val="clear" w:color="auto" w:fill="F2F2F2" w:themeFill="background1" w:themeFillShade="F2"/>
            <w:tcMar>
              <w:top w:w="60" w:type="dxa"/>
              <w:left w:w="100" w:type="dxa"/>
              <w:bottom w:w="60" w:type="dxa"/>
              <w:right w:w="100" w:type="dxa"/>
            </w:tcMar>
          </w:tcPr>
          <w:p w14:paraId="11D3570A" w14:textId="77777777" w:rsidR="005C4BC6" w:rsidRPr="006803C7" w:rsidRDefault="00000000">
            <w:pPr>
              <w:rPr>
                <w:rFonts w:ascii="Helvetica" w:hAnsi="Helvetica" w:cs="Bangla Sangam MN"/>
              </w:rPr>
            </w:pPr>
            <w:r>
              <w:rPr>
                <w:rFonts w:ascii="Helvetica" w:hAnsi="Helvetica" w:cs="Bangla Sangam MN"/>
                <w:sz w:val="16"/>
                <w:szCs w:val="16"/>
              </w:rPr>
              <w:t>~99.7</w:t>
            </w:r>
          </w:p>
        </w:tc>
        <w:tc>
          <w:tcPr>
            <w:tcW w:w="2400" w:type="dxa"/>
            <w:shd w:val="clear" w:color="auto" w:fill="F2F2F2" w:themeFill="background1" w:themeFillShade="F2"/>
            <w:tcMar>
              <w:top w:w="60" w:type="dxa"/>
              <w:left w:w="100" w:type="dxa"/>
              <w:bottom w:w="60" w:type="dxa"/>
              <w:right w:w="100" w:type="dxa"/>
            </w:tcMar>
          </w:tcPr>
          <w:p w14:paraId="73BECACF" w14:textId="77777777" w:rsidR="005C4BC6" w:rsidRPr="006803C7" w:rsidRDefault="00000000">
            <w:pPr>
              <w:rPr>
                <w:rFonts w:ascii="Helvetica" w:hAnsi="Helvetica" w:cs="Bangla Sangam MN"/>
              </w:rPr>
            </w:pPr>
            <w:r>
              <w:rPr>
                <w:rFonts w:ascii="Helvetica" w:hAnsi="Helvetica" w:cs="Bangla Sangam MN"/>
                <w:sz w:val="16"/>
                <w:szCs w:val="16"/>
              </w:rPr>
              <w:t>Firm, +1.8% MoM</w:t>
            </w:r>
          </w:p>
        </w:tc>
        <w:tc>
          <w:tcPr>
            <w:tcW w:w="1960" w:type="dxa"/>
            <w:shd w:val="clear" w:color="auto" w:fill="F2F2F2" w:themeFill="background1" w:themeFillShade="F2"/>
            <w:tcMar>
              <w:top w:w="60" w:type="dxa"/>
              <w:left w:w="100" w:type="dxa"/>
              <w:bottom w:w="60" w:type="dxa"/>
              <w:right w:w="100" w:type="dxa"/>
            </w:tcMar>
          </w:tcPr>
          <w:p w14:paraId="79775F88" w14:textId="77777777" w:rsidR="005C4BC6" w:rsidRPr="006803C7" w:rsidRDefault="00000000">
            <w:pPr>
              <w:rPr>
                <w:rFonts w:ascii="Helvetica" w:hAnsi="Helvetica" w:cs="Bangla Sangam MN"/>
              </w:rPr>
            </w:pPr>
            <w:r>
              <w:rPr>
                <w:rFonts w:ascii="Helvetica" w:hAnsi="Helvetica" w:cs="Bangla Sangam MN"/>
                <w:sz w:val="16"/>
                <w:szCs w:val="16"/>
              </w:rPr>
              <w:t>Headwind for commodities, Materials</w:t>
            </w:r>
          </w:p>
        </w:tc>
      </w:tr>
      <w:tr w:rsidR="005C4BC6" w:rsidRPr="006803C7" w14:paraId="676D28A8" w14:textId="77777777" w:rsidTr="002E71CA">
        <w:tc>
          <w:tcPr>
            <w:tcW w:w="3000" w:type="dxa"/>
            <w:tcMar>
              <w:top w:w="60" w:type="dxa"/>
              <w:left w:w="100" w:type="dxa"/>
              <w:bottom w:w="60" w:type="dxa"/>
              <w:right w:w="100" w:type="dxa"/>
            </w:tcMar>
          </w:tcPr>
          <w:p w14:paraId="49E3594D" w14:textId="77777777" w:rsidR="005C4BC6" w:rsidRPr="006803C7" w:rsidRDefault="00000000">
            <w:pPr>
              <w:rPr>
                <w:rFonts w:ascii="Helvetica" w:hAnsi="Helvetica" w:cs="Bangla Sangam MN"/>
              </w:rPr>
            </w:pPr>
            <w:r>
              <w:rPr>
                <w:rFonts w:ascii="Helvetica" w:hAnsi="Helvetica" w:cs="Bangla Sangam MN"/>
                <w:sz w:val="16"/>
                <w:szCs w:val="16"/>
              </w:rPr>
              <w:t>ISM Manufacturing PMI</w:t>
            </w:r>
          </w:p>
        </w:tc>
        <w:tc>
          <w:tcPr>
            <w:tcW w:w="2000" w:type="dxa"/>
            <w:tcMar>
              <w:top w:w="60" w:type="dxa"/>
              <w:left w:w="100" w:type="dxa"/>
              <w:bottom w:w="60" w:type="dxa"/>
              <w:right w:w="100" w:type="dxa"/>
            </w:tcMar>
          </w:tcPr>
          <w:p w14:paraId="31E5B345" w14:textId="77777777" w:rsidR="005C4BC6" w:rsidRPr="006803C7" w:rsidRDefault="00000000">
            <w:pPr>
              <w:rPr>
                <w:rFonts w:ascii="Helvetica" w:hAnsi="Helvetica" w:cs="Bangla Sangam MN"/>
              </w:rPr>
            </w:pPr>
            <w:r>
              <w:rPr>
                <w:rFonts w:ascii="Helvetica" w:hAnsi="Helvetica" w:cs="Bangla Sangam MN"/>
                <w:sz w:val="16"/>
                <w:szCs w:val="16"/>
              </w:rPr>
              <w:t>54.0 (May)</w:t>
            </w:r>
          </w:p>
        </w:tc>
        <w:tc>
          <w:tcPr>
            <w:tcW w:w="2400" w:type="dxa"/>
            <w:tcMar>
              <w:top w:w="60" w:type="dxa"/>
              <w:left w:w="100" w:type="dxa"/>
              <w:bottom w:w="60" w:type="dxa"/>
              <w:right w:w="100" w:type="dxa"/>
            </w:tcMar>
          </w:tcPr>
          <w:p w14:paraId="541B1ECE" w14:textId="77777777" w:rsidR="005C4BC6" w:rsidRPr="006803C7" w:rsidRDefault="00000000">
            <w:pPr>
              <w:rPr>
                <w:rFonts w:ascii="Helvetica" w:hAnsi="Helvetica" w:cs="Bangla Sangam MN"/>
              </w:rPr>
            </w:pPr>
            <w:r>
              <w:rPr>
                <w:rFonts w:ascii="Helvetica" w:hAnsi="Helvetica" w:cs="Bangla Sangam MN"/>
                <w:sz w:val="16"/>
                <w:szCs w:val="16"/>
              </w:rPr>
              <w:t>Expanding (5th month)</w:t>
            </w:r>
          </w:p>
        </w:tc>
        <w:tc>
          <w:tcPr>
            <w:tcW w:w="1960" w:type="dxa"/>
            <w:tcMar>
              <w:top w:w="60" w:type="dxa"/>
              <w:left w:w="100" w:type="dxa"/>
              <w:bottom w:w="60" w:type="dxa"/>
              <w:right w:w="100" w:type="dxa"/>
            </w:tcMar>
          </w:tcPr>
          <w:p w14:paraId="2F799C47" w14:textId="77777777" w:rsidR="005C4BC6" w:rsidRPr="006803C7" w:rsidRDefault="00000000">
            <w:pPr>
              <w:rPr>
                <w:rFonts w:ascii="Helvetica" w:hAnsi="Helvetica" w:cs="Bangla Sangam MN"/>
              </w:rPr>
            </w:pPr>
            <w:r>
              <w:rPr>
                <w:rFonts w:ascii="Helvetica" w:hAnsi="Helvetica" w:cs="Bangla Sangam MN"/>
                <w:sz w:val="16"/>
                <w:szCs w:val="16"/>
              </w:rPr>
              <w:t xml:space="preserve">GDP growth ~2.2% annualised</w:t>
            </w:r>
          </w:p>
        </w:tc>
      </w:tr>
      <w:tr w:rsidR="005C4BC6" w:rsidRPr="006803C7" w14:paraId="08E91233" w14:textId="77777777" w:rsidTr="00411601">
        <w:tc>
          <w:tcPr>
            <w:tcW w:w="3000" w:type="dxa"/>
            <w:shd w:val="clear" w:color="auto" w:fill="F2F2F2" w:themeFill="background1" w:themeFillShade="F2"/>
            <w:tcMar>
              <w:top w:w="60" w:type="dxa"/>
              <w:left w:w="100" w:type="dxa"/>
              <w:bottom w:w="60" w:type="dxa"/>
              <w:right w:w="100" w:type="dxa"/>
            </w:tcMar>
          </w:tcPr>
          <w:p w14:paraId="61BD9F34" w14:textId="77777777" w:rsidR="005C4BC6" w:rsidRPr="006803C7" w:rsidRDefault="00000000">
            <w:pPr>
              <w:rPr>
                <w:rFonts w:ascii="Helvetica" w:hAnsi="Helvetica" w:cs="Bangla Sangam MN"/>
              </w:rPr>
            </w:pPr>
            <w:r>
              <w:rPr>
                <w:rFonts w:ascii="Helvetica" w:hAnsi="Helvetica" w:cs="Bangla Sangam MN"/>
                <w:sz w:val="16"/>
                <w:szCs w:val="16"/>
              </w:rPr>
              <w:t>New Orders sub-index</w:t>
            </w:r>
          </w:p>
        </w:tc>
        <w:tc>
          <w:tcPr>
            <w:tcW w:w="2000" w:type="dxa"/>
            <w:shd w:val="clear" w:color="auto" w:fill="F2F2F2" w:themeFill="background1" w:themeFillShade="F2"/>
            <w:tcMar>
              <w:top w:w="60" w:type="dxa"/>
              <w:left w:w="100" w:type="dxa"/>
              <w:bottom w:w="60" w:type="dxa"/>
              <w:right w:w="100" w:type="dxa"/>
            </w:tcMar>
          </w:tcPr>
          <w:p w14:paraId="4291767E" w14:textId="77777777" w:rsidR="005C4BC6" w:rsidRPr="006803C7" w:rsidRDefault="00000000">
            <w:pPr>
              <w:rPr>
                <w:rFonts w:ascii="Helvetica" w:hAnsi="Helvetica" w:cs="Bangla Sangam MN"/>
              </w:rPr>
            </w:pPr>
            <w:r>
              <w:rPr>
                <w:rFonts w:ascii="Helvetica" w:hAnsi="Helvetica" w:cs="Bangla Sangam MN"/>
                <w:sz w:val="16"/>
                <w:szCs w:val="16"/>
              </w:rPr>
              <w:t>56.8</w:t>
            </w:r>
          </w:p>
        </w:tc>
        <w:tc>
          <w:tcPr>
            <w:tcW w:w="2400" w:type="dxa"/>
            <w:shd w:val="clear" w:color="auto" w:fill="F2F2F2" w:themeFill="background1" w:themeFillShade="F2"/>
            <w:tcMar>
              <w:top w:w="60" w:type="dxa"/>
              <w:left w:w="100" w:type="dxa"/>
              <w:bottom w:w="60" w:type="dxa"/>
              <w:right w:w="100" w:type="dxa"/>
            </w:tcMar>
          </w:tcPr>
          <w:p w14:paraId="617B8920" w14:textId="77777777" w:rsidR="005C4BC6" w:rsidRPr="006803C7" w:rsidRDefault="00000000">
            <w:pPr>
              <w:rPr>
                <w:rFonts w:ascii="Helvetica" w:hAnsi="Helvetica" w:cs="Bangla Sangam MN"/>
              </w:rPr>
            </w:pPr>
            <w:r>
              <w:rPr>
                <w:rFonts w:ascii="Helvetica" w:hAnsi="Helvetica" w:cs="Bangla Sangam MN"/>
                <w:sz w:val="16"/>
                <w:szCs w:val="16"/>
              </w:rPr>
              <w:t>Rising from 54.1</w:t>
            </w:r>
          </w:p>
        </w:tc>
        <w:tc>
          <w:tcPr>
            <w:tcW w:w="1960" w:type="dxa"/>
            <w:shd w:val="clear" w:color="auto" w:fill="F2F2F2" w:themeFill="background1" w:themeFillShade="F2"/>
            <w:tcMar>
              <w:top w:w="60" w:type="dxa"/>
              <w:left w:w="100" w:type="dxa"/>
              <w:bottom w:w="60" w:type="dxa"/>
              <w:right w:w="100" w:type="dxa"/>
            </w:tcMar>
          </w:tcPr>
          <w:p w14:paraId="5B488A28" w14:textId="77777777" w:rsidR="005C4BC6" w:rsidRPr="006803C7" w:rsidRDefault="00000000">
            <w:pPr>
              <w:rPr>
                <w:rFonts w:ascii="Helvetica" w:hAnsi="Helvetica" w:cs="Bangla Sangam MN"/>
              </w:rPr>
            </w:pPr>
            <w:r>
              <w:rPr>
                <w:rFonts w:ascii="Helvetica" w:hAnsi="Helvetica" w:cs="Bangla Sangam MN"/>
                <w:sz w:val="16"/>
                <w:szCs w:val="16"/>
              </w:rPr>
              <w:t>Production momentum continues</w:t>
            </w:r>
          </w:p>
        </w:tc>
      </w:tr>
      <w:tr w:rsidR="005C4BC6" w:rsidRPr="006803C7" w14:paraId="5DCBE909" w14:textId="77777777" w:rsidTr="002E71CA">
        <w:tc>
          <w:tcPr>
            <w:tcW w:w="3000" w:type="dxa"/>
            <w:tcMar>
              <w:top w:w="60" w:type="dxa"/>
              <w:left w:w="100" w:type="dxa"/>
              <w:bottom w:w="60" w:type="dxa"/>
              <w:right w:w="100" w:type="dxa"/>
            </w:tcMar>
          </w:tcPr>
          <w:p w14:paraId="706BF70E" w14:textId="77777777" w:rsidR="005C4BC6" w:rsidRPr="006803C7" w:rsidRDefault="00000000">
            <w:pPr>
              <w:rPr>
                <w:rFonts w:ascii="Helvetica" w:hAnsi="Helvetica" w:cs="Bangla Sangam MN"/>
              </w:rPr>
            </w:pPr>
            <w:r>
              <w:rPr>
                <w:rFonts w:ascii="Helvetica" w:hAnsi="Helvetica" w:cs="Bangla Sangam MN"/>
                <w:sz w:val="16"/>
                <w:szCs w:val="16"/>
              </w:rPr>
              <w:t>Non-farm payrolls (May)</w:t>
            </w:r>
          </w:p>
        </w:tc>
        <w:tc>
          <w:tcPr>
            <w:tcW w:w="2000" w:type="dxa"/>
            <w:tcMar>
              <w:top w:w="60" w:type="dxa"/>
              <w:left w:w="100" w:type="dxa"/>
              <w:bottom w:w="60" w:type="dxa"/>
              <w:right w:w="100" w:type="dxa"/>
            </w:tcMar>
          </w:tcPr>
          <w:p w14:paraId="78F1CDB1" w14:textId="77777777" w:rsidR="005C4BC6" w:rsidRPr="006803C7" w:rsidRDefault="00000000">
            <w:pPr>
              <w:rPr>
                <w:rFonts w:ascii="Helvetica" w:hAnsi="Helvetica" w:cs="Bangla Sangam MN"/>
              </w:rPr>
            </w:pPr>
            <w:r>
              <w:rPr>
                <w:rFonts w:ascii="Helvetica" w:hAnsi="Helvetica" w:cs="Bangla Sangam MN"/>
                <w:sz w:val="16"/>
                <w:szCs w:val="16"/>
              </w:rPr>
              <w:t>+172,000</w:t>
            </w:r>
          </w:p>
        </w:tc>
        <w:tc>
          <w:tcPr>
            <w:tcW w:w="2400" w:type="dxa"/>
            <w:tcMar>
              <w:top w:w="60" w:type="dxa"/>
              <w:left w:w="100" w:type="dxa"/>
              <w:bottom w:w="60" w:type="dxa"/>
              <w:right w:w="100" w:type="dxa"/>
            </w:tcMar>
          </w:tcPr>
          <w:p w14:paraId="6F6CF802" w14:textId="77777777" w:rsidR="005C4BC6" w:rsidRPr="006803C7" w:rsidRDefault="00000000">
            <w:pPr>
              <w:rPr>
                <w:rFonts w:ascii="Helvetica" w:hAnsi="Helvetica" w:cs="Bangla Sangam MN"/>
              </w:rPr>
            </w:pPr>
            <w:r>
              <w:rPr>
                <w:rFonts w:ascii="Helvetica" w:hAnsi="Helvetica" w:cs="Bangla Sangam MN"/>
                <w:sz w:val="16"/>
                <w:szCs w:val="16"/>
              </w:rPr>
              <w:t>Beat vs ~85,000 exp.</w:t>
            </w:r>
          </w:p>
        </w:tc>
        <w:tc>
          <w:tcPr>
            <w:tcW w:w="1960" w:type="dxa"/>
            <w:tcMar>
              <w:top w:w="60" w:type="dxa"/>
              <w:left w:w="100" w:type="dxa"/>
              <w:bottom w:w="60" w:type="dxa"/>
              <w:right w:w="100" w:type="dxa"/>
            </w:tcMar>
          </w:tcPr>
          <w:p w14:paraId="4273568B" w14:textId="77777777" w:rsidR="005C4BC6" w:rsidRPr="006803C7" w:rsidRDefault="00000000">
            <w:pPr>
              <w:rPr>
                <w:rFonts w:ascii="Helvetica" w:hAnsi="Helvetica" w:cs="Bangla Sangam MN"/>
              </w:rPr>
            </w:pPr>
            <w:r>
              <w:rPr>
                <w:rFonts w:ascii="Helvetica" w:hAnsi="Helvetica" w:cs="Bangla Sangam MN"/>
                <w:sz w:val="16"/>
                <w:szCs w:val="16"/>
              </w:rPr>
              <w:t>Labor market firm</w:t>
            </w:r>
          </w:p>
        </w:tc>
      </w:tr>
      <w:tr w:rsidR="005C4BC6" w:rsidRPr="006803C7" w14:paraId="69DBD2A0" w14:textId="77777777" w:rsidTr="00411601">
        <w:tc>
          <w:tcPr>
            <w:tcW w:w="3000" w:type="dxa"/>
            <w:shd w:val="clear" w:color="auto" w:fill="F2F2F2" w:themeFill="background1" w:themeFillShade="F2"/>
            <w:tcMar>
              <w:top w:w="60" w:type="dxa"/>
              <w:left w:w="100" w:type="dxa"/>
              <w:bottom w:w="60" w:type="dxa"/>
              <w:right w:w="100" w:type="dxa"/>
            </w:tcMar>
          </w:tcPr>
          <w:p w14:paraId="72B7F69A" w14:textId="77777777" w:rsidR="005C4BC6" w:rsidRPr="006803C7" w:rsidRDefault="00000000">
            <w:pPr>
              <w:rPr>
                <w:rFonts w:ascii="Helvetica" w:hAnsi="Helvetica" w:cs="Bangla Sangam MN"/>
              </w:rPr>
            </w:pPr>
            <w:r>
              <w:rPr>
                <w:rFonts w:ascii="Helvetica" w:hAnsi="Helvetica" w:cs="Bangla Sangam MN"/>
                <w:sz w:val="16"/>
                <w:szCs w:val="16"/>
              </w:rPr>
              <w:t>Unemployment rate</w:t>
            </w:r>
          </w:p>
        </w:tc>
        <w:tc>
          <w:tcPr>
            <w:tcW w:w="2000" w:type="dxa"/>
            <w:shd w:val="clear" w:color="auto" w:fill="F2F2F2" w:themeFill="background1" w:themeFillShade="F2"/>
            <w:tcMar>
              <w:top w:w="60" w:type="dxa"/>
              <w:left w:w="100" w:type="dxa"/>
              <w:bottom w:w="60" w:type="dxa"/>
              <w:right w:w="100" w:type="dxa"/>
            </w:tcMar>
          </w:tcPr>
          <w:p w14:paraId="167C6736" w14:textId="77777777" w:rsidR="005C4BC6" w:rsidRPr="006803C7" w:rsidRDefault="00000000">
            <w:pPr>
              <w:rPr>
                <w:rFonts w:ascii="Helvetica" w:hAnsi="Helvetica" w:cs="Bangla Sangam MN"/>
              </w:rPr>
            </w:pPr>
            <w:r>
              <w:rPr>
                <w:rFonts w:ascii="Helvetica" w:hAnsi="Helvetica" w:cs="Bangla Sangam MN"/>
                <w:sz w:val="16"/>
                <w:szCs w:val="16"/>
              </w:rPr>
              <w:t>4.3%</w:t>
            </w:r>
          </w:p>
        </w:tc>
        <w:tc>
          <w:tcPr>
            <w:tcW w:w="2400" w:type="dxa"/>
            <w:shd w:val="clear" w:color="auto" w:fill="F2F2F2" w:themeFill="background1" w:themeFillShade="F2"/>
            <w:tcMar>
              <w:top w:w="60" w:type="dxa"/>
              <w:left w:w="100" w:type="dxa"/>
              <w:bottom w:w="60" w:type="dxa"/>
              <w:right w:w="100" w:type="dxa"/>
            </w:tcMar>
          </w:tcPr>
          <w:p w14:paraId="3D90406F" w14:textId="77777777" w:rsidR="005C4BC6" w:rsidRPr="006803C7" w:rsidRDefault="00000000">
            <w:pPr>
              <w:rPr>
                <w:rFonts w:ascii="Helvetica" w:hAnsi="Helvetica" w:cs="Bangla Sangam MN"/>
              </w:rPr>
            </w:pPr>
            <w:r>
              <w:rPr>
                <w:rFonts w:ascii="Helvetica" w:hAnsi="Helvetica" w:cs="Bangla Sangam MN"/>
                <w:sz w:val="16"/>
                <w:szCs w:val="16"/>
              </w:rPr>
              <w:t>Stable</w:t>
            </w:r>
          </w:p>
        </w:tc>
        <w:tc>
          <w:tcPr>
            <w:tcW w:w="1960" w:type="dxa"/>
            <w:shd w:val="clear" w:color="auto" w:fill="F2F2F2" w:themeFill="background1" w:themeFillShade="F2"/>
            <w:tcMar>
              <w:top w:w="60" w:type="dxa"/>
              <w:left w:w="100" w:type="dxa"/>
              <w:bottom w:w="60" w:type="dxa"/>
              <w:right w:w="100" w:type="dxa"/>
            </w:tcMar>
          </w:tcPr>
          <w:p w14:paraId="6204B68B" w14:textId="77777777" w:rsidR="005C4BC6" w:rsidRPr="006803C7" w:rsidRDefault="00000000">
            <w:pPr>
              <w:rPr>
                <w:rFonts w:ascii="Helvetica" w:hAnsi="Helvetica" w:cs="Bangla Sangam MN"/>
              </w:rPr>
            </w:pPr>
            <w:r>
              <w:rPr>
                <w:rFonts w:ascii="Helvetica" w:hAnsi="Helvetica" w:cs="Bangla Sangam MN"/>
                <w:sz w:val="16"/>
                <w:szCs w:val="16"/>
              </w:rPr>
              <w:t>No slack emerging</w:t>
            </w:r>
          </w:p>
        </w:tc>
      </w:tr>
      <w:tr w:rsidR="005C4BC6" w:rsidRPr="006803C7" w14:paraId="41E93CC3" w14:textId="77777777" w:rsidTr="002E71CA">
        <w:tc>
          <w:tcPr>
            <w:tcW w:w="3000" w:type="dxa"/>
            <w:tcMar>
              <w:top w:w="60" w:type="dxa"/>
              <w:left w:w="100" w:type="dxa"/>
              <w:bottom w:w="60" w:type="dxa"/>
              <w:right w:w="100" w:type="dxa"/>
            </w:tcMar>
          </w:tcPr>
          <w:p w14:paraId="312C460D" w14:textId="77777777" w:rsidR="005C4BC6" w:rsidRPr="006803C7" w:rsidRDefault="00000000">
            <w:pPr>
              <w:rPr>
                <w:rFonts w:ascii="Helvetica" w:hAnsi="Helvetica" w:cs="Bangla Sangam MN"/>
              </w:rPr>
            </w:pPr>
            <w:r>
              <w:rPr>
                <w:rFonts w:ascii="Helvetica" w:hAnsi="Helvetica" w:cs="Bangla Sangam MN"/>
                <w:sz w:val="16"/>
                <w:szCs w:val="16"/>
              </w:rPr>
              <w:t>CPI (May, YoY)</w:t>
            </w:r>
          </w:p>
        </w:tc>
        <w:tc>
          <w:tcPr>
            <w:tcW w:w="2000" w:type="dxa"/>
            <w:tcMar>
              <w:top w:w="60" w:type="dxa"/>
              <w:left w:w="100" w:type="dxa"/>
              <w:bottom w:w="60" w:type="dxa"/>
              <w:right w:w="100" w:type="dxa"/>
            </w:tcMar>
          </w:tcPr>
          <w:p w14:paraId="0A883937" w14:textId="77777777" w:rsidR="005C4BC6" w:rsidRPr="006803C7" w:rsidRDefault="00000000">
            <w:pPr>
              <w:rPr>
                <w:rFonts w:ascii="Helvetica" w:hAnsi="Helvetica" w:cs="Bangla Sangam MN"/>
              </w:rPr>
            </w:pPr>
            <w:r>
              <w:rPr>
                <w:rFonts w:ascii="Helvetica" w:hAnsi="Helvetica" w:cs="Bangla Sangam MN"/>
                <w:sz w:val="16"/>
                <w:szCs w:val="16"/>
              </w:rPr>
              <w:t>+4.2%</w:t>
            </w:r>
          </w:p>
        </w:tc>
        <w:tc>
          <w:tcPr>
            <w:tcW w:w="2400" w:type="dxa"/>
            <w:tcMar>
              <w:top w:w="60" w:type="dxa"/>
              <w:left w:w="100" w:type="dxa"/>
              <w:bottom w:w="60" w:type="dxa"/>
              <w:right w:w="100" w:type="dxa"/>
            </w:tcMar>
          </w:tcPr>
          <w:p w14:paraId="2707BA50" w14:textId="77777777" w:rsidR="005C4BC6" w:rsidRPr="006803C7" w:rsidRDefault="00000000">
            <w:pPr>
              <w:rPr>
                <w:rFonts w:ascii="Helvetica" w:hAnsi="Helvetica" w:cs="Bangla Sangam MN"/>
              </w:rPr>
            </w:pPr>
            <w:r>
              <w:rPr>
                <w:rFonts w:ascii="Helvetica" w:hAnsi="Helvetica" w:cs="Bangla Sangam MN"/>
                <w:sz w:val="16"/>
                <w:szCs w:val="16"/>
              </w:rPr>
              <w:t>Fastest since 2023</w:t>
            </w:r>
          </w:p>
        </w:tc>
        <w:tc>
          <w:tcPr>
            <w:tcW w:w="1960" w:type="dxa"/>
            <w:tcMar>
              <w:top w:w="60" w:type="dxa"/>
              <w:left w:w="100" w:type="dxa"/>
              <w:bottom w:w="60" w:type="dxa"/>
              <w:right w:w="100" w:type="dxa"/>
            </w:tcMar>
          </w:tcPr>
          <w:p w14:paraId="6E8365E7" w14:textId="77777777" w:rsidR="005C4BC6" w:rsidRPr="006803C7" w:rsidRDefault="00000000">
            <w:pPr>
              <w:rPr>
                <w:rFonts w:ascii="Helvetica" w:hAnsi="Helvetica" w:cs="Bangla Sangam MN"/>
              </w:rPr>
            </w:pPr>
            <w:r>
              <w:rPr>
                <w:rFonts w:ascii="Helvetica" w:hAnsi="Helvetica" w:cs="Bangla Sangam MN"/>
                <w:sz w:val="16"/>
                <w:szCs w:val="16"/>
              </w:rPr>
              <w:t>Inflation re-accelerating</w:t>
            </w:r>
          </w:p>
        </w:tc>
      </w:tr>
      <w:tr w:rsidR="005C4BC6" w:rsidRPr="006803C7" w14:paraId="14ABD080" w14:textId="77777777" w:rsidTr="00411601">
        <w:tc>
          <w:tcPr>
            <w:tcW w:w="3000" w:type="dxa"/>
            <w:shd w:val="clear" w:color="auto" w:fill="F2F2F2" w:themeFill="background1" w:themeFillShade="F2"/>
            <w:tcMar>
              <w:top w:w="60" w:type="dxa"/>
              <w:left w:w="100" w:type="dxa"/>
              <w:bottom w:w="60" w:type="dxa"/>
              <w:right w:w="100" w:type="dxa"/>
            </w:tcMar>
          </w:tcPr>
          <w:p w14:paraId="2BCCE99F" w14:textId="77777777" w:rsidR="005C4BC6" w:rsidRPr="006803C7" w:rsidRDefault="00000000">
            <w:pPr>
              <w:rPr>
                <w:rFonts w:ascii="Helvetica" w:hAnsi="Helvetica" w:cs="Bangla Sangam MN"/>
              </w:rPr>
            </w:pPr>
            <w:r>
              <w:rPr>
                <w:rFonts w:ascii="Helvetica" w:hAnsi="Helvetica" w:cs="Bangla Sangam MN"/>
                <w:sz w:val="16"/>
                <w:szCs w:val="16"/>
              </w:rPr>
              <w:t>CPI energy contribution</w:t>
            </w:r>
          </w:p>
        </w:tc>
        <w:tc>
          <w:tcPr>
            <w:tcW w:w="2000" w:type="dxa"/>
            <w:shd w:val="clear" w:color="auto" w:fill="F2F2F2" w:themeFill="background1" w:themeFillShade="F2"/>
            <w:tcMar>
              <w:top w:w="60" w:type="dxa"/>
              <w:left w:w="100" w:type="dxa"/>
              <w:bottom w:w="60" w:type="dxa"/>
              <w:right w:w="100" w:type="dxa"/>
            </w:tcMar>
          </w:tcPr>
          <w:p w14:paraId="6F2B3800" w14:textId="77777777" w:rsidR="005C4BC6" w:rsidRPr="006803C7" w:rsidRDefault="00000000">
            <w:pPr>
              <w:rPr>
                <w:rFonts w:ascii="Helvetica" w:hAnsi="Helvetica" w:cs="Bangla Sangam MN"/>
              </w:rPr>
            </w:pPr>
            <w:r>
              <w:rPr>
                <w:rFonts w:ascii="Helvetica" w:hAnsi="Helvetica" w:cs="Bangla Sangam MN"/>
                <w:sz w:val="16"/>
                <w:szCs w:val="16"/>
              </w:rPr>
              <w:t>&gt;60% of gain</w:t>
            </w:r>
          </w:p>
        </w:tc>
        <w:tc>
          <w:tcPr>
            <w:tcW w:w="2400" w:type="dxa"/>
            <w:shd w:val="clear" w:color="auto" w:fill="F2F2F2" w:themeFill="background1" w:themeFillShade="F2"/>
            <w:tcMar>
              <w:top w:w="60" w:type="dxa"/>
              <w:left w:w="100" w:type="dxa"/>
              <w:bottom w:w="60" w:type="dxa"/>
              <w:right w:w="100" w:type="dxa"/>
            </w:tcMar>
          </w:tcPr>
          <w:p w14:paraId="68103D87" w14:textId="77777777" w:rsidR="005C4BC6" w:rsidRPr="006803C7" w:rsidRDefault="00000000">
            <w:pPr>
              <w:rPr>
                <w:rFonts w:ascii="Helvetica" w:hAnsi="Helvetica" w:cs="Bangla Sangam MN"/>
              </w:rPr>
            </w:pPr>
            <w:r>
              <w:rPr>
                <w:rFonts w:ascii="Helvetica" w:hAnsi="Helvetica" w:cs="Bangla Sangam MN"/>
                <w:sz w:val="16"/>
                <w:szCs w:val="16"/>
              </w:rPr>
              <w:t>Oil shock (Iran)</w:t>
            </w:r>
          </w:p>
        </w:tc>
        <w:tc>
          <w:tcPr>
            <w:tcW w:w="1960" w:type="dxa"/>
            <w:shd w:val="clear" w:color="auto" w:fill="F2F2F2" w:themeFill="background1" w:themeFillShade="F2"/>
            <w:tcMar>
              <w:top w:w="60" w:type="dxa"/>
              <w:left w:w="100" w:type="dxa"/>
              <w:bottom w:w="60" w:type="dxa"/>
              <w:right w:w="100" w:type="dxa"/>
            </w:tcMar>
          </w:tcPr>
          <w:p w14:paraId="521542AD" w14:textId="77777777" w:rsidR="005C4BC6" w:rsidRPr="006803C7" w:rsidRDefault="00000000">
            <w:pPr>
              <w:rPr>
                <w:rFonts w:ascii="Helvetica" w:hAnsi="Helvetica" w:cs="Bangla Sangam MN"/>
              </w:rPr>
            </w:pPr>
            <w:r>
              <w:rPr>
                <w:rFonts w:ascii="Helvetica" w:hAnsi="Helvetica" w:cs="Bangla Sangam MN"/>
                <w:sz w:val="16"/>
                <w:szCs w:val="16"/>
              </w:rPr>
              <w:t>Geopolitical risk in headline</w:t>
            </w:r>
          </w:p>
        </w:tc>
      </w:tr>
      <w:tr w:rsidR="005C4BC6" w:rsidRPr="006803C7" w14:paraId="75CA9D12" w14:textId="77777777" w:rsidTr="00310D05">
        <w:tc>
          <w:tcPr>
            <w:tcW w:w="3000" w:type="dxa"/>
            <w:tcMar>
              <w:top w:w="60" w:type="dxa"/>
              <w:left w:w="100" w:type="dxa"/>
              <w:bottom w:w="60" w:type="dxa"/>
              <w:right w:w="100" w:type="dxa"/>
            </w:tcMar>
          </w:tcPr>
          <w:p w14:paraId="1E6A7653" w14:textId="77777777" w:rsidR="005C4BC6" w:rsidRPr="006803C7" w:rsidRDefault="00000000">
            <w:pPr>
              <w:rPr>
                <w:rFonts w:ascii="Helvetica" w:hAnsi="Helvetica" w:cs="Bangla Sangam MN"/>
              </w:rPr>
            </w:pPr>
            <w:r>
              <w:rPr>
                <w:rFonts w:ascii="Helvetica" w:hAnsi="Helvetica" w:cs="Bangla Sangam MN"/>
                <w:sz w:val="16"/>
                <w:szCs w:val="16"/>
              </w:rPr>
              <w:t>Core PCE (Apr, YoY)</w:t>
            </w:r>
          </w:p>
        </w:tc>
        <w:tc>
          <w:tcPr>
            <w:tcW w:w="2000" w:type="dxa"/>
            <w:tcMar>
              <w:top w:w="60" w:type="dxa"/>
              <w:left w:w="100" w:type="dxa"/>
              <w:bottom w:w="60" w:type="dxa"/>
              <w:right w:w="100" w:type="dxa"/>
            </w:tcMar>
          </w:tcPr>
          <w:p w14:paraId="754A0DFD" w14:textId="77777777" w:rsidR="005C4BC6" w:rsidRPr="006803C7" w:rsidRDefault="00000000">
            <w:pPr>
              <w:rPr>
                <w:rFonts w:ascii="Helvetica" w:hAnsi="Helvetica" w:cs="Bangla Sangam MN"/>
              </w:rPr>
            </w:pPr>
            <w:r>
              <w:rPr>
                <w:rFonts w:ascii="Helvetica" w:hAnsi="Helvetica" w:cs="Bangla Sangam MN"/>
                <w:sz w:val="16"/>
                <w:szCs w:val="16"/>
              </w:rPr>
              <w:t>+3.3%</w:t>
            </w:r>
          </w:p>
        </w:tc>
        <w:tc>
          <w:tcPr>
            <w:tcW w:w="2400" w:type="dxa"/>
            <w:tcMar>
              <w:top w:w="60" w:type="dxa"/>
              <w:left w:w="100" w:type="dxa"/>
              <w:bottom w:w="60" w:type="dxa"/>
              <w:right w:w="100" w:type="dxa"/>
            </w:tcMar>
          </w:tcPr>
          <w:p w14:paraId="350799D3" w14:textId="77777777" w:rsidR="005C4BC6" w:rsidRPr="006803C7" w:rsidRDefault="00000000">
            <w:pPr>
              <w:rPr>
                <w:rFonts w:ascii="Helvetica" w:hAnsi="Helvetica" w:cs="Bangla Sangam MN"/>
              </w:rPr>
            </w:pPr>
            <w:r>
              <w:rPr>
                <w:rFonts w:ascii="Helvetica" w:hAnsi="Helvetica" w:cs="Bangla Sangam MN"/>
                <w:sz w:val="16"/>
                <w:szCs w:val="16"/>
              </w:rPr>
              <w:t>Highest since late 2023</w:t>
            </w:r>
          </w:p>
        </w:tc>
        <w:tc>
          <w:tcPr>
            <w:tcW w:w="1960" w:type="dxa"/>
            <w:tcMar>
              <w:top w:w="60" w:type="dxa"/>
              <w:left w:w="100" w:type="dxa"/>
              <w:bottom w:w="60" w:type="dxa"/>
              <w:right w:w="100" w:type="dxa"/>
            </w:tcMar>
          </w:tcPr>
          <w:p w14:paraId="7FA4F151" w14:textId="77777777" w:rsidR="005C4BC6" w:rsidRPr="006803C7" w:rsidRDefault="00000000">
            <w:pPr>
              <w:rPr>
                <w:rFonts w:ascii="Helvetica" w:hAnsi="Helvetica" w:cs="Bangla Sangam MN"/>
              </w:rPr>
            </w:pPr>
            <w:r>
              <w:rPr>
                <w:rFonts w:ascii="Helvetica" w:hAnsi="Helvetica" w:cs="Bangla Sangam MN"/>
                <w:sz w:val="16"/>
                <w:szCs w:val="16"/>
              </w:rPr>
              <w:t>Underlying inflation sticky</w:t>
            </w:r>
          </w:p>
        </w:tc>
      </w:tr>
      <w:tr w:rsidR="005C4BC6" w:rsidRPr="006803C7" w14:paraId="53791970" w14:textId="77777777" w:rsidTr="00310D05">
        <w:tc>
          <w:tcPr>
            <w:tcW w:w="3000" w:type="dxa"/>
            <w:tcBorders>
              <w:bottom w:val="single" w:sz="4" w:space="0" w:color="auto"/>
            </w:tcBorders>
            <w:shd w:val="clear" w:color="auto" w:fill="F2F2F2" w:themeFill="background1" w:themeFillShade="F2"/>
            <w:tcMar>
              <w:top w:w="60" w:type="dxa"/>
              <w:left w:w="100" w:type="dxa"/>
              <w:bottom w:w="60" w:type="dxa"/>
              <w:right w:w="100" w:type="dxa"/>
            </w:tcMar>
          </w:tcPr>
          <w:p w14:paraId="78F8A3E9" w14:textId="77777777" w:rsidR="005C4BC6" w:rsidRPr="006803C7" w:rsidRDefault="00000000">
            <w:pPr>
              <w:rPr>
                <w:rFonts w:ascii="Helvetica" w:hAnsi="Helvetica" w:cs="Bangla Sangam MN"/>
              </w:rPr>
            </w:pPr>
            <w:r>
              <w:rPr>
                <w:rFonts w:ascii="Helvetica" w:hAnsi="Helvetica" w:cs="Bangla Sangam MN"/>
                <w:sz w:val="16"/>
                <w:szCs w:val="16"/>
              </w:rPr>
              <w:t>Headline PCE (Apr, YoY)</w:t>
            </w:r>
          </w:p>
        </w:tc>
        <w:tc>
          <w:tcPr>
            <w:tcW w:w="2000" w:type="dxa"/>
            <w:tcBorders>
              <w:bottom w:val="single" w:sz="4" w:space="0" w:color="auto"/>
            </w:tcBorders>
            <w:shd w:val="clear" w:color="auto" w:fill="F2F2F2" w:themeFill="background1" w:themeFillShade="F2"/>
            <w:tcMar>
              <w:top w:w="60" w:type="dxa"/>
              <w:left w:w="100" w:type="dxa"/>
              <w:bottom w:w="60" w:type="dxa"/>
              <w:right w:w="100" w:type="dxa"/>
            </w:tcMar>
          </w:tcPr>
          <w:p w14:paraId="75B522E5" w14:textId="77777777" w:rsidR="005C4BC6" w:rsidRPr="006803C7" w:rsidRDefault="00000000">
            <w:pPr>
              <w:rPr>
                <w:rFonts w:ascii="Helvetica" w:hAnsi="Helvetica" w:cs="Bangla Sangam MN"/>
              </w:rPr>
            </w:pPr>
            <w:r>
              <w:rPr>
                <w:rFonts w:ascii="Helvetica" w:hAnsi="Helvetica" w:cs="Bangla Sangam MN"/>
                <w:sz w:val="16"/>
                <w:szCs w:val="16"/>
              </w:rPr>
              <w:t>+3.8%</w:t>
            </w:r>
          </w:p>
        </w:tc>
        <w:tc>
          <w:tcPr>
            <w:tcW w:w="2400" w:type="dxa"/>
            <w:tcBorders>
              <w:bottom w:val="single" w:sz="4" w:space="0" w:color="auto"/>
            </w:tcBorders>
            <w:shd w:val="clear" w:color="auto" w:fill="F2F2F2" w:themeFill="background1" w:themeFillShade="F2"/>
            <w:tcMar>
              <w:top w:w="60" w:type="dxa"/>
              <w:left w:w="100" w:type="dxa"/>
              <w:bottom w:w="60" w:type="dxa"/>
              <w:right w:w="100" w:type="dxa"/>
            </w:tcMar>
          </w:tcPr>
          <w:p w14:paraId="410891C5" w14:textId="77777777" w:rsidR="005C4BC6" w:rsidRPr="006803C7" w:rsidRDefault="00000000">
            <w:pPr>
              <w:rPr>
                <w:rFonts w:ascii="Helvetica" w:hAnsi="Helvetica" w:cs="Bangla Sangam MN"/>
              </w:rPr>
            </w:pPr>
            <w:r>
              <w:rPr>
                <w:rFonts w:ascii="Helvetica" w:hAnsi="Helvetica" w:cs="Bangla Sangam MN"/>
                <w:sz w:val="16"/>
                <w:szCs w:val="16"/>
              </w:rPr>
              <w:t>2nd consecutive accel.</w:t>
            </w:r>
          </w:p>
        </w:tc>
        <w:tc>
          <w:tcPr>
            <w:tcW w:w="1960" w:type="dxa"/>
            <w:tcBorders>
              <w:bottom w:val="single" w:sz="4" w:space="0" w:color="auto"/>
            </w:tcBorders>
            <w:shd w:val="clear" w:color="auto" w:fill="F2F2F2" w:themeFill="background1" w:themeFillShade="F2"/>
            <w:tcMar>
              <w:top w:w="60" w:type="dxa"/>
              <w:left w:w="100" w:type="dxa"/>
              <w:bottom w:w="60" w:type="dxa"/>
              <w:right w:w="100" w:type="dxa"/>
            </w:tcMar>
          </w:tcPr>
          <w:p w14:paraId="00CCFFAC" w14:textId="77777777" w:rsidR="005C4BC6" w:rsidRPr="006803C7" w:rsidRDefault="00000000">
            <w:pPr>
              <w:rPr>
                <w:rFonts w:ascii="Helvetica" w:hAnsi="Helvetica" w:cs="Bangla Sangam MN"/>
              </w:rPr>
            </w:pPr>
            <w:r>
              <w:rPr>
                <w:rFonts w:ascii="Helvetica" w:hAnsi="Helvetica" w:cs="Bangla Sangam MN"/>
                <w:sz w:val="16"/>
                <w:szCs w:val="16"/>
              </w:rPr>
              <w:t>Broad price pressure</w:t>
            </w:r>
          </w:p>
        </w:tc>
      </w:tr>
    </w:tbl>
    <w:p w14:paraId="2F239301" w14:textId="675104E7" w:rsidR="0040648E" w:rsidRPr="007F687C" w:rsidRDefault="00000000" w:rsidP="007F687C">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 xml:space="preserve">Sources: CME FedWatch; FRED; BLS; BEA; ISM / Data as of 13–16 June 2026</w:t>
      </w:r>
    </w:p>
    <w:p w14:paraId="74EA829F" w14:textId="136BF1AF"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lastRenderedPageBreak/>
        <w:t>3.3 US sector analysis</w:t>
      </w:r>
    </w:p>
    <w:p w14:paraId="63A20F16"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Each sector is assessed on valuation vs the ~21</w:t>
      </w:r>
      <w:r>
        <w:rPr>
          <w:rFonts w:ascii="Helvetica" w:hAnsi="Helvetica" w:cs="Cambria"/>
        </w:rPr>
        <w:t>×</w:t>
      </w:r>
      <w:r>
        <w:rPr>
          <w:rFonts w:ascii="Helvetica" w:hAnsi="Helvetica" w:cs="Bangla Sangam MN"/>
        </w:rPr>
        <w:t xml:space="preserve"> market multiple, earnings-revision direction, and regime fit. Calls are relative to the S&amp;P 500. The valuation spread below is the starting point: Energy and Financials screen cheapest, while Information Technology and Consumer Discretionary carry the richest multiples and the greatest rate-sensitivity.</w:t>
      </w:r>
    </w:p>
    <w:p w14:paraId="5B29AC76" w14:textId="1BA720A0" w:rsidR="005C4BC6" w:rsidRPr="006803C7" w:rsidRDefault="005C4BC6">
      <w:pPr>
        <w:spacing w:before="60" w:after="20"/>
        <w:jc w:val="center"/>
        <w:rPr>
          <w:rFonts w:ascii="Helvetica" w:hAnsi="Helvetica" w:cs="Bangla Sangam MN"/>
        </w:rPr>
      </w:pPr>
    </w:p>
    <w:p w14:paraId="522ADEDD" w14:textId="3AA5B5D2" w:rsidR="001645B8" w:rsidRPr="006803C7" w:rsidRDefault="001645B8" w:rsidP="002E71CA">
      <w:pPr>
        <w:spacing w:before="60" w:after="20"/>
        <w:jc w:val="center"/>
        <w:rPr>
          <w:rFonts w:ascii="Helvetica" w:hAnsi="Helvetica" w:cs="Bangla Sangam MN"/>
        </w:rPr>
      </w:pPr>
      <w:r>
        <w:rPr>
          <w:rFonts w:ascii="Helvetica" w:hAnsi="Helvetica" w:cs="Bangla Sangam MN"/>
          <w:noProof/>
        </w:rPr>
        <w:drawing>
          <wp:inline distT="0" distB="0" distL="0" distR="0" wp14:anchorId="0F2888C1" wp14:editId="17F187F2">
            <wp:extent cx="5850542" cy="2540899"/>
            <wp:effectExtent l="0" t="0" r="4445" b="0"/>
            <wp:docPr id="881782956" name="Chart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CA132A" w14:textId="429CFCAD"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Sources: stockanalysis.com; S&amp;P Global; FactSet</w:t>
      </w:r>
    </w:p>
    <w:p w14:paraId="22E68923" w14:textId="77777777" w:rsidR="002E71CA" w:rsidRPr="006803C7" w:rsidRDefault="002E71CA">
      <w:pPr>
        <w:spacing w:before="30" w:after="160"/>
        <w:jc w:val="center"/>
        <w:rPr>
          <w:rFonts w:ascii="Helvetica" w:hAnsi="Helvetica" w:cs="Bangla Sangam MN"/>
        </w:rPr>
      </w:pPr>
    </w:p>
    <w:tbl>
      <w:tblPr>
        <w:tblW w:w="9360" w:type="dxa"/>
        <w:tblCellMar>
          <w:left w:w="10" w:type="dxa"/>
          <w:right w:w="10" w:type="dxa"/>
        </w:tblCellMar>
        <w:tblLook w:val="04A0" w:firstRow="1" w:lastRow="0" w:firstColumn="1" w:lastColumn="0" w:noHBand="0" w:noVBand="1"/>
      </w:tblPr>
      <w:tblGrid>
        <w:gridCol w:w="1700"/>
        <w:gridCol w:w="760"/>
        <w:gridCol w:w="2050"/>
        <w:gridCol w:w="2150"/>
        <w:gridCol w:w="2700"/>
      </w:tblGrid>
      <w:tr w:rsidR="005C4BC6" w:rsidRPr="006803C7" w14:paraId="7254D59F" w14:textId="77777777" w:rsidTr="002E71CA">
        <w:trPr>
          <w:tblHeader/>
        </w:trPr>
        <w:tc>
          <w:tcPr>
            <w:tcW w:w="1700" w:type="dxa"/>
            <w:shd w:val="clear" w:color="auto" w:fill="212D85"/>
            <w:tcMar>
              <w:top w:w="60" w:type="dxa"/>
              <w:left w:w="100" w:type="dxa"/>
              <w:bottom w:w="60" w:type="dxa"/>
              <w:right w:w="100" w:type="dxa"/>
            </w:tcMar>
          </w:tcPr>
          <w:p w14:paraId="2B4E2C78" w14:textId="77777777" w:rsidR="005C4BC6" w:rsidRPr="006803C7" w:rsidRDefault="00000000">
            <w:pPr>
              <w:rPr>
                <w:rFonts w:ascii="Helvetica" w:hAnsi="Helvetica" w:cs="Bangla Sangam MN"/>
              </w:rPr>
            </w:pPr>
            <w:r>
              <w:rPr>
                <w:rFonts w:ascii="Helvetica" w:hAnsi="Helvetica" w:cs="Bangla Sangam MN"/>
                <w:b/>
                <w:bCs/>
                <w:color w:val="FFFFFF"/>
                <w:sz w:val="16"/>
                <w:szCs w:val="16"/>
              </w:rPr>
              <w:t>Sector (ETF)</w:t>
            </w:r>
          </w:p>
        </w:tc>
        <w:tc>
          <w:tcPr>
            <w:tcW w:w="760" w:type="dxa"/>
            <w:shd w:val="clear" w:color="auto" w:fill="212D85"/>
            <w:tcMar>
              <w:top w:w="60" w:type="dxa"/>
              <w:left w:w="100" w:type="dxa"/>
              <w:bottom w:w="60" w:type="dxa"/>
              <w:right w:w="100" w:type="dxa"/>
            </w:tcMar>
          </w:tcPr>
          <w:p w14:paraId="710CB4E2" w14:textId="77777777" w:rsidR="005C4BC6" w:rsidRPr="006803C7" w:rsidRDefault="00000000">
            <w:pPr>
              <w:rPr>
                <w:rFonts w:ascii="Helvetica" w:hAnsi="Helvetica" w:cs="Bangla Sangam MN"/>
              </w:rPr>
            </w:pPr>
            <w:r>
              <w:rPr>
                <w:rFonts w:ascii="Helvetica" w:hAnsi="Helvetica" w:cs="Bangla Sangam MN"/>
                <w:b/>
                <w:bCs/>
                <w:color w:val="FFFFFF"/>
                <w:sz w:val="16"/>
                <w:szCs w:val="16"/>
              </w:rPr>
              <w:t>Call</w:t>
            </w:r>
          </w:p>
        </w:tc>
        <w:tc>
          <w:tcPr>
            <w:tcW w:w="2050" w:type="dxa"/>
            <w:shd w:val="clear" w:color="auto" w:fill="212D85"/>
            <w:tcMar>
              <w:top w:w="60" w:type="dxa"/>
              <w:left w:w="100" w:type="dxa"/>
              <w:bottom w:w="60" w:type="dxa"/>
              <w:right w:w="100" w:type="dxa"/>
            </w:tcMar>
          </w:tcPr>
          <w:p w14:paraId="0F843246" w14:textId="77777777" w:rsidR="005C4BC6" w:rsidRPr="006803C7" w:rsidRDefault="00000000">
            <w:pPr>
              <w:rPr>
                <w:rFonts w:ascii="Helvetica" w:hAnsi="Helvetica" w:cs="Bangla Sangam MN"/>
              </w:rPr>
            </w:pPr>
            <w:r>
              <w:rPr>
                <w:rFonts w:ascii="Helvetica" w:hAnsi="Helvetica" w:cs="Bangla Sangam MN"/>
                <w:b/>
                <w:bCs/>
                <w:color w:val="FFFFFF"/>
                <w:sz w:val="16"/>
                <w:szCs w:val="16"/>
              </w:rPr>
              <w:t>Valuation vs market</w:t>
            </w:r>
          </w:p>
        </w:tc>
        <w:tc>
          <w:tcPr>
            <w:tcW w:w="2150" w:type="dxa"/>
            <w:shd w:val="clear" w:color="auto" w:fill="212D85"/>
            <w:tcMar>
              <w:top w:w="60" w:type="dxa"/>
              <w:left w:w="100" w:type="dxa"/>
              <w:bottom w:w="60" w:type="dxa"/>
              <w:right w:w="100" w:type="dxa"/>
            </w:tcMar>
          </w:tcPr>
          <w:p w14:paraId="5D8957C2" w14:textId="77777777" w:rsidR="005C4BC6" w:rsidRPr="006803C7" w:rsidRDefault="00000000">
            <w:pPr>
              <w:rPr>
                <w:rFonts w:ascii="Helvetica" w:hAnsi="Helvetica" w:cs="Bangla Sangam MN"/>
              </w:rPr>
            </w:pPr>
            <w:r>
              <w:rPr>
                <w:rFonts w:ascii="Helvetica" w:hAnsi="Helvetica" w:cs="Bangla Sangam MN"/>
                <w:b/>
                <w:bCs/>
                <w:color w:val="FFFFFF"/>
                <w:sz w:val="16"/>
                <w:szCs w:val="16"/>
              </w:rPr>
              <w:t>Earnings / regime</w:t>
            </w:r>
          </w:p>
        </w:tc>
        <w:tc>
          <w:tcPr>
            <w:tcW w:w="2700" w:type="dxa"/>
            <w:shd w:val="clear" w:color="auto" w:fill="212D85"/>
            <w:tcMar>
              <w:top w:w="60" w:type="dxa"/>
              <w:left w:w="100" w:type="dxa"/>
              <w:bottom w:w="60" w:type="dxa"/>
              <w:right w:w="100" w:type="dxa"/>
            </w:tcMar>
          </w:tcPr>
          <w:p w14:paraId="78F88D62" w14:textId="77777777" w:rsidR="005C4BC6" w:rsidRPr="006803C7" w:rsidRDefault="00000000">
            <w:pPr>
              <w:rPr>
                <w:rFonts w:ascii="Helvetica" w:hAnsi="Helvetica" w:cs="Bangla Sangam MN"/>
              </w:rPr>
            </w:pPr>
            <w:r>
              <w:rPr>
                <w:rFonts w:ascii="Helvetica" w:hAnsi="Helvetica" w:cs="Bangla Sangam MN"/>
                <w:b/>
                <w:bCs/>
                <w:color w:val="FFFFFF"/>
                <w:sz w:val="16"/>
                <w:szCs w:val="16"/>
              </w:rPr>
              <w:t>Key risk</w:t>
            </w:r>
          </w:p>
        </w:tc>
      </w:tr>
      <w:tr w:rsidR="005C4BC6" w:rsidRPr="006803C7" w14:paraId="28921719" w14:textId="77777777" w:rsidTr="00411601">
        <w:tc>
          <w:tcPr>
            <w:tcW w:w="1700" w:type="dxa"/>
            <w:shd w:val="clear" w:color="auto" w:fill="F2F2F2" w:themeFill="background1" w:themeFillShade="F2"/>
            <w:tcMar>
              <w:top w:w="60" w:type="dxa"/>
              <w:left w:w="100" w:type="dxa"/>
              <w:bottom w:w="60" w:type="dxa"/>
              <w:right w:w="100" w:type="dxa"/>
            </w:tcMar>
          </w:tcPr>
          <w:p w14:paraId="3B9419B1" w14:textId="77777777" w:rsidR="005C4BC6" w:rsidRPr="006803C7" w:rsidRDefault="00000000">
            <w:pPr>
              <w:rPr>
                <w:rFonts w:ascii="Helvetica" w:hAnsi="Helvetica" w:cs="Bangla Sangam MN"/>
              </w:rPr>
            </w:pPr>
            <w:r>
              <w:rPr>
                <w:rFonts w:ascii="Helvetica" w:hAnsi="Helvetica" w:cs="Bangla Sangam MN"/>
                <w:sz w:val="16"/>
                <w:szCs w:val="16"/>
              </w:rPr>
              <w:t>Energy (XLE)</w:t>
            </w:r>
          </w:p>
        </w:tc>
        <w:tc>
          <w:tcPr>
            <w:tcW w:w="760" w:type="dxa"/>
            <w:shd w:val="clear" w:color="auto" w:fill="F2F2F2" w:themeFill="background1" w:themeFillShade="F2"/>
            <w:tcMar>
              <w:top w:w="60" w:type="dxa"/>
              <w:left w:w="100" w:type="dxa"/>
              <w:bottom w:w="60" w:type="dxa"/>
              <w:right w:w="100" w:type="dxa"/>
            </w:tcMar>
          </w:tcPr>
          <w:p w14:paraId="3BAA688D"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2050" w:type="dxa"/>
            <w:shd w:val="clear" w:color="auto" w:fill="F2F2F2" w:themeFill="background1" w:themeFillShade="F2"/>
            <w:tcMar>
              <w:top w:w="60" w:type="dxa"/>
              <w:left w:w="100" w:type="dxa"/>
              <w:bottom w:w="60" w:type="dxa"/>
              <w:right w:w="100" w:type="dxa"/>
            </w:tcMar>
          </w:tcPr>
          <w:p w14:paraId="1379CD7B" w14:textId="77777777" w:rsidR="005C4BC6" w:rsidRPr="006803C7" w:rsidRDefault="00000000">
            <w:pPr>
              <w:rPr>
                <w:rFonts w:ascii="Helvetica" w:hAnsi="Helvetica" w:cs="Bangla Sangam MN"/>
              </w:rPr>
            </w:pPr>
            <w:r>
              <w:rPr>
                <w:rFonts w:ascii="Helvetica" w:hAnsi="Helvetica" w:cs="Bangla Sangam MN"/>
                <w:sz w:val="16"/>
                <w:szCs w:val="16"/>
              </w:rPr>
              <w:t>P/E 12.5</w:t>
            </w:r>
            <w:r>
              <w:rPr>
                <w:rFonts w:ascii="Helvetica" w:hAnsi="Helvetica" w:cs="Cambria"/>
                <w:sz w:val="16"/>
                <w:szCs w:val="16"/>
              </w:rPr>
              <w:t>×</w:t>
            </w:r>
            <w:r>
              <w:rPr>
                <w:rFonts w:ascii="Helvetica" w:hAnsi="Helvetica" w:cs="Bangla Sangam MN"/>
                <w:sz w:val="16"/>
                <w:szCs w:val="16"/>
              </w:rPr>
              <w:t xml:space="preserve"> — cheapest</w:t>
            </w:r>
          </w:p>
        </w:tc>
        <w:tc>
          <w:tcPr>
            <w:tcW w:w="2150" w:type="dxa"/>
            <w:shd w:val="clear" w:color="auto" w:fill="F2F2F2" w:themeFill="background1" w:themeFillShade="F2"/>
            <w:tcMar>
              <w:top w:w="60" w:type="dxa"/>
              <w:left w:w="100" w:type="dxa"/>
              <w:bottom w:w="60" w:type="dxa"/>
              <w:right w:w="100" w:type="dxa"/>
            </w:tcMar>
          </w:tcPr>
          <w:p w14:paraId="42CC9C82" w14:textId="77777777" w:rsidR="005C4BC6" w:rsidRPr="006803C7" w:rsidRDefault="00000000">
            <w:pPr>
              <w:rPr>
                <w:rFonts w:ascii="Helvetica" w:hAnsi="Helvetica" w:cs="Bangla Sangam MN"/>
              </w:rPr>
            </w:pPr>
            <w:r>
              <w:rPr>
                <w:rFonts w:ascii="Helvetica" w:hAnsi="Helvetica" w:cs="Bangla Sangam MN"/>
                <w:sz w:val="16"/>
                <w:szCs w:val="16"/>
              </w:rPr>
              <w:t>Rising with oil; favorable</w:t>
            </w:r>
          </w:p>
        </w:tc>
        <w:tc>
          <w:tcPr>
            <w:tcW w:w="2700" w:type="dxa"/>
            <w:shd w:val="clear" w:color="auto" w:fill="F2F2F2" w:themeFill="background1" w:themeFillShade="F2"/>
            <w:tcMar>
              <w:top w:w="60" w:type="dxa"/>
              <w:left w:w="100" w:type="dxa"/>
              <w:bottom w:w="60" w:type="dxa"/>
              <w:right w:w="100" w:type="dxa"/>
            </w:tcMar>
          </w:tcPr>
          <w:p w14:paraId="3E9D033D" w14:textId="77777777" w:rsidR="005C4BC6" w:rsidRPr="006803C7" w:rsidRDefault="00000000">
            <w:pPr>
              <w:rPr>
                <w:rFonts w:ascii="Helvetica" w:hAnsi="Helvetica" w:cs="Bangla Sangam MN"/>
              </w:rPr>
            </w:pPr>
            <w:r>
              <w:rPr>
                <w:rFonts w:ascii="Helvetica" w:hAnsi="Helvetica" w:cs="Bangla Sangam MN"/>
                <w:sz w:val="16"/>
                <w:szCs w:val="16"/>
              </w:rPr>
              <w:t>Ceasefire collapses oil premium</w:t>
            </w:r>
          </w:p>
        </w:tc>
      </w:tr>
      <w:tr w:rsidR="005C4BC6" w:rsidRPr="006803C7" w14:paraId="326EF971" w14:textId="77777777" w:rsidTr="002E71CA">
        <w:tc>
          <w:tcPr>
            <w:tcW w:w="1700" w:type="dxa"/>
            <w:tcMar>
              <w:top w:w="60" w:type="dxa"/>
              <w:left w:w="100" w:type="dxa"/>
              <w:bottom w:w="60" w:type="dxa"/>
              <w:right w:w="100" w:type="dxa"/>
            </w:tcMar>
          </w:tcPr>
          <w:p w14:paraId="078CEF0E" w14:textId="77777777" w:rsidR="005C4BC6" w:rsidRPr="006803C7" w:rsidRDefault="00000000">
            <w:pPr>
              <w:rPr>
                <w:rFonts w:ascii="Helvetica" w:hAnsi="Helvetica" w:cs="Bangla Sangam MN"/>
              </w:rPr>
            </w:pPr>
            <w:r>
              <w:rPr>
                <w:rFonts w:ascii="Helvetica" w:hAnsi="Helvetica" w:cs="Bangla Sangam MN"/>
                <w:sz w:val="16"/>
                <w:szCs w:val="16"/>
              </w:rPr>
              <w:t>Industrials (XLI)</w:t>
            </w:r>
          </w:p>
        </w:tc>
        <w:tc>
          <w:tcPr>
            <w:tcW w:w="760" w:type="dxa"/>
            <w:tcMar>
              <w:top w:w="60" w:type="dxa"/>
              <w:left w:w="100" w:type="dxa"/>
              <w:bottom w:w="60" w:type="dxa"/>
              <w:right w:w="100" w:type="dxa"/>
            </w:tcMar>
          </w:tcPr>
          <w:p w14:paraId="44BB9ED0"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2050" w:type="dxa"/>
            <w:tcMar>
              <w:top w:w="60" w:type="dxa"/>
              <w:left w:w="100" w:type="dxa"/>
              <w:bottom w:w="60" w:type="dxa"/>
              <w:right w:w="100" w:type="dxa"/>
            </w:tcMar>
          </w:tcPr>
          <w:p w14:paraId="6CC86A46" w14:textId="77777777" w:rsidR="005C4BC6" w:rsidRPr="006803C7" w:rsidRDefault="00000000">
            <w:pPr>
              <w:rPr>
                <w:rFonts w:ascii="Helvetica" w:hAnsi="Helvetica" w:cs="Bangla Sangam MN"/>
              </w:rPr>
            </w:pPr>
            <w:r>
              <w:rPr>
                <w:rFonts w:ascii="Helvetica" w:hAnsi="Helvetica" w:cs="Bangla Sangam MN"/>
                <w:sz w:val="16"/>
                <w:szCs w:val="16"/>
              </w:rPr>
              <w:t>P/E 27</w:t>
            </w:r>
            <w:r>
              <w:rPr>
                <w:rFonts w:ascii="Helvetica" w:hAnsi="Helvetica" w:cs="Cambria"/>
                <w:sz w:val="16"/>
                <w:szCs w:val="16"/>
              </w:rPr>
              <w:t>×</w:t>
            </w:r>
            <w:r>
              <w:rPr>
                <w:rFonts w:ascii="Helvetica" w:hAnsi="Helvetica" w:cs="Bangla Sangam MN"/>
                <w:sz w:val="16"/>
                <w:szCs w:val="16"/>
              </w:rPr>
              <w:t xml:space="preserve"> — expensive</w:t>
            </w:r>
          </w:p>
        </w:tc>
        <w:tc>
          <w:tcPr>
            <w:tcW w:w="2150" w:type="dxa"/>
            <w:tcMar>
              <w:top w:w="60" w:type="dxa"/>
              <w:left w:w="100" w:type="dxa"/>
              <w:bottom w:w="60" w:type="dxa"/>
              <w:right w:w="100" w:type="dxa"/>
            </w:tcMar>
          </w:tcPr>
          <w:p w14:paraId="5FA20207" w14:textId="77777777" w:rsidR="005C4BC6" w:rsidRPr="006803C7" w:rsidRDefault="00000000">
            <w:pPr>
              <w:rPr>
                <w:rFonts w:ascii="Helvetica" w:hAnsi="Helvetica" w:cs="Bangla Sangam MN"/>
              </w:rPr>
            </w:pPr>
            <w:r>
              <w:rPr>
                <w:rFonts w:ascii="Helvetica" w:hAnsi="Helvetica" w:cs="Bangla Sangam MN"/>
                <w:sz w:val="16"/>
                <w:szCs w:val="16"/>
              </w:rPr>
              <w:t>Backlog &gt;1 BTB; favorable</w:t>
            </w:r>
          </w:p>
        </w:tc>
        <w:tc>
          <w:tcPr>
            <w:tcW w:w="2700" w:type="dxa"/>
            <w:tcMar>
              <w:top w:w="60" w:type="dxa"/>
              <w:left w:w="100" w:type="dxa"/>
              <w:bottom w:w="60" w:type="dxa"/>
              <w:right w:w="100" w:type="dxa"/>
            </w:tcMar>
          </w:tcPr>
          <w:p w14:paraId="6534B775" w14:textId="77777777" w:rsidR="005C4BC6" w:rsidRPr="006803C7" w:rsidRDefault="00000000">
            <w:pPr>
              <w:rPr>
                <w:rFonts w:ascii="Helvetica" w:hAnsi="Helvetica" w:cs="Bangla Sangam MN"/>
              </w:rPr>
            </w:pPr>
            <w:r>
              <w:rPr>
                <w:rFonts w:ascii="Helvetica" w:hAnsi="Helvetica" w:cs="Bangla Sangam MN"/>
                <w:sz w:val="16"/>
                <w:szCs w:val="16"/>
              </w:rPr>
              <w:t>ISM rollover; budget delay</w:t>
            </w:r>
          </w:p>
        </w:tc>
      </w:tr>
      <w:tr w:rsidR="005C4BC6" w:rsidRPr="006803C7" w14:paraId="169B9FC3" w14:textId="77777777" w:rsidTr="00411601">
        <w:tc>
          <w:tcPr>
            <w:tcW w:w="1700" w:type="dxa"/>
            <w:shd w:val="clear" w:color="auto" w:fill="F2F2F2" w:themeFill="background1" w:themeFillShade="F2"/>
            <w:tcMar>
              <w:top w:w="60" w:type="dxa"/>
              <w:left w:w="100" w:type="dxa"/>
              <w:bottom w:w="60" w:type="dxa"/>
              <w:right w:w="100" w:type="dxa"/>
            </w:tcMar>
          </w:tcPr>
          <w:p w14:paraId="66643A24" w14:textId="77777777" w:rsidR="005C4BC6" w:rsidRPr="006803C7" w:rsidRDefault="00000000">
            <w:pPr>
              <w:rPr>
                <w:rFonts w:ascii="Helvetica" w:hAnsi="Helvetica" w:cs="Bangla Sangam MN"/>
              </w:rPr>
            </w:pPr>
            <w:r>
              <w:rPr>
                <w:rFonts w:ascii="Helvetica" w:hAnsi="Helvetica" w:cs="Bangla Sangam MN"/>
                <w:sz w:val="16"/>
                <w:szCs w:val="16"/>
              </w:rPr>
              <w:t>Health Care (XLV)</w:t>
            </w:r>
          </w:p>
        </w:tc>
        <w:tc>
          <w:tcPr>
            <w:tcW w:w="760" w:type="dxa"/>
            <w:shd w:val="clear" w:color="auto" w:fill="F2F2F2" w:themeFill="background1" w:themeFillShade="F2"/>
            <w:tcMar>
              <w:top w:w="60" w:type="dxa"/>
              <w:left w:w="100" w:type="dxa"/>
              <w:bottom w:w="60" w:type="dxa"/>
              <w:right w:w="100" w:type="dxa"/>
            </w:tcMar>
          </w:tcPr>
          <w:p w14:paraId="2E176BF8"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2050" w:type="dxa"/>
            <w:shd w:val="clear" w:color="auto" w:fill="F2F2F2" w:themeFill="background1" w:themeFillShade="F2"/>
            <w:tcMar>
              <w:top w:w="60" w:type="dxa"/>
              <w:left w:w="100" w:type="dxa"/>
              <w:bottom w:w="60" w:type="dxa"/>
              <w:right w:w="100" w:type="dxa"/>
            </w:tcMar>
          </w:tcPr>
          <w:p w14:paraId="5395CA5B" w14:textId="77777777" w:rsidR="005C4BC6" w:rsidRPr="006803C7" w:rsidRDefault="00000000">
            <w:pPr>
              <w:rPr>
                <w:rFonts w:ascii="Helvetica" w:hAnsi="Helvetica" w:cs="Bangla Sangam MN"/>
              </w:rPr>
            </w:pPr>
            <w:r>
              <w:rPr>
                <w:rFonts w:ascii="Helvetica" w:hAnsi="Helvetica" w:cs="Bangla Sangam MN"/>
                <w:sz w:val="16"/>
                <w:szCs w:val="16"/>
              </w:rPr>
              <w:t>P/E 18</w:t>
            </w:r>
            <w:r>
              <w:rPr>
                <w:rFonts w:ascii="Helvetica" w:hAnsi="Helvetica" w:cs="Cambria"/>
                <w:sz w:val="16"/>
                <w:szCs w:val="16"/>
              </w:rPr>
              <w:t>×</w:t>
            </w:r>
            <w:r>
              <w:rPr>
                <w:rFonts w:ascii="Helvetica" w:hAnsi="Helvetica" w:cs="Bangla Sangam MN"/>
                <w:sz w:val="16"/>
                <w:szCs w:val="16"/>
              </w:rPr>
              <w:t xml:space="preserve"> — below market</w:t>
            </w:r>
          </w:p>
        </w:tc>
        <w:tc>
          <w:tcPr>
            <w:tcW w:w="2150" w:type="dxa"/>
            <w:shd w:val="clear" w:color="auto" w:fill="F2F2F2" w:themeFill="background1" w:themeFillShade="F2"/>
            <w:tcMar>
              <w:top w:w="60" w:type="dxa"/>
              <w:left w:w="100" w:type="dxa"/>
              <w:bottom w:w="60" w:type="dxa"/>
              <w:right w:w="100" w:type="dxa"/>
            </w:tcMar>
          </w:tcPr>
          <w:p w14:paraId="3480E6EA" w14:textId="77777777" w:rsidR="005C4BC6" w:rsidRPr="006803C7" w:rsidRDefault="00000000">
            <w:pPr>
              <w:rPr>
                <w:rFonts w:ascii="Helvetica" w:hAnsi="Helvetica" w:cs="Bangla Sangam MN"/>
              </w:rPr>
            </w:pPr>
            <w:r>
              <w:rPr>
                <w:rFonts w:ascii="Helvetica" w:hAnsi="Helvetica" w:cs="Bangla Sangam MN"/>
                <w:sz w:val="16"/>
                <w:szCs w:val="16"/>
              </w:rPr>
              <w:t>Demographic; favorable</w:t>
            </w:r>
          </w:p>
        </w:tc>
        <w:tc>
          <w:tcPr>
            <w:tcW w:w="2700" w:type="dxa"/>
            <w:shd w:val="clear" w:color="auto" w:fill="F2F2F2" w:themeFill="background1" w:themeFillShade="F2"/>
            <w:tcMar>
              <w:top w:w="60" w:type="dxa"/>
              <w:left w:w="100" w:type="dxa"/>
              <w:bottom w:w="60" w:type="dxa"/>
              <w:right w:w="100" w:type="dxa"/>
            </w:tcMar>
          </w:tcPr>
          <w:p w14:paraId="50278163" w14:textId="77777777" w:rsidR="005C4BC6" w:rsidRPr="006803C7" w:rsidRDefault="00000000">
            <w:pPr>
              <w:rPr>
                <w:rFonts w:ascii="Helvetica" w:hAnsi="Helvetica" w:cs="Bangla Sangam MN"/>
              </w:rPr>
            </w:pPr>
            <w:r>
              <w:rPr>
                <w:rFonts w:ascii="Helvetica" w:hAnsi="Helvetica" w:cs="Bangla Sangam MN"/>
                <w:sz w:val="16"/>
                <w:szCs w:val="16"/>
              </w:rPr>
              <w:t>Drug pricing legislation</w:t>
            </w:r>
          </w:p>
        </w:tc>
      </w:tr>
      <w:tr w:rsidR="005C4BC6" w:rsidRPr="006803C7" w14:paraId="24397955" w14:textId="77777777" w:rsidTr="002E71CA">
        <w:tc>
          <w:tcPr>
            <w:tcW w:w="1700" w:type="dxa"/>
            <w:tcMar>
              <w:top w:w="60" w:type="dxa"/>
              <w:left w:w="100" w:type="dxa"/>
              <w:bottom w:w="60" w:type="dxa"/>
              <w:right w:w="100" w:type="dxa"/>
            </w:tcMar>
          </w:tcPr>
          <w:p w14:paraId="6B4CCBC9" w14:textId="77777777" w:rsidR="005C4BC6" w:rsidRPr="006803C7" w:rsidRDefault="00000000">
            <w:pPr>
              <w:rPr>
                <w:rFonts w:ascii="Helvetica" w:hAnsi="Helvetica" w:cs="Bangla Sangam MN"/>
              </w:rPr>
            </w:pPr>
            <w:r>
              <w:rPr>
                <w:rFonts w:ascii="Helvetica" w:hAnsi="Helvetica" w:cs="Bangla Sangam MN"/>
                <w:sz w:val="16"/>
                <w:szCs w:val="16"/>
              </w:rPr>
              <w:t>Consumer Staples (XLP)</w:t>
            </w:r>
          </w:p>
        </w:tc>
        <w:tc>
          <w:tcPr>
            <w:tcW w:w="760" w:type="dxa"/>
            <w:tcMar>
              <w:top w:w="60" w:type="dxa"/>
              <w:left w:w="100" w:type="dxa"/>
              <w:bottom w:w="60" w:type="dxa"/>
              <w:right w:w="100" w:type="dxa"/>
            </w:tcMar>
          </w:tcPr>
          <w:p w14:paraId="7C32D6F3"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2050" w:type="dxa"/>
            <w:tcMar>
              <w:top w:w="60" w:type="dxa"/>
              <w:left w:w="100" w:type="dxa"/>
              <w:bottom w:w="60" w:type="dxa"/>
              <w:right w:w="100" w:type="dxa"/>
            </w:tcMar>
          </w:tcPr>
          <w:p w14:paraId="456D2EEC" w14:textId="77777777" w:rsidR="005C4BC6" w:rsidRPr="006803C7" w:rsidRDefault="00000000">
            <w:pPr>
              <w:rPr>
                <w:rFonts w:ascii="Helvetica" w:hAnsi="Helvetica" w:cs="Bangla Sangam MN"/>
              </w:rPr>
            </w:pPr>
            <w:r>
              <w:rPr>
                <w:rFonts w:ascii="Helvetica" w:hAnsi="Helvetica" w:cs="Bangla Sangam MN"/>
                <w:sz w:val="16"/>
                <w:szCs w:val="16"/>
              </w:rPr>
              <w:t>P/E 20</w:t>
            </w:r>
            <w:r>
              <w:rPr>
                <w:rFonts w:ascii="Helvetica" w:hAnsi="Helvetica" w:cs="Cambria"/>
                <w:sz w:val="16"/>
                <w:szCs w:val="16"/>
              </w:rPr>
              <w:t>×</w:t>
            </w:r>
            <w:r>
              <w:rPr>
                <w:rFonts w:ascii="Helvetica" w:hAnsi="Helvetica" w:cs="Bangla Sangam MN"/>
                <w:sz w:val="16"/>
                <w:szCs w:val="16"/>
              </w:rPr>
              <w:t xml:space="preserve"> — at market</w:t>
            </w:r>
          </w:p>
        </w:tc>
        <w:tc>
          <w:tcPr>
            <w:tcW w:w="2150" w:type="dxa"/>
            <w:tcMar>
              <w:top w:w="60" w:type="dxa"/>
              <w:left w:w="100" w:type="dxa"/>
              <w:bottom w:w="60" w:type="dxa"/>
              <w:right w:w="100" w:type="dxa"/>
            </w:tcMar>
          </w:tcPr>
          <w:p w14:paraId="08ADFD50" w14:textId="77777777" w:rsidR="005C4BC6" w:rsidRPr="006803C7" w:rsidRDefault="00000000">
            <w:pPr>
              <w:rPr>
                <w:rFonts w:ascii="Helvetica" w:hAnsi="Helvetica" w:cs="Bangla Sangam MN"/>
              </w:rPr>
            </w:pPr>
            <w:r>
              <w:rPr>
                <w:rFonts w:ascii="Helvetica" w:hAnsi="Helvetica" w:cs="Bangla Sangam MN"/>
                <w:sz w:val="16"/>
                <w:szCs w:val="16"/>
              </w:rPr>
              <w:t>Food pricing power</w:t>
            </w:r>
          </w:p>
        </w:tc>
        <w:tc>
          <w:tcPr>
            <w:tcW w:w="2700" w:type="dxa"/>
            <w:tcMar>
              <w:top w:w="60" w:type="dxa"/>
              <w:left w:w="100" w:type="dxa"/>
              <w:bottom w:w="60" w:type="dxa"/>
              <w:right w:w="100" w:type="dxa"/>
            </w:tcMar>
          </w:tcPr>
          <w:p w14:paraId="15DB96EB" w14:textId="77777777" w:rsidR="005C4BC6" w:rsidRPr="006803C7" w:rsidRDefault="00000000">
            <w:pPr>
              <w:rPr>
                <w:rFonts w:ascii="Helvetica" w:hAnsi="Helvetica" w:cs="Bangla Sangam MN"/>
              </w:rPr>
            </w:pPr>
            <w:r>
              <w:rPr>
                <w:rFonts w:ascii="Helvetica" w:hAnsi="Helvetica" w:cs="Bangla Sangam MN"/>
                <w:sz w:val="16"/>
                <w:szCs w:val="16"/>
              </w:rPr>
              <w:t>Disinflation; GLP-1 drag</w:t>
            </w:r>
          </w:p>
        </w:tc>
      </w:tr>
      <w:tr w:rsidR="005C4BC6" w:rsidRPr="006803C7" w14:paraId="0530B76C" w14:textId="77777777" w:rsidTr="00411601">
        <w:tc>
          <w:tcPr>
            <w:tcW w:w="1700" w:type="dxa"/>
            <w:shd w:val="clear" w:color="auto" w:fill="F2F2F2" w:themeFill="background1" w:themeFillShade="F2"/>
            <w:tcMar>
              <w:top w:w="60" w:type="dxa"/>
              <w:left w:w="100" w:type="dxa"/>
              <w:bottom w:w="60" w:type="dxa"/>
              <w:right w:w="100" w:type="dxa"/>
            </w:tcMar>
          </w:tcPr>
          <w:p w14:paraId="4BF0820D" w14:textId="77777777" w:rsidR="005C4BC6" w:rsidRPr="006803C7" w:rsidRDefault="00000000">
            <w:pPr>
              <w:rPr>
                <w:rFonts w:ascii="Helvetica" w:hAnsi="Helvetica" w:cs="Bangla Sangam MN"/>
              </w:rPr>
            </w:pPr>
            <w:r>
              <w:rPr>
                <w:rFonts w:ascii="Helvetica" w:hAnsi="Helvetica" w:cs="Bangla Sangam MN"/>
                <w:sz w:val="16"/>
                <w:szCs w:val="16"/>
              </w:rPr>
              <w:t>Materials (XLB)</w:t>
            </w:r>
          </w:p>
        </w:tc>
        <w:tc>
          <w:tcPr>
            <w:tcW w:w="760" w:type="dxa"/>
            <w:shd w:val="clear" w:color="auto" w:fill="F2F2F2" w:themeFill="background1" w:themeFillShade="F2"/>
            <w:tcMar>
              <w:top w:w="60" w:type="dxa"/>
              <w:left w:w="100" w:type="dxa"/>
              <w:bottom w:w="60" w:type="dxa"/>
              <w:right w:w="100" w:type="dxa"/>
            </w:tcMar>
          </w:tcPr>
          <w:p w14:paraId="64BA1432" w14:textId="77777777" w:rsidR="005C4BC6" w:rsidRPr="006803C7" w:rsidRDefault="00000000">
            <w:pPr>
              <w:rPr>
                <w:rFonts w:ascii="Helvetica" w:hAnsi="Helvetica" w:cs="Bangla Sangam MN"/>
              </w:rPr>
            </w:pPr>
            <w:r>
              <w:rPr>
                <w:rFonts w:ascii="Helvetica" w:hAnsi="Helvetica" w:cs="Bangla Sangam MN"/>
                <w:b/>
                <w:bCs/>
                <w:sz w:val="16"/>
                <w:szCs w:val="16"/>
              </w:rPr>
              <w:t>OW</w:t>
            </w:r>
            <w:r>
              <w:rPr>
                <w:rFonts w:ascii="Helvetica" w:hAnsi="Helvetica" w:cs="Times New Roman"/>
                <w:b/>
                <w:bCs/>
                <w:sz w:val="16"/>
                <w:szCs w:val="16"/>
              </w:rPr>
              <w:t>†</w:t>
            </w:r>
          </w:p>
        </w:tc>
        <w:tc>
          <w:tcPr>
            <w:tcW w:w="2050" w:type="dxa"/>
            <w:shd w:val="clear" w:color="auto" w:fill="F2F2F2" w:themeFill="background1" w:themeFillShade="F2"/>
            <w:tcMar>
              <w:top w:w="60" w:type="dxa"/>
              <w:left w:w="100" w:type="dxa"/>
              <w:bottom w:w="60" w:type="dxa"/>
              <w:right w:w="100" w:type="dxa"/>
            </w:tcMar>
          </w:tcPr>
          <w:p w14:paraId="51A5BC72" w14:textId="77777777" w:rsidR="005C4BC6" w:rsidRPr="006803C7" w:rsidRDefault="00000000">
            <w:pPr>
              <w:rPr>
                <w:rFonts w:ascii="Helvetica" w:hAnsi="Helvetica" w:cs="Bangla Sangam MN"/>
              </w:rPr>
            </w:pPr>
            <w:r>
              <w:rPr>
                <w:rFonts w:ascii="Helvetica" w:hAnsi="Helvetica" w:cs="Bangla Sangam MN"/>
                <w:sz w:val="16"/>
                <w:szCs w:val="16"/>
              </w:rPr>
              <w:t>P/E 18</w:t>
            </w:r>
            <w:r>
              <w:rPr>
                <w:rFonts w:ascii="Helvetica" w:hAnsi="Helvetica" w:cs="Cambria"/>
                <w:sz w:val="16"/>
                <w:szCs w:val="16"/>
              </w:rPr>
              <w:t>×</w:t>
            </w:r>
            <w:r>
              <w:rPr>
                <w:rFonts w:ascii="Helvetica" w:hAnsi="Helvetica" w:cs="Bangla Sangam MN"/>
                <w:sz w:val="16"/>
                <w:szCs w:val="16"/>
              </w:rPr>
              <w:t xml:space="preserve"> — below market</w:t>
            </w:r>
          </w:p>
        </w:tc>
        <w:tc>
          <w:tcPr>
            <w:tcW w:w="2150" w:type="dxa"/>
            <w:shd w:val="clear" w:color="auto" w:fill="F2F2F2" w:themeFill="background1" w:themeFillShade="F2"/>
            <w:tcMar>
              <w:top w:w="60" w:type="dxa"/>
              <w:left w:w="100" w:type="dxa"/>
              <w:bottom w:w="60" w:type="dxa"/>
              <w:right w:w="100" w:type="dxa"/>
            </w:tcMar>
          </w:tcPr>
          <w:p w14:paraId="5E3B4C09" w14:textId="77777777" w:rsidR="005C4BC6" w:rsidRPr="006803C7" w:rsidRDefault="00000000">
            <w:pPr>
              <w:rPr>
                <w:rFonts w:ascii="Helvetica" w:hAnsi="Helvetica" w:cs="Bangla Sangam MN"/>
              </w:rPr>
            </w:pPr>
            <w:r>
              <w:rPr>
                <w:rFonts w:ascii="Helvetica" w:hAnsi="Helvetica" w:cs="Bangla Sangam MN"/>
                <w:sz w:val="16"/>
                <w:szCs w:val="16"/>
              </w:rPr>
              <w:t>Mixed; dollar headwind</w:t>
            </w:r>
          </w:p>
        </w:tc>
        <w:tc>
          <w:tcPr>
            <w:tcW w:w="2700" w:type="dxa"/>
            <w:shd w:val="clear" w:color="auto" w:fill="F2F2F2" w:themeFill="background1" w:themeFillShade="F2"/>
            <w:tcMar>
              <w:top w:w="60" w:type="dxa"/>
              <w:left w:w="100" w:type="dxa"/>
              <w:bottom w:w="60" w:type="dxa"/>
              <w:right w:w="100" w:type="dxa"/>
            </w:tcMar>
          </w:tcPr>
          <w:p w14:paraId="23E0E151" w14:textId="77777777" w:rsidR="005C4BC6" w:rsidRPr="006803C7" w:rsidRDefault="00000000">
            <w:pPr>
              <w:rPr>
                <w:rFonts w:ascii="Helvetica" w:hAnsi="Helvetica" w:cs="Bangla Sangam MN"/>
              </w:rPr>
            </w:pPr>
            <w:r>
              <w:rPr>
                <w:rFonts w:ascii="Helvetica" w:hAnsi="Helvetica" w:cs="Bangla Sangam MN"/>
                <w:sz w:val="16"/>
                <w:szCs w:val="16"/>
              </w:rPr>
              <w:t>Stronger dollar</w:t>
            </w:r>
          </w:p>
        </w:tc>
      </w:tr>
      <w:tr w:rsidR="005C4BC6" w:rsidRPr="006803C7" w14:paraId="752BF304" w14:textId="77777777" w:rsidTr="002E71CA">
        <w:tc>
          <w:tcPr>
            <w:tcW w:w="1700" w:type="dxa"/>
            <w:tcMar>
              <w:top w:w="60" w:type="dxa"/>
              <w:left w:w="100" w:type="dxa"/>
              <w:bottom w:w="60" w:type="dxa"/>
              <w:right w:w="100" w:type="dxa"/>
            </w:tcMar>
          </w:tcPr>
          <w:p w14:paraId="38F9594A" w14:textId="77777777" w:rsidR="005C4BC6" w:rsidRPr="006803C7" w:rsidRDefault="00000000">
            <w:pPr>
              <w:rPr>
                <w:rFonts w:ascii="Helvetica" w:hAnsi="Helvetica" w:cs="Bangla Sangam MN"/>
              </w:rPr>
            </w:pPr>
            <w:r>
              <w:rPr>
                <w:rFonts w:ascii="Helvetica" w:hAnsi="Helvetica" w:cs="Bangla Sangam MN"/>
                <w:sz w:val="16"/>
                <w:szCs w:val="16"/>
              </w:rPr>
              <w:t>Financials (XLF)</w:t>
            </w:r>
          </w:p>
        </w:tc>
        <w:tc>
          <w:tcPr>
            <w:tcW w:w="760" w:type="dxa"/>
            <w:tcMar>
              <w:top w:w="60" w:type="dxa"/>
              <w:left w:w="100" w:type="dxa"/>
              <w:bottom w:w="60" w:type="dxa"/>
              <w:right w:w="100" w:type="dxa"/>
            </w:tcMar>
          </w:tcPr>
          <w:p w14:paraId="50E3486B" w14:textId="77777777" w:rsidR="005C4BC6" w:rsidRPr="006803C7" w:rsidRDefault="00000000">
            <w:pPr>
              <w:rPr>
                <w:rFonts w:ascii="Helvetica" w:hAnsi="Helvetica" w:cs="Bangla Sangam MN"/>
              </w:rPr>
            </w:pPr>
            <w:r>
              <w:rPr>
                <w:rFonts w:ascii="Helvetica" w:hAnsi="Helvetica" w:cs="Bangla Sangam MN"/>
                <w:b/>
                <w:bCs/>
                <w:sz w:val="16"/>
                <w:szCs w:val="16"/>
              </w:rPr>
              <w:t>N/OW</w:t>
            </w:r>
          </w:p>
        </w:tc>
        <w:tc>
          <w:tcPr>
            <w:tcW w:w="2050" w:type="dxa"/>
            <w:tcMar>
              <w:top w:w="60" w:type="dxa"/>
              <w:left w:w="100" w:type="dxa"/>
              <w:bottom w:w="60" w:type="dxa"/>
              <w:right w:w="100" w:type="dxa"/>
            </w:tcMar>
          </w:tcPr>
          <w:p w14:paraId="3A5E1739" w14:textId="77777777" w:rsidR="005C4BC6" w:rsidRPr="006803C7" w:rsidRDefault="00000000">
            <w:pPr>
              <w:rPr>
                <w:rFonts w:ascii="Helvetica" w:hAnsi="Helvetica" w:cs="Bangla Sangam MN"/>
              </w:rPr>
            </w:pPr>
            <w:r>
              <w:rPr>
                <w:rFonts w:ascii="Helvetica" w:hAnsi="Helvetica" w:cs="Bangla Sangam MN"/>
                <w:sz w:val="16"/>
                <w:szCs w:val="16"/>
              </w:rPr>
              <w:t>P/E 15.5</w:t>
            </w:r>
            <w:r>
              <w:rPr>
                <w:rFonts w:ascii="Helvetica" w:hAnsi="Helvetica" w:cs="Cambria"/>
                <w:sz w:val="16"/>
                <w:szCs w:val="16"/>
              </w:rPr>
              <w:t>×</w:t>
            </w:r>
            <w:r>
              <w:rPr>
                <w:rFonts w:ascii="Helvetica" w:hAnsi="Helvetica" w:cs="Bangla Sangam MN"/>
                <w:sz w:val="16"/>
                <w:szCs w:val="16"/>
              </w:rPr>
              <w:t xml:space="preserve"> — below market</w:t>
            </w:r>
          </w:p>
        </w:tc>
        <w:tc>
          <w:tcPr>
            <w:tcW w:w="2150" w:type="dxa"/>
            <w:tcMar>
              <w:top w:w="60" w:type="dxa"/>
              <w:left w:w="100" w:type="dxa"/>
              <w:bottom w:w="60" w:type="dxa"/>
              <w:right w:w="100" w:type="dxa"/>
            </w:tcMar>
          </w:tcPr>
          <w:p w14:paraId="46ADC431" w14:textId="77777777" w:rsidR="005C4BC6" w:rsidRPr="006803C7" w:rsidRDefault="00000000">
            <w:pPr>
              <w:rPr>
                <w:rFonts w:ascii="Helvetica" w:hAnsi="Helvetica" w:cs="Bangla Sangam MN"/>
              </w:rPr>
            </w:pPr>
            <w:r>
              <w:rPr>
                <w:rFonts w:ascii="Helvetica" w:hAnsi="Helvetica" w:cs="Bangla Sangam MN"/>
                <w:sz w:val="16"/>
                <w:szCs w:val="16"/>
              </w:rPr>
              <w:t>NIM tailwind; favorable</w:t>
            </w:r>
          </w:p>
        </w:tc>
        <w:tc>
          <w:tcPr>
            <w:tcW w:w="2700" w:type="dxa"/>
            <w:tcMar>
              <w:top w:w="60" w:type="dxa"/>
              <w:left w:w="100" w:type="dxa"/>
              <w:bottom w:w="60" w:type="dxa"/>
              <w:right w:w="100" w:type="dxa"/>
            </w:tcMar>
          </w:tcPr>
          <w:p w14:paraId="134C6784" w14:textId="77777777" w:rsidR="005C4BC6" w:rsidRPr="006803C7" w:rsidRDefault="00000000">
            <w:pPr>
              <w:rPr>
                <w:rFonts w:ascii="Helvetica" w:hAnsi="Helvetica" w:cs="Bangla Sangam MN"/>
              </w:rPr>
            </w:pPr>
            <w:r>
              <w:rPr>
                <w:rFonts w:ascii="Helvetica" w:hAnsi="Helvetica" w:cs="Bangla Sangam MN"/>
                <w:sz w:val="16"/>
                <w:szCs w:val="16"/>
              </w:rPr>
              <w:t>Credit deterioration</w:t>
            </w:r>
          </w:p>
        </w:tc>
      </w:tr>
      <w:tr w:rsidR="005C4BC6" w:rsidRPr="006803C7" w14:paraId="6D1A02EF" w14:textId="77777777" w:rsidTr="00411601">
        <w:tc>
          <w:tcPr>
            <w:tcW w:w="1700" w:type="dxa"/>
            <w:shd w:val="clear" w:color="auto" w:fill="F2F2F2" w:themeFill="background1" w:themeFillShade="F2"/>
            <w:tcMar>
              <w:top w:w="60" w:type="dxa"/>
              <w:left w:w="100" w:type="dxa"/>
              <w:bottom w:w="60" w:type="dxa"/>
              <w:right w:w="100" w:type="dxa"/>
            </w:tcMar>
          </w:tcPr>
          <w:p w14:paraId="3216C5E8" w14:textId="77777777" w:rsidR="005C4BC6" w:rsidRPr="006803C7" w:rsidRDefault="00000000">
            <w:pPr>
              <w:rPr>
                <w:rFonts w:ascii="Helvetica" w:hAnsi="Helvetica" w:cs="Bangla Sangam MN"/>
              </w:rPr>
            </w:pPr>
            <w:r>
              <w:rPr>
                <w:rFonts w:ascii="Helvetica" w:hAnsi="Helvetica" w:cs="Bangla Sangam MN"/>
                <w:sz w:val="16"/>
                <w:szCs w:val="16"/>
              </w:rPr>
              <w:t>Comm. Services (XLC)</w:t>
            </w:r>
          </w:p>
        </w:tc>
        <w:tc>
          <w:tcPr>
            <w:tcW w:w="760" w:type="dxa"/>
            <w:shd w:val="clear" w:color="auto" w:fill="F2F2F2" w:themeFill="background1" w:themeFillShade="F2"/>
            <w:tcMar>
              <w:top w:w="60" w:type="dxa"/>
              <w:left w:w="100" w:type="dxa"/>
              <w:bottom w:w="60" w:type="dxa"/>
              <w:right w:w="100" w:type="dxa"/>
            </w:tcMar>
          </w:tcPr>
          <w:p w14:paraId="2EB32CE0" w14:textId="77777777" w:rsidR="005C4BC6" w:rsidRPr="006803C7" w:rsidRDefault="00000000">
            <w:pPr>
              <w:rPr>
                <w:rFonts w:ascii="Helvetica" w:hAnsi="Helvetica" w:cs="Bangla Sangam MN"/>
              </w:rPr>
            </w:pPr>
            <w:r>
              <w:rPr>
                <w:rFonts w:ascii="Helvetica" w:hAnsi="Helvetica" w:cs="Bangla Sangam MN"/>
                <w:b/>
                <w:bCs/>
                <w:sz w:val="16"/>
                <w:szCs w:val="16"/>
              </w:rPr>
              <w:t>N</w:t>
            </w:r>
          </w:p>
        </w:tc>
        <w:tc>
          <w:tcPr>
            <w:tcW w:w="2050" w:type="dxa"/>
            <w:shd w:val="clear" w:color="auto" w:fill="F2F2F2" w:themeFill="background1" w:themeFillShade="F2"/>
            <w:tcMar>
              <w:top w:w="60" w:type="dxa"/>
              <w:left w:w="100" w:type="dxa"/>
              <w:bottom w:w="60" w:type="dxa"/>
              <w:right w:w="100" w:type="dxa"/>
            </w:tcMar>
          </w:tcPr>
          <w:p w14:paraId="2ACD4DD1" w14:textId="77777777" w:rsidR="005C4BC6" w:rsidRPr="006803C7" w:rsidRDefault="00000000">
            <w:pPr>
              <w:rPr>
                <w:rFonts w:ascii="Helvetica" w:hAnsi="Helvetica" w:cs="Bangla Sangam MN"/>
              </w:rPr>
            </w:pPr>
            <w:r>
              <w:rPr>
                <w:rFonts w:ascii="Helvetica" w:hAnsi="Helvetica" w:cs="Bangla Sangam MN"/>
                <w:sz w:val="16"/>
                <w:szCs w:val="16"/>
              </w:rPr>
              <w:t>P/E 16</w:t>
            </w:r>
            <w:r>
              <w:rPr>
                <w:rFonts w:ascii="Helvetica" w:hAnsi="Helvetica" w:cs="Cambria"/>
                <w:sz w:val="16"/>
                <w:szCs w:val="16"/>
              </w:rPr>
              <w:t>×</w:t>
            </w:r>
            <w:r>
              <w:rPr>
                <w:rFonts w:ascii="Helvetica" w:hAnsi="Helvetica" w:cs="Bangla Sangam MN"/>
                <w:sz w:val="16"/>
                <w:szCs w:val="16"/>
              </w:rPr>
              <w:t xml:space="preserve"> — below market</w:t>
            </w:r>
          </w:p>
        </w:tc>
        <w:tc>
          <w:tcPr>
            <w:tcW w:w="2150" w:type="dxa"/>
            <w:shd w:val="clear" w:color="auto" w:fill="F2F2F2" w:themeFill="background1" w:themeFillShade="F2"/>
            <w:tcMar>
              <w:top w:w="60" w:type="dxa"/>
              <w:left w:w="100" w:type="dxa"/>
              <w:bottom w:w="60" w:type="dxa"/>
              <w:right w:w="100" w:type="dxa"/>
            </w:tcMar>
          </w:tcPr>
          <w:p w14:paraId="212F067F" w14:textId="77777777" w:rsidR="005C4BC6" w:rsidRPr="006803C7" w:rsidRDefault="00000000">
            <w:pPr>
              <w:rPr>
                <w:rFonts w:ascii="Helvetica" w:hAnsi="Helvetica" w:cs="Bangla Sangam MN"/>
              </w:rPr>
            </w:pPr>
            <w:r>
              <w:rPr>
                <w:rFonts w:ascii="Helvetica" w:hAnsi="Helvetica" w:cs="Bangla Sangam MN"/>
                <w:sz w:val="16"/>
                <w:szCs w:val="16"/>
              </w:rPr>
              <w:t>Ad growth solid; neutral</w:t>
            </w:r>
          </w:p>
        </w:tc>
        <w:tc>
          <w:tcPr>
            <w:tcW w:w="2700" w:type="dxa"/>
            <w:shd w:val="clear" w:color="auto" w:fill="F2F2F2" w:themeFill="background1" w:themeFillShade="F2"/>
            <w:tcMar>
              <w:top w:w="60" w:type="dxa"/>
              <w:left w:w="100" w:type="dxa"/>
              <w:bottom w:w="60" w:type="dxa"/>
              <w:right w:w="100" w:type="dxa"/>
            </w:tcMar>
          </w:tcPr>
          <w:p w14:paraId="2418F920" w14:textId="77777777" w:rsidR="005C4BC6" w:rsidRPr="006803C7" w:rsidRDefault="00000000">
            <w:pPr>
              <w:rPr>
                <w:rFonts w:ascii="Helvetica" w:hAnsi="Helvetica" w:cs="Bangla Sangam MN"/>
              </w:rPr>
            </w:pPr>
            <w:r>
              <w:rPr>
                <w:rFonts w:ascii="Helvetica" w:hAnsi="Helvetica" w:cs="Bangla Sangam MN"/>
                <w:sz w:val="16"/>
                <w:szCs w:val="16"/>
              </w:rPr>
              <w:t>Ad-spend cyclicality</w:t>
            </w:r>
          </w:p>
        </w:tc>
      </w:tr>
      <w:tr w:rsidR="005C4BC6" w:rsidRPr="006803C7" w14:paraId="253F9D5E" w14:textId="77777777" w:rsidTr="002E71CA">
        <w:tc>
          <w:tcPr>
            <w:tcW w:w="1700" w:type="dxa"/>
            <w:tcMar>
              <w:top w:w="60" w:type="dxa"/>
              <w:left w:w="100" w:type="dxa"/>
              <w:bottom w:w="60" w:type="dxa"/>
              <w:right w:w="100" w:type="dxa"/>
            </w:tcMar>
          </w:tcPr>
          <w:p w14:paraId="19EF8183" w14:textId="77777777" w:rsidR="005C4BC6" w:rsidRPr="006803C7" w:rsidRDefault="00000000">
            <w:pPr>
              <w:rPr>
                <w:rFonts w:ascii="Helvetica" w:hAnsi="Helvetica" w:cs="Bangla Sangam MN"/>
              </w:rPr>
            </w:pPr>
            <w:r>
              <w:rPr>
                <w:rFonts w:ascii="Helvetica" w:hAnsi="Helvetica" w:cs="Bangla Sangam MN"/>
                <w:sz w:val="16"/>
                <w:szCs w:val="16"/>
              </w:rPr>
              <w:t>Utilities (XLU)</w:t>
            </w:r>
          </w:p>
        </w:tc>
        <w:tc>
          <w:tcPr>
            <w:tcW w:w="760" w:type="dxa"/>
            <w:tcMar>
              <w:top w:w="60" w:type="dxa"/>
              <w:left w:w="100" w:type="dxa"/>
              <w:bottom w:w="60" w:type="dxa"/>
              <w:right w:w="100" w:type="dxa"/>
            </w:tcMar>
          </w:tcPr>
          <w:p w14:paraId="14484DA4" w14:textId="77777777" w:rsidR="005C4BC6" w:rsidRPr="006803C7" w:rsidRDefault="00000000">
            <w:pPr>
              <w:rPr>
                <w:rFonts w:ascii="Helvetica" w:hAnsi="Helvetica" w:cs="Bangla Sangam MN"/>
              </w:rPr>
            </w:pPr>
            <w:r>
              <w:rPr>
                <w:rFonts w:ascii="Helvetica" w:hAnsi="Helvetica" w:cs="Bangla Sangam MN"/>
                <w:b/>
                <w:bCs/>
                <w:sz w:val="16"/>
                <w:szCs w:val="16"/>
              </w:rPr>
              <w:t>N</w:t>
            </w:r>
          </w:p>
        </w:tc>
        <w:tc>
          <w:tcPr>
            <w:tcW w:w="2050" w:type="dxa"/>
            <w:tcMar>
              <w:top w:w="60" w:type="dxa"/>
              <w:left w:w="100" w:type="dxa"/>
              <w:bottom w:w="60" w:type="dxa"/>
              <w:right w:w="100" w:type="dxa"/>
            </w:tcMar>
          </w:tcPr>
          <w:p w14:paraId="34D75842" w14:textId="77777777" w:rsidR="005C4BC6" w:rsidRPr="006803C7" w:rsidRDefault="00000000">
            <w:pPr>
              <w:rPr>
                <w:rFonts w:ascii="Helvetica" w:hAnsi="Helvetica" w:cs="Bangla Sangam MN"/>
              </w:rPr>
            </w:pPr>
            <w:r>
              <w:rPr>
                <w:rFonts w:ascii="Helvetica" w:hAnsi="Helvetica" w:cs="Bangla Sangam MN"/>
                <w:sz w:val="16"/>
                <w:szCs w:val="16"/>
              </w:rPr>
              <w:t>P/E 18</w:t>
            </w:r>
            <w:r>
              <w:rPr>
                <w:rFonts w:ascii="Helvetica" w:hAnsi="Helvetica" w:cs="Cambria"/>
                <w:sz w:val="16"/>
                <w:szCs w:val="16"/>
              </w:rPr>
              <w:t>×</w:t>
            </w:r>
            <w:r>
              <w:rPr>
                <w:rFonts w:ascii="Helvetica" w:hAnsi="Helvetica" w:cs="Bangla Sangam MN"/>
                <w:sz w:val="16"/>
                <w:szCs w:val="16"/>
              </w:rPr>
              <w:t xml:space="preserve"> — below market</w:t>
            </w:r>
          </w:p>
        </w:tc>
        <w:tc>
          <w:tcPr>
            <w:tcW w:w="2150" w:type="dxa"/>
            <w:tcMar>
              <w:top w:w="60" w:type="dxa"/>
              <w:left w:w="100" w:type="dxa"/>
              <w:bottom w:w="60" w:type="dxa"/>
              <w:right w:w="100" w:type="dxa"/>
            </w:tcMar>
          </w:tcPr>
          <w:p w14:paraId="4461A0FC" w14:textId="77777777" w:rsidR="005C4BC6" w:rsidRPr="006803C7" w:rsidRDefault="00000000">
            <w:pPr>
              <w:rPr>
                <w:rFonts w:ascii="Helvetica" w:hAnsi="Helvetica" w:cs="Bangla Sangam MN"/>
              </w:rPr>
            </w:pPr>
            <w:r>
              <w:rPr>
                <w:rFonts w:ascii="Helvetica" w:hAnsi="Helvetica" w:cs="Bangla Sangam MN"/>
                <w:sz w:val="16"/>
                <w:szCs w:val="16"/>
              </w:rPr>
              <w:t>AI power demand; balanced</w:t>
            </w:r>
          </w:p>
        </w:tc>
        <w:tc>
          <w:tcPr>
            <w:tcW w:w="2700" w:type="dxa"/>
            <w:tcMar>
              <w:top w:w="60" w:type="dxa"/>
              <w:left w:w="100" w:type="dxa"/>
              <w:bottom w:w="60" w:type="dxa"/>
              <w:right w:w="100" w:type="dxa"/>
            </w:tcMar>
          </w:tcPr>
          <w:p w14:paraId="7069C88C" w14:textId="77777777" w:rsidR="005C4BC6" w:rsidRPr="006803C7" w:rsidRDefault="00000000">
            <w:pPr>
              <w:rPr>
                <w:rFonts w:ascii="Helvetica" w:hAnsi="Helvetica" w:cs="Bangla Sangam MN"/>
              </w:rPr>
            </w:pPr>
            <w:r>
              <w:rPr>
                <w:rFonts w:ascii="Helvetica" w:hAnsi="Helvetica" w:cs="Bangla Sangam MN"/>
                <w:sz w:val="16"/>
                <w:szCs w:val="16"/>
              </w:rPr>
              <w:t>Rising 10-year yield</w:t>
            </w:r>
          </w:p>
        </w:tc>
      </w:tr>
      <w:tr w:rsidR="005C4BC6" w:rsidRPr="006803C7" w14:paraId="39142BFA" w14:textId="77777777" w:rsidTr="00411601">
        <w:tc>
          <w:tcPr>
            <w:tcW w:w="1700" w:type="dxa"/>
            <w:shd w:val="clear" w:color="auto" w:fill="F2F2F2" w:themeFill="background1" w:themeFillShade="F2"/>
            <w:tcMar>
              <w:top w:w="60" w:type="dxa"/>
              <w:left w:w="100" w:type="dxa"/>
              <w:bottom w:w="60" w:type="dxa"/>
              <w:right w:w="100" w:type="dxa"/>
            </w:tcMar>
          </w:tcPr>
          <w:p w14:paraId="1484F864" w14:textId="77777777" w:rsidR="005C4BC6" w:rsidRPr="006803C7" w:rsidRDefault="00000000">
            <w:pPr>
              <w:rPr>
                <w:rFonts w:ascii="Helvetica" w:hAnsi="Helvetica" w:cs="Bangla Sangam MN"/>
              </w:rPr>
            </w:pPr>
            <w:r>
              <w:rPr>
                <w:rFonts w:ascii="Helvetica" w:hAnsi="Helvetica" w:cs="Bangla Sangam MN"/>
                <w:sz w:val="16"/>
                <w:szCs w:val="16"/>
              </w:rPr>
              <w:t>Info. Technology (XLK)</w:t>
            </w:r>
          </w:p>
        </w:tc>
        <w:tc>
          <w:tcPr>
            <w:tcW w:w="760" w:type="dxa"/>
            <w:shd w:val="clear" w:color="auto" w:fill="F2F2F2" w:themeFill="background1" w:themeFillShade="F2"/>
            <w:tcMar>
              <w:top w:w="60" w:type="dxa"/>
              <w:left w:w="100" w:type="dxa"/>
              <w:bottom w:w="60" w:type="dxa"/>
              <w:right w:w="100" w:type="dxa"/>
            </w:tcMar>
          </w:tcPr>
          <w:p w14:paraId="4C39D49E" w14:textId="77777777" w:rsidR="005C4BC6" w:rsidRPr="006803C7" w:rsidRDefault="00000000">
            <w:pPr>
              <w:rPr>
                <w:rFonts w:ascii="Helvetica" w:hAnsi="Helvetica" w:cs="Bangla Sangam MN"/>
              </w:rPr>
            </w:pPr>
            <w:r>
              <w:rPr>
                <w:rFonts w:ascii="Helvetica" w:hAnsi="Helvetica" w:cs="Bangla Sangam MN"/>
                <w:b/>
                <w:bCs/>
                <w:sz w:val="16"/>
                <w:szCs w:val="16"/>
              </w:rPr>
              <w:t>N/UW</w:t>
            </w:r>
          </w:p>
        </w:tc>
        <w:tc>
          <w:tcPr>
            <w:tcW w:w="2050" w:type="dxa"/>
            <w:shd w:val="clear" w:color="auto" w:fill="F2F2F2" w:themeFill="background1" w:themeFillShade="F2"/>
            <w:tcMar>
              <w:top w:w="60" w:type="dxa"/>
              <w:left w:w="100" w:type="dxa"/>
              <w:bottom w:w="60" w:type="dxa"/>
              <w:right w:w="100" w:type="dxa"/>
            </w:tcMar>
          </w:tcPr>
          <w:p w14:paraId="619E8564" w14:textId="77777777" w:rsidR="005C4BC6" w:rsidRPr="006803C7" w:rsidRDefault="00000000">
            <w:pPr>
              <w:rPr>
                <w:rFonts w:ascii="Helvetica" w:hAnsi="Helvetica" w:cs="Bangla Sangam MN"/>
              </w:rPr>
            </w:pPr>
            <w:r>
              <w:rPr>
                <w:rFonts w:ascii="Helvetica" w:hAnsi="Helvetica" w:cs="Bangla Sangam MN"/>
                <w:sz w:val="16"/>
                <w:szCs w:val="16"/>
              </w:rPr>
              <w:t>P/E 40</w:t>
            </w:r>
            <w:r>
              <w:rPr>
                <w:rFonts w:ascii="Helvetica" w:hAnsi="Helvetica" w:cs="Cambria"/>
                <w:sz w:val="16"/>
                <w:szCs w:val="16"/>
              </w:rPr>
              <w:t>×</w:t>
            </w:r>
            <w:r>
              <w:rPr>
                <w:rFonts w:ascii="Helvetica" w:hAnsi="Helvetica" w:cs="Bangla Sangam MN"/>
                <w:sz w:val="16"/>
                <w:szCs w:val="16"/>
              </w:rPr>
              <w:t xml:space="preserve"> — most expensive</w:t>
            </w:r>
          </w:p>
        </w:tc>
        <w:tc>
          <w:tcPr>
            <w:tcW w:w="2150" w:type="dxa"/>
            <w:shd w:val="clear" w:color="auto" w:fill="F2F2F2" w:themeFill="background1" w:themeFillShade="F2"/>
            <w:tcMar>
              <w:top w:w="60" w:type="dxa"/>
              <w:left w:w="100" w:type="dxa"/>
              <w:bottom w:w="60" w:type="dxa"/>
              <w:right w:w="100" w:type="dxa"/>
            </w:tcMar>
          </w:tcPr>
          <w:p w14:paraId="19703EEC" w14:textId="77777777" w:rsidR="005C4BC6" w:rsidRPr="006803C7" w:rsidRDefault="00000000">
            <w:pPr>
              <w:rPr>
                <w:rFonts w:ascii="Helvetica" w:hAnsi="Helvetica" w:cs="Bangla Sangam MN"/>
              </w:rPr>
            </w:pPr>
            <w:r>
              <w:rPr>
                <w:rFonts w:ascii="Helvetica" w:hAnsi="Helvetica" w:cs="Bangla Sangam MN"/>
                <w:sz w:val="16"/>
                <w:szCs w:val="16"/>
              </w:rPr>
              <w:t>Strong EPS; unfavorable</w:t>
            </w:r>
          </w:p>
        </w:tc>
        <w:tc>
          <w:tcPr>
            <w:tcW w:w="2700" w:type="dxa"/>
            <w:shd w:val="clear" w:color="auto" w:fill="F2F2F2" w:themeFill="background1" w:themeFillShade="F2"/>
            <w:tcMar>
              <w:top w:w="60" w:type="dxa"/>
              <w:left w:w="100" w:type="dxa"/>
              <w:bottom w:w="60" w:type="dxa"/>
              <w:right w:w="100" w:type="dxa"/>
            </w:tcMar>
          </w:tcPr>
          <w:p w14:paraId="022AA54D" w14:textId="77777777" w:rsidR="005C4BC6" w:rsidRPr="006803C7" w:rsidRDefault="00000000">
            <w:pPr>
              <w:rPr>
                <w:rFonts w:ascii="Helvetica" w:hAnsi="Helvetica" w:cs="Bangla Sangam MN"/>
              </w:rPr>
            </w:pPr>
            <w:r>
              <w:rPr>
                <w:rFonts w:ascii="Helvetica" w:hAnsi="Helvetica" w:cs="Bangla Sangam MN"/>
                <w:sz w:val="16"/>
                <w:szCs w:val="16"/>
              </w:rPr>
              <w:t>Hawkish Fed compresses multiple</w:t>
            </w:r>
          </w:p>
        </w:tc>
      </w:tr>
      <w:tr w:rsidR="005C4BC6" w:rsidRPr="006803C7" w14:paraId="7F806287" w14:textId="77777777" w:rsidTr="00310D05">
        <w:tc>
          <w:tcPr>
            <w:tcW w:w="1700" w:type="dxa"/>
            <w:tcMar>
              <w:top w:w="60" w:type="dxa"/>
              <w:left w:w="100" w:type="dxa"/>
              <w:bottom w:w="60" w:type="dxa"/>
              <w:right w:w="100" w:type="dxa"/>
            </w:tcMar>
          </w:tcPr>
          <w:p w14:paraId="55E7E7B8" w14:textId="77777777" w:rsidR="005C4BC6" w:rsidRPr="006803C7" w:rsidRDefault="00000000">
            <w:pPr>
              <w:rPr>
                <w:rFonts w:ascii="Helvetica" w:hAnsi="Helvetica" w:cs="Bangla Sangam MN"/>
              </w:rPr>
            </w:pPr>
            <w:r>
              <w:rPr>
                <w:rFonts w:ascii="Helvetica" w:hAnsi="Helvetica" w:cs="Bangla Sangam MN"/>
                <w:sz w:val="16"/>
                <w:szCs w:val="16"/>
              </w:rPr>
              <w:t xml:space="preserve">Consumer Discr. (XLY)</w:t>
            </w:r>
          </w:p>
        </w:tc>
        <w:tc>
          <w:tcPr>
            <w:tcW w:w="760" w:type="dxa"/>
            <w:tcMar>
              <w:top w:w="60" w:type="dxa"/>
              <w:left w:w="100" w:type="dxa"/>
              <w:bottom w:w="60" w:type="dxa"/>
              <w:right w:w="100" w:type="dxa"/>
            </w:tcMar>
          </w:tcPr>
          <w:p w14:paraId="3CB15CC7" w14:textId="77777777" w:rsidR="005C4BC6" w:rsidRPr="006803C7" w:rsidRDefault="00000000">
            <w:pPr>
              <w:rPr>
                <w:rFonts w:ascii="Helvetica" w:hAnsi="Helvetica" w:cs="Bangla Sangam MN"/>
              </w:rPr>
            </w:pPr>
            <w:r>
              <w:rPr>
                <w:rFonts w:ascii="Helvetica" w:hAnsi="Helvetica" w:cs="Bangla Sangam MN"/>
                <w:b/>
                <w:bCs/>
                <w:sz w:val="16"/>
                <w:szCs w:val="16"/>
              </w:rPr>
              <w:t>UW</w:t>
            </w:r>
          </w:p>
        </w:tc>
        <w:tc>
          <w:tcPr>
            <w:tcW w:w="2050" w:type="dxa"/>
            <w:tcMar>
              <w:top w:w="60" w:type="dxa"/>
              <w:left w:w="100" w:type="dxa"/>
              <w:bottom w:w="60" w:type="dxa"/>
              <w:right w:w="100" w:type="dxa"/>
            </w:tcMar>
          </w:tcPr>
          <w:p w14:paraId="7B411D73" w14:textId="77777777" w:rsidR="005C4BC6" w:rsidRPr="006803C7" w:rsidRDefault="00000000">
            <w:pPr>
              <w:rPr>
                <w:rFonts w:ascii="Helvetica" w:hAnsi="Helvetica" w:cs="Bangla Sangam MN"/>
              </w:rPr>
            </w:pPr>
            <w:r>
              <w:rPr>
                <w:rFonts w:ascii="Helvetica" w:hAnsi="Helvetica" w:cs="Bangla Sangam MN"/>
                <w:sz w:val="16"/>
                <w:szCs w:val="16"/>
              </w:rPr>
              <w:t>P/E 30</w:t>
            </w:r>
            <w:r>
              <w:rPr>
                <w:rFonts w:ascii="Helvetica" w:hAnsi="Helvetica" w:cs="Cambria"/>
                <w:sz w:val="16"/>
                <w:szCs w:val="16"/>
              </w:rPr>
              <w:t>×</w:t>
            </w:r>
            <w:r>
              <w:rPr>
                <w:rFonts w:ascii="Helvetica" w:hAnsi="Helvetica" w:cs="Bangla Sangam MN"/>
                <w:sz w:val="16"/>
                <w:szCs w:val="16"/>
              </w:rPr>
              <w:t xml:space="preserve"> — expensive</w:t>
            </w:r>
          </w:p>
        </w:tc>
        <w:tc>
          <w:tcPr>
            <w:tcW w:w="2150" w:type="dxa"/>
            <w:tcMar>
              <w:top w:w="60" w:type="dxa"/>
              <w:left w:w="100" w:type="dxa"/>
              <w:bottom w:w="60" w:type="dxa"/>
              <w:right w:w="100" w:type="dxa"/>
            </w:tcMar>
          </w:tcPr>
          <w:p w14:paraId="0C13B8D8" w14:textId="77777777" w:rsidR="005C4BC6" w:rsidRPr="006803C7" w:rsidRDefault="00000000">
            <w:pPr>
              <w:rPr>
                <w:rFonts w:ascii="Helvetica" w:hAnsi="Helvetica" w:cs="Bangla Sangam MN"/>
              </w:rPr>
            </w:pPr>
            <w:r>
              <w:rPr>
                <w:rFonts w:ascii="Helvetica" w:hAnsi="Helvetica" w:cs="Bangla Sangam MN"/>
                <w:sz w:val="16"/>
                <w:szCs w:val="16"/>
              </w:rPr>
              <w:t>Worsening; unfavorable</w:t>
            </w:r>
          </w:p>
        </w:tc>
        <w:tc>
          <w:tcPr>
            <w:tcW w:w="2700" w:type="dxa"/>
            <w:tcMar>
              <w:top w:w="60" w:type="dxa"/>
              <w:left w:w="100" w:type="dxa"/>
              <w:bottom w:w="60" w:type="dxa"/>
              <w:right w:w="100" w:type="dxa"/>
            </w:tcMar>
          </w:tcPr>
          <w:p w14:paraId="6BA6F7E1" w14:textId="77777777" w:rsidR="005C4BC6" w:rsidRPr="006803C7" w:rsidRDefault="00000000">
            <w:pPr>
              <w:rPr>
                <w:rFonts w:ascii="Helvetica" w:hAnsi="Helvetica" w:cs="Bangla Sangam MN"/>
              </w:rPr>
            </w:pPr>
            <w:r>
              <w:rPr>
                <w:rFonts w:ascii="Helvetica" w:hAnsi="Helvetica" w:cs="Bangla Sangam MN"/>
                <w:sz w:val="16"/>
                <w:szCs w:val="16"/>
              </w:rPr>
              <w:t>Resilient-consumer surprise</w:t>
            </w:r>
          </w:p>
        </w:tc>
      </w:tr>
      <w:tr w:rsidR="005C4BC6" w:rsidRPr="006803C7" w14:paraId="7F23D786" w14:textId="77777777" w:rsidTr="00310D05">
        <w:tc>
          <w:tcPr>
            <w:tcW w:w="1700" w:type="dxa"/>
            <w:tcBorders>
              <w:bottom w:val="single" w:sz="4" w:space="0" w:color="auto"/>
            </w:tcBorders>
            <w:shd w:val="clear" w:color="auto" w:fill="F2F2F2" w:themeFill="background1" w:themeFillShade="F2"/>
            <w:tcMar>
              <w:top w:w="60" w:type="dxa"/>
              <w:left w:w="100" w:type="dxa"/>
              <w:bottom w:w="60" w:type="dxa"/>
              <w:right w:w="100" w:type="dxa"/>
            </w:tcMar>
          </w:tcPr>
          <w:p w14:paraId="7B50D58B" w14:textId="77777777" w:rsidR="005C4BC6" w:rsidRPr="006803C7" w:rsidRDefault="00000000">
            <w:pPr>
              <w:rPr>
                <w:rFonts w:ascii="Helvetica" w:hAnsi="Helvetica" w:cs="Bangla Sangam MN"/>
              </w:rPr>
            </w:pPr>
            <w:r>
              <w:rPr>
                <w:rFonts w:ascii="Helvetica" w:hAnsi="Helvetica" w:cs="Bangla Sangam MN"/>
                <w:sz w:val="16"/>
                <w:szCs w:val="16"/>
              </w:rPr>
              <w:t>Real Estate (XLRE)</w:t>
            </w:r>
          </w:p>
        </w:tc>
        <w:tc>
          <w:tcPr>
            <w:tcW w:w="760" w:type="dxa"/>
            <w:tcBorders>
              <w:bottom w:val="single" w:sz="4" w:space="0" w:color="auto"/>
            </w:tcBorders>
            <w:shd w:val="clear" w:color="auto" w:fill="F2F2F2" w:themeFill="background1" w:themeFillShade="F2"/>
            <w:tcMar>
              <w:top w:w="60" w:type="dxa"/>
              <w:left w:w="100" w:type="dxa"/>
              <w:bottom w:w="60" w:type="dxa"/>
              <w:right w:w="100" w:type="dxa"/>
            </w:tcMar>
          </w:tcPr>
          <w:p w14:paraId="671D231D" w14:textId="77777777" w:rsidR="005C4BC6" w:rsidRPr="006803C7" w:rsidRDefault="00000000">
            <w:pPr>
              <w:rPr>
                <w:rFonts w:ascii="Helvetica" w:hAnsi="Helvetica" w:cs="Bangla Sangam MN"/>
              </w:rPr>
            </w:pPr>
            <w:r>
              <w:rPr>
                <w:rFonts w:ascii="Helvetica" w:hAnsi="Helvetica" w:cs="Bangla Sangam MN"/>
                <w:b/>
                <w:bCs/>
                <w:sz w:val="16"/>
                <w:szCs w:val="16"/>
              </w:rPr>
              <w:t>UW</w:t>
            </w:r>
          </w:p>
        </w:tc>
        <w:tc>
          <w:tcPr>
            <w:tcW w:w="2050" w:type="dxa"/>
            <w:tcBorders>
              <w:bottom w:val="single" w:sz="4" w:space="0" w:color="auto"/>
            </w:tcBorders>
            <w:shd w:val="clear" w:color="auto" w:fill="F2F2F2" w:themeFill="background1" w:themeFillShade="F2"/>
            <w:tcMar>
              <w:top w:w="60" w:type="dxa"/>
              <w:left w:w="100" w:type="dxa"/>
              <w:bottom w:w="60" w:type="dxa"/>
              <w:right w:w="100" w:type="dxa"/>
            </w:tcMar>
          </w:tcPr>
          <w:p w14:paraId="63D905D8" w14:textId="77777777" w:rsidR="005C4BC6" w:rsidRPr="006803C7" w:rsidRDefault="00000000">
            <w:pPr>
              <w:rPr>
                <w:rFonts w:ascii="Helvetica" w:hAnsi="Helvetica" w:cs="Bangla Sangam MN"/>
              </w:rPr>
            </w:pPr>
            <w:r>
              <w:rPr>
                <w:rFonts w:ascii="Helvetica" w:hAnsi="Helvetica" w:cs="Bangla Sangam MN"/>
                <w:sz w:val="16"/>
                <w:szCs w:val="16"/>
              </w:rPr>
              <w:t xml:space="preserve">Yld 3.4% vs 4.5% 10y</w:t>
            </w:r>
          </w:p>
        </w:tc>
        <w:tc>
          <w:tcPr>
            <w:tcW w:w="2150" w:type="dxa"/>
            <w:tcBorders>
              <w:bottom w:val="single" w:sz="4" w:space="0" w:color="auto"/>
            </w:tcBorders>
            <w:shd w:val="clear" w:color="auto" w:fill="F2F2F2" w:themeFill="background1" w:themeFillShade="F2"/>
            <w:tcMar>
              <w:top w:w="60" w:type="dxa"/>
              <w:left w:w="100" w:type="dxa"/>
              <w:bottom w:w="60" w:type="dxa"/>
              <w:right w:w="100" w:type="dxa"/>
            </w:tcMar>
          </w:tcPr>
          <w:p w14:paraId="17C22868" w14:textId="77777777" w:rsidR="005C4BC6" w:rsidRPr="006803C7" w:rsidRDefault="00000000">
            <w:pPr>
              <w:rPr>
                <w:rFonts w:ascii="Helvetica" w:hAnsi="Helvetica" w:cs="Bangla Sangam MN"/>
              </w:rPr>
            </w:pPr>
            <w:r>
              <w:rPr>
                <w:rFonts w:ascii="Helvetica" w:hAnsi="Helvetica" w:cs="Bangla Sangam MN"/>
                <w:sz w:val="16"/>
                <w:szCs w:val="16"/>
              </w:rPr>
              <w:t>Pressured; unfavorable</w:t>
            </w:r>
          </w:p>
        </w:tc>
        <w:tc>
          <w:tcPr>
            <w:tcW w:w="2700" w:type="dxa"/>
            <w:tcBorders>
              <w:bottom w:val="single" w:sz="4" w:space="0" w:color="auto"/>
            </w:tcBorders>
            <w:shd w:val="clear" w:color="auto" w:fill="F2F2F2" w:themeFill="background1" w:themeFillShade="F2"/>
            <w:tcMar>
              <w:top w:w="60" w:type="dxa"/>
              <w:left w:w="100" w:type="dxa"/>
              <w:bottom w:w="60" w:type="dxa"/>
              <w:right w:w="100" w:type="dxa"/>
            </w:tcMar>
          </w:tcPr>
          <w:p w14:paraId="6EB6A16C" w14:textId="77777777" w:rsidR="005C4BC6" w:rsidRDefault="00000000">
            <w:pPr>
              <w:rPr>
                <w:rFonts w:ascii="Helvetica" w:hAnsi="Helvetica" w:cs="Bangla Sangam MN"/>
                <w:sz w:val="16"/>
                <w:szCs w:val="16"/>
              </w:rPr>
            </w:pPr>
            <w:r>
              <w:rPr>
                <w:rFonts w:ascii="Helvetica" w:hAnsi="Helvetica" w:cs="Bangla Sangam MN"/>
                <w:sz w:val="16"/>
                <w:szCs w:val="16"/>
              </w:rPr>
              <w:t>Fed pivot toward cuts</w:t>
            </w:r>
          </w:p>
          <w:p w14:paraId="0E94D7B4" w14:textId="77777777" w:rsidR="002E71CA" w:rsidRPr="006803C7" w:rsidRDefault="002E71CA">
            <w:pPr>
              <w:rPr>
                <w:rFonts w:ascii="Helvetica" w:hAnsi="Helvetica" w:cs="Bangla Sangam MN"/>
              </w:rPr>
            </w:pPr>
          </w:p>
        </w:tc>
      </w:tr>
    </w:tbl>
    <w:p w14:paraId="4C15B7AC" w14:textId="3618D1A7" w:rsidR="0040648E" w:rsidRDefault="00000000" w:rsidP="00C534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Sources: stockanalysis.com; S&amp;P Global; FactSet. As of 16 June 2026</w:t>
      </w:r>
    </w:p>
    <w:p w14:paraId="4F90210E" w14:textId="77777777" w:rsidR="007F687C" w:rsidRPr="007F687C" w:rsidRDefault="007F687C" w:rsidP="00C534C1">
      <w:pPr>
        <w:spacing w:before="30" w:after="160"/>
        <w:rPr>
          <w:rFonts w:ascii="Helvetica" w:hAnsi="Helvetica" w:cs="Bangla Sangam MN"/>
          <w:i/>
          <w:iCs/>
          <w:color w:val="595959"/>
          <w:sz w:val="16"/>
          <w:szCs w:val="16"/>
        </w:rPr>
      </w:pPr>
    </w:p>
    <w:p w14:paraId="7559B857" w14:textId="77777777" w:rsidR="007F687C" w:rsidRDefault="007F687C">
      <w:pPr>
        <w:pStyle w:val="Heading2"/>
        <w:rPr>
          <w:rFonts w:ascii="Helvetica" w:hAnsi="Helvetica" w:cs="Bangla Sangam MN"/>
          <w:color w:val="000000" w:themeColor="text1"/>
        </w:rPr>
      </w:pPr>
    </w:p>
    <w:p w14:paraId="0F99D368" w14:textId="2A36048F" w:rsidR="005C4BC6" w:rsidRPr="00C534C1" w:rsidRDefault="00000000">
      <w:pPr>
        <w:pStyle w:val="Heading2"/>
        <w:rPr>
          <w:rFonts w:ascii="Helvetica" w:hAnsi="Helvetica" w:cs="Bangla Sangam MN"/>
          <w:color w:val="000000" w:themeColor="text1"/>
        </w:rPr>
      </w:pPr>
      <w:commentRangeStart w:id="6"/>
      <w:r>
        <w:rPr>
          <w:rFonts w:ascii="Helvetica" w:hAnsi="Helvetica" w:cs="Bangla Sangam MN"/>
          <w:color w:val="000000" w:themeColor="text1"/>
        </w:rPr>
        <w:lastRenderedPageBreak/>
        <w:t>3.4 US conviction ranking and portfolio weights</w:t>
      </w:r>
      <w:commentRangeEnd w:id="6"/>
      <w:r>
        <w:rPr>
          <w:rStyle w:val="CommentReference"/>
        </w:rPr>
        <w:commentReference w:id="6"/>
      </w:r>
    </w:p>
    <w:tbl>
      <w:tblPr>
        <w:tblW w:w="9360" w:type="dxa"/>
        <w:tblCellMar>
          <w:left w:w="10" w:type="dxa"/>
          <w:right w:w="10" w:type="dxa"/>
        </w:tblCellMar>
        <w:tblLook w:val="04A0" w:firstRow="1" w:lastRow="0" w:firstColumn="1" w:lastColumn="0" w:noHBand="0" w:noVBand="1"/>
      </w:tblPr>
      <w:tblGrid>
        <w:gridCol w:w="1900"/>
        <w:gridCol w:w="4000"/>
        <w:gridCol w:w="3460"/>
      </w:tblGrid>
      <w:tr w:rsidR="005C4BC6" w:rsidRPr="006803C7" w14:paraId="699DA493" w14:textId="77777777" w:rsidTr="002E71CA">
        <w:trPr>
          <w:tblHeader/>
        </w:trPr>
        <w:tc>
          <w:tcPr>
            <w:tcW w:w="1900" w:type="dxa"/>
            <w:shd w:val="clear" w:color="auto" w:fill="212D85"/>
            <w:tcMar>
              <w:top w:w="60" w:type="dxa"/>
              <w:left w:w="100" w:type="dxa"/>
              <w:bottom w:w="60" w:type="dxa"/>
              <w:right w:w="100" w:type="dxa"/>
            </w:tcMar>
          </w:tcPr>
          <w:p w14:paraId="1B4FED30" w14:textId="77777777" w:rsidR="005C4BC6" w:rsidRPr="006803C7" w:rsidRDefault="00000000">
            <w:pPr>
              <w:rPr>
                <w:rFonts w:ascii="Helvetica" w:hAnsi="Helvetica" w:cs="Bangla Sangam MN"/>
              </w:rPr>
            </w:pPr>
            <w:r>
              <w:rPr>
                <w:rFonts w:ascii="Helvetica" w:hAnsi="Helvetica" w:cs="Bangla Sangam MN"/>
                <w:b/>
                <w:bCs/>
                <w:color w:val="FFFFFF"/>
                <w:sz w:val="16"/>
                <w:szCs w:val="16"/>
              </w:rPr>
              <w:t>#  Sector</w:t>
            </w:r>
          </w:p>
        </w:tc>
        <w:tc>
          <w:tcPr>
            <w:tcW w:w="4000" w:type="dxa"/>
            <w:shd w:val="clear" w:color="auto" w:fill="212D85"/>
            <w:tcMar>
              <w:top w:w="60" w:type="dxa"/>
              <w:left w:w="100" w:type="dxa"/>
              <w:bottom w:w="60" w:type="dxa"/>
              <w:right w:w="100" w:type="dxa"/>
            </w:tcMar>
          </w:tcPr>
          <w:p w14:paraId="644B0AF3" w14:textId="77777777" w:rsidR="005C4BC6" w:rsidRPr="006803C7" w:rsidRDefault="00000000">
            <w:pPr>
              <w:rPr>
                <w:rFonts w:ascii="Helvetica" w:hAnsi="Helvetica" w:cs="Bangla Sangam MN"/>
              </w:rPr>
            </w:pPr>
            <w:r>
              <w:rPr>
                <w:rFonts w:ascii="Helvetica" w:hAnsi="Helvetica" w:cs="Bangla Sangam MN"/>
                <w:b/>
                <w:bCs/>
                <w:color w:val="FFFFFF"/>
                <w:sz w:val="16"/>
                <w:szCs w:val="16"/>
              </w:rPr>
              <w:t>Call &amp; rationale</w:t>
            </w:r>
          </w:p>
        </w:tc>
        <w:tc>
          <w:tcPr>
            <w:tcW w:w="3460" w:type="dxa"/>
            <w:shd w:val="clear" w:color="auto" w:fill="212D85"/>
            <w:tcMar>
              <w:top w:w="60" w:type="dxa"/>
              <w:left w:w="100" w:type="dxa"/>
              <w:bottom w:w="60" w:type="dxa"/>
              <w:right w:w="100" w:type="dxa"/>
            </w:tcMar>
          </w:tcPr>
          <w:p w14:paraId="2DEFF52E" w14:textId="77777777" w:rsidR="005C4BC6" w:rsidRPr="006803C7" w:rsidRDefault="00000000">
            <w:pPr>
              <w:rPr>
                <w:rFonts w:ascii="Helvetica" w:hAnsi="Helvetica" w:cs="Bangla Sangam MN"/>
              </w:rPr>
            </w:pPr>
            <w:r>
              <w:rPr>
                <w:rFonts w:ascii="Helvetica" w:hAnsi="Helvetica" w:cs="Bangla Sangam MN"/>
                <w:b/>
                <w:bCs/>
                <w:color w:val="FFFFFF"/>
                <w:sz w:val="16"/>
                <w:szCs w:val="16"/>
              </w:rPr>
              <w:t>Active tilt vs S&amp;P 500</w:t>
            </w:r>
          </w:p>
        </w:tc>
      </w:tr>
      <w:tr w:rsidR="005C4BC6" w:rsidRPr="006803C7" w14:paraId="70208EF8" w14:textId="77777777" w:rsidTr="00411601">
        <w:tc>
          <w:tcPr>
            <w:tcW w:w="1900" w:type="dxa"/>
            <w:shd w:val="clear" w:color="auto" w:fill="F2F2F2" w:themeFill="background1" w:themeFillShade="F2"/>
            <w:tcMar>
              <w:top w:w="60" w:type="dxa"/>
              <w:left w:w="100" w:type="dxa"/>
              <w:bottom w:w="60" w:type="dxa"/>
              <w:right w:w="100" w:type="dxa"/>
            </w:tcMar>
          </w:tcPr>
          <w:p w14:paraId="5FBF8473" w14:textId="77777777" w:rsidR="005C4BC6" w:rsidRPr="006803C7" w:rsidRDefault="00000000">
            <w:pPr>
              <w:rPr>
                <w:rFonts w:ascii="Helvetica" w:hAnsi="Helvetica" w:cs="Bangla Sangam MN"/>
              </w:rPr>
            </w:pPr>
            <w:r>
              <w:rPr>
                <w:rFonts w:ascii="Helvetica" w:hAnsi="Helvetica" w:cs="Bangla Sangam MN"/>
                <w:sz w:val="16"/>
                <w:szCs w:val="16"/>
              </w:rPr>
              <w:t xml:space="preserve">1  Energy (XLE)</w:t>
            </w:r>
          </w:p>
        </w:tc>
        <w:tc>
          <w:tcPr>
            <w:tcW w:w="4000" w:type="dxa"/>
            <w:shd w:val="clear" w:color="auto" w:fill="F2F2F2" w:themeFill="background1" w:themeFillShade="F2"/>
            <w:tcMar>
              <w:top w:w="60" w:type="dxa"/>
              <w:left w:w="100" w:type="dxa"/>
              <w:bottom w:w="60" w:type="dxa"/>
              <w:right w:w="100" w:type="dxa"/>
            </w:tcMar>
          </w:tcPr>
          <w:p w14:paraId="514922F1" w14:textId="77777777" w:rsidR="005C4BC6" w:rsidRPr="006803C7" w:rsidRDefault="00000000">
            <w:pPr>
              <w:rPr>
                <w:rFonts w:ascii="Helvetica" w:hAnsi="Helvetica" w:cs="Bangla Sangam MN"/>
              </w:rPr>
            </w:pPr>
            <w:r>
              <w:rPr>
                <w:rFonts w:ascii="Helvetica" w:hAnsi="Helvetica" w:cs="Bangla Sangam MN"/>
                <w:sz w:val="16"/>
                <w:szCs w:val="16"/>
              </w:rPr>
              <w:t>OW — cheapest sector; all lenses aligned; inflation hedge</w:t>
            </w:r>
          </w:p>
        </w:tc>
        <w:tc>
          <w:tcPr>
            <w:tcW w:w="3460" w:type="dxa"/>
            <w:shd w:val="clear" w:color="auto" w:fill="F2F2F2" w:themeFill="background1" w:themeFillShade="F2"/>
            <w:tcMar>
              <w:top w:w="60" w:type="dxa"/>
              <w:left w:w="100" w:type="dxa"/>
              <w:bottom w:w="60" w:type="dxa"/>
              <w:right w:w="100" w:type="dxa"/>
            </w:tcMar>
          </w:tcPr>
          <w:p w14:paraId="7DCE585B" w14:textId="77777777" w:rsidR="005C4BC6" w:rsidRPr="006803C7" w:rsidRDefault="00000000">
            <w:pPr>
              <w:jc w:val="center"/>
              <w:rPr>
                <w:rFonts w:ascii="Helvetica" w:hAnsi="Helvetica" w:cs="Bangla Sangam MN"/>
              </w:rPr>
            </w:pPr>
            <w:r>
              <w:rPr>
                <w:rFonts w:ascii="Helvetica" w:hAnsi="Helvetica" w:cs="Bangla Sangam MN"/>
                <w:b/>
                <w:bCs/>
                <w:sz w:val="16"/>
                <w:szCs w:val="16"/>
              </w:rPr>
              <w:t>+2.0</w:t>
            </w:r>
          </w:p>
        </w:tc>
      </w:tr>
      <w:tr w:rsidR="005C4BC6" w:rsidRPr="006803C7" w14:paraId="4DD3C6FA" w14:textId="77777777" w:rsidTr="002E71CA">
        <w:tc>
          <w:tcPr>
            <w:tcW w:w="1900" w:type="dxa"/>
            <w:tcMar>
              <w:top w:w="60" w:type="dxa"/>
              <w:left w:w="100" w:type="dxa"/>
              <w:bottom w:w="60" w:type="dxa"/>
              <w:right w:w="100" w:type="dxa"/>
            </w:tcMar>
          </w:tcPr>
          <w:p w14:paraId="2C19C04C" w14:textId="77777777" w:rsidR="005C4BC6" w:rsidRPr="006803C7" w:rsidRDefault="00000000">
            <w:pPr>
              <w:rPr>
                <w:rFonts w:ascii="Helvetica" w:hAnsi="Helvetica" w:cs="Bangla Sangam MN"/>
              </w:rPr>
            </w:pPr>
            <w:r>
              <w:rPr>
                <w:rFonts w:ascii="Helvetica" w:hAnsi="Helvetica" w:cs="Bangla Sangam MN"/>
                <w:sz w:val="16"/>
                <w:szCs w:val="16"/>
              </w:rPr>
              <w:t xml:space="preserve">2  Industrials (XLI)</w:t>
            </w:r>
          </w:p>
        </w:tc>
        <w:tc>
          <w:tcPr>
            <w:tcW w:w="4000" w:type="dxa"/>
            <w:tcMar>
              <w:top w:w="60" w:type="dxa"/>
              <w:left w:w="100" w:type="dxa"/>
              <w:bottom w:w="60" w:type="dxa"/>
              <w:right w:w="100" w:type="dxa"/>
            </w:tcMar>
          </w:tcPr>
          <w:p w14:paraId="72F2F55A" w14:textId="77777777" w:rsidR="005C4BC6" w:rsidRPr="006803C7" w:rsidRDefault="00000000">
            <w:pPr>
              <w:rPr>
                <w:rFonts w:ascii="Helvetica" w:hAnsi="Helvetica" w:cs="Bangla Sangam MN"/>
              </w:rPr>
            </w:pPr>
            <w:r>
              <w:rPr>
                <w:rFonts w:ascii="Helvetica" w:hAnsi="Helvetica" w:cs="Bangla Sangam MN"/>
                <w:sz w:val="16"/>
                <w:szCs w:val="16"/>
              </w:rPr>
              <w:t>OW — defense backlog; NATO structural tailwind</w:t>
            </w:r>
          </w:p>
        </w:tc>
        <w:tc>
          <w:tcPr>
            <w:tcW w:w="3460" w:type="dxa"/>
            <w:tcMar>
              <w:top w:w="60" w:type="dxa"/>
              <w:left w:w="100" w:type="dxa"/>
              <w:bottom w:w="60" w:type="dxa"/>
              <w:right w:w="100" w:type="dxa"/>
            </w:tcMar>
          </w:tcPr>
          <w:p w14:paraId="6DBB846A" w14:textId="77777777" w:rsidR="005C4BC6" w:rsidRPr="006803C7" w:rsidRDefault="00000000">
            <w:pPr>
              <w:jc w:val="center"/>
              <w:rPr>
                <w:rFonts w:ascii="Helvetica" w:hAnsi="Helvetica" w:cs="Bangla Sangam MN"/>
              </w:rPr>
            </w:pPr>
            <w:r>
              <w:rPr>
                <w:rFonts w:ascii="Helvetica" w:hAnsi="Helvetica" w:cs="Bangla Sangam MN"/>
                <w:b/>
                <w:bCs/>
                <w:sz w:val="16"/>
                <w:szCs w:val="16"/>
              </w:rPr>
              <w:t>+2.0</w:t>
            </w:r>
          </w:p>
        </w:tc>
      </w:tr>
      <w:tr w:rsidR="005C4BC6" w:rsidRPr="006803C7" w14:paraId="3AC57800" w14:textId="77777777" w:rsidTr="00411601">
        <w:tc>
          <w:tcPr>
            <w:tcW w:w="1900" w:type="dxa"/>
            <w:shd w:val="clear" w:color="auto" w:fill="F2F2F2" w:themeFill="background1" w:themeFillShade="F2"/>
            <w:tcMar>
              <w:top w:w="60" w:type="dxa"/>
              <w:left w:w="100" w:type="dxa"/>
              <w:bottom w:w="60" w:type="dxa"/>
              <w:right w:w="100" w:type="dxa"/>
            </w:tcMar>
          </w:tcPr>
          <w:p w14:paraId="50853106" w14:textId="77777777" w:rsidR="005C4BC6" w:rsidRPr="006803C7" w:rsidRDefault="00000000">
            <w:pPr>
              <w:rPr>
                <w:rFonts w:ascii="Helvetica" w:hAnsi="Helvetica" w:cs="Bangla Sangam MN"/>
              </w:rPr>
            </w:pPr>
            <w:r>
              <w:rPr>
                <w:rFonts w:ascii="Helvetica" w:hAnsi="Helvetica" w:cs="Bangla Sangam MN"/>
                <w:sz w:val="16"/>
                <w:szCs w:val="16"/>
              </w:rPr>
              <w:t xml:space="preserve">3  Health Care (XLV)</w:t>
            </w:r>
          </w:p>
        </w:tc>
        <w:tc>
          <w:tcPr>
            <w:tcW w:w="4000" w:type="dxa"/>
            <w:shd w:val="clear" w:color="auto" w:fill="F2F2F2" w:themeFill="background1" w:themeFillShade="F2"/>
            <w:tcMar>
              <w:top w:w="60" w:type="dxa"/>
              <w:left w:w="100" w:type="dxa"/>
              <w:bottom w:w="60" w:type="dxa"/>
              <w:right w:w="100" w:type="dxa"/>
            </w:tcMar>
          </w:tcPr>
          <w:p w14:paraId="20B6829B" w14:textId="77777777" w:rsidR="005C4BC6" w:rsidRPr="006803C7" w:rsidRDefault="00000000">
            <w:pPr>
              <w:rPr>
                <w:rFonts w:ascii="Helvetica" w:hAnsi="Helvetica" w:cs="Bangla Sangam MN"/>
              </w:rPr>
            </w:pPr>
            <w:r>
              <w:rPr>
                <w:rFonts w:ascii="Helvetica" w:hAnsi="Helvetica" w:cs="Bangla Sangam MN"/>
                <w:sz w:val="16"/>
                <w:szCs w:val="16"/>
              </w:rPr>
              <w:t>OW — best risk-adjusted: cheap, low rate-sensitivity, demographic</w:t>
            </w:r>
          </w:p>
        </w:tc>
        <w:tc>
          <w:tcPr>
            <w:tcW w:w="3460" w:type="dxa"/>
            <w:shd w:val="clear" w:color="auto" w:fill="F2F2F2" w:themeFill="background1" w:themeFillShade="F2"/>
            <w:tcMar>
              <w:top w:w="60" w:type="dxa"/>
              <w:left w:w="100" w:type="dxa"/>
              <w:bottom w:w="60" w:type="dxa"/>
              <w:right w:w="100" w:type="dxa"/>
            </w:tcMar>
          </w:tcPr>
          <w:p w14:paraId="14BD3C78" w14:textId="77777777" w:rsidR="005C4BC6" w:rsidRPr="006803C7" w:rsidRDefault="00000000">
            <w:pPr>
              <w:jc w:val="center"/>
              <w:rPr>
                <w:rFonts w:ascii="Helvetica" w:hAnsi="Helvetica" w:cs="Bangla Sangam MN"/>
              </w:rPr>
            </w:pPr>
            <w:r>
              <w:rPr>
                <w:rFonts w:ascii="Helvetica" w:hAnsi="Helvetica" w:cs="Bangla Sangam MN"/>
                <w:b/>
                <w:bCs/>
                <w:sz w:val="16"/>
                <w:szCs w:val="16"/>
              </w:rPr>
              <w:t>+2.5</w:t>
            </w:r>
          </w:p>
        </w:tc>
      </w:tr>
      <w:tr w:rsidR="005C4BC6" w:rsidRPr="006803C7" w14:paraId="1B8F8844" w14:textId="77777777" w:rsidTr="002E71CA">
        <w:tc>
          <w:tcPr>
            <w:tcW w:w="1900" w:type="dxa"/>
            <w:tcMar>
              <w:top w:w="60" w:type="dxa"/>
              <w:left w:w="100" w:type="dxa"/>
              <w:bottom w:w="60" w:type="dxa"/>
              <w:right w:w="100" w:type="dxa"/>
            </w:tcMar>
          </w:tcPr>
          <w:p w14:paraId="44995883" w14:textId="77777777" w:rsidR="005C4BC6" w:rsidRPr="006803C7" w:rsidRDefault="00000000">
            <w:pPr>
              <w:rPr>
                <w:rFonts w:ascii="Helvetica" w:hAnsi="Helvetica" w:cs="Bangla Sangam MN"/>
              </w:rPr>
            </w:pPr>
            <w:r>
              <w:rPr>
                <w:rFonts w:ascii="Helvetica" w:hAnsi="Helvetica" w:cs="Bangla Sangam MN"/>
                <w:sz w:val="16"/>
                <w:szCs w:val="16"/>
              </w:rPr>
              <w:t xml:space="preserve">4  Consumer Staples (XLP)</w:t>
            </w:r>
          </w:p>
        </w:tc>
        <w:tc>
          <w:tcPr>
            <w:tcW w:w="4000" w:type="dxa"/>
            <w:tcMar>
              <w:top w:w="60" w:type="dxa"/>
              <w:left w:w="100" w:type="dxa"/>
              <w:bottom w:w="60" w:type="dxa"/>
              <w:right w:w="100" w:type="dxa"/>
            </w:tcMar>
          </w:tcPr>
          <w:p w14:paraId="49E5827D" w14:textId="77777777" w:rsidR="005C4BC6" w:rsidRPr="006803C7" w:rsidRDefault="00000000">
            <w:pPr>
              <w:rPr>
                <w:rFonts w:ascii="Helvetica" w:hAnsi="Helvetica" w:cs="Bangla Sangam MN"/>
              </w:rPr>
            </w:pPr>
            <w:r>
              <w:rPr>
                <w:rFonts w:ascii="Helvetica" w:hAnsi="Helvetica" w:cs="Bangla Sangam MN"/>
                <w:sz w:val="16"/>
                <w:szCs w:val="16"/>
              </w:rPr>
              <w:t>OW — defensive anchor; food pricing power</w:t>
            </w:r>
          </w:p>
        </w:tc>
        <w:tc>
          <w:tcPr>
            <w:tcW w:w="3460" w:type="dxa"/>
            <w:tcMar>
              <w:top w:w="60" w:type="dxa"/>
              <w:left w:w="100" w:type="dxa"/>
              <w:bottom w:w="60" w:type="dxa"/>
              <w:right w:w="100" w:type="dxa"/>
            </w:tcMar>
          </w:tcPr>
          <w:p w14:paraId="04CBDAA4" w14:textId="77777777" w:rsidR="005C4BC6" w:rsidRPr="006803C7" w:rsidRDefault="00000000">
            <w:pPr>
              <w:jc w:val="center"/>
              <w:rPr>
                <w:rFonts w:ascii="Helvetica" w:hAnsi="Helvetica" w:cs="Bangla Sangam MN"/>
              </w:rPr>
            </w:pPr>
            <w:r>
              <w:rPr>
                <w:rFonts w:ascii="Helvetica" w:hAnsi="Helvetica" w:cs="Bangla Sangam MN"/>
                <w:b/>
                <w:bCs/>
                <w:sz w:val="16"/>
                <w:szCs w:val="16"/>
              </w:rPr>
              <w:t>+2.0</w:t>
            </w:r>
          </w:p>
        </w:tc>
      </w:tr>
      <w:tr w:rsidR="005C4BC6" w:rsidRPr="006803C7" w14:paraId="14758D1D" w14:textId="77777777" w:rsidTr="00411601">
        <w:tc>
          <w:tcPr>
            <w:tcW w:w="1900" w:type="dxa"/>
            <w:shd w:val="clear" w:color="auto" w:fill="F2F2F2" w:themeFill="background1" w:themeFillShade="F2"/>
            <w:tcMar>
              <w:top w:w="60" w:type="dxa"/>
              <w:left w:w="100" w:type="dxa"/>
              <w:bottom w:w="60" w:type="dxa"/>
              <w:right w:w="100" w:type="dxa"/>
            </w:tcMar>
          </w:tcPr>
          <w:p w14:paraId="6C6B6581" w14:textId="77777777" w:rsidR="005C4BC6" w:rsidRPr="006803C7" w:rsidRDefault="00000000">
            <w:pPr>
              <w:rPr>
                <w:rFonts w:ascii="Helvetica" w:hAnsi="Helvetica" w:cs="Bangla Sangam MN"/>
              </w:rPr>
            </w:pPr>
            <w:r>
              <w:rPr>
                <w:rFonts w:ascii="Helvetica" w:hAnsi="Helvetica" w:cs="Bangla Sangam MN"/>
                <w:sz w:val="16"/>
                <w:szCs w:val="16"/>
              </w:rPr>
              <w:t xml:space="preserve">5  Materials (XLB)</w:t>
            </w:r>
          </w:p>
        </w:tc>
        <w:tc>
          <w:tcPr>
            <w:tcW w:w="4000" w:type="dxa"/>
            <w:shd w:val="clear" w:color="auto" w:fill="F2F2F2" w:themeFill="background1" w:themeFillShade="F2"/>
            <w:tcMar>
              <w:top w:w="60" w:type="dxa"/>
              <w:left w:w="100" w:type="dxa"/>
              <w:bottom w:w="60" w:type="dxa"/>
              <w:right w:w="100" w:type="dxa"/>
            </w:tcMar>
          </w:tcPr>
          <w:p w14:paraId="6F21E6AB" w14:textId="6F5BA7B7" w:rsidR="005C4BC6" w:rsidRPr="006803C7" w:rsidRDefault="00000000">
            <w:pPr>
              <w:rPr>
                <w:rFonts w:ascii="Helvetica" w:hAnsi="Helvetica" w:cs="Bangla Sangam MN"/>
              </w:rPr>
            </w:pPr>
            <w:r>
              <w:rPr>
                <w:rFonts w:ascii="Helvetica" w:hAnsi="Helvetica" w:cs="Bangla Sangam MN"/>
                <w:sz w:val="16"/>
                <w:szCs w:val="16"/>
              </w:rPr>
              <w:t>OW — rare-earths policy tailwind; dollar headwind limits to names</w:t>
            </w:r>
          </w:p>
        </w:tc>
        <w:tc>
          <w:tcPr>
            <w:tcW w:w="3460" w:type="dxa"/>
            <w:shd w:val="clear" w:color="auto" w:fill="F2F2F2" w:themeFill="background1" w:themeFillShade="F2"/>
            <w:tcMar>
              <w:top w:w="60" w:type="dxa"/>
              <w:left w:w="100" w:type="dxa"/>
              <w:bottom w:w="60" w:type="dxa"/>
              <w:right w:w="100" w:type="dxa"/>
            </w:tcMar>
          </w:tcPr>
          <w:p w14:paraId="029B220A" w14:textId="77777777" w:rsidR="005C4BC6" w:rsidRPr="006803C7" w:rsidRDefault="00000000">
            <w:pPr>
              <w:jc w:val="center"/>
              <w:rPr>
                <w:rFonts w:ascii="Helvetica" w:hAnsi="Helvetica" w:cs="Bangla Sangam MN"/>
              </w:rPr>
            </w:pPr>
            <w:r>
              <w:rPr>
                <w:rFonts w:ascii="Helvetica" w:hAnsi="Helvetica" w:cs="Bangla Sangam MN"/>
                <w:b/>
                <w:bCs/>
                <w:sz w:val="16"/>
                <w:szCs w:val="16"/>
              </w:rPr>
              <w:t>+1.0</w:t>
            </w:r>
          </w:p>
        </w:tc>
      </w:tr>
      <w:tr w:rsidR="005C4BC6" w:rsidRPr="006803C7" w14:paraId="3003C2FF" w14:textId="77777777" w:rsidTr="002E71CA">
        <w:tc>
          <w:tcPr>
            <w:tcW w:w="1900" w:type="dxa"/>
            <w:tcMar>
              <w:top w:w="60" w:type="dxa"/>
              <w:left w:w="100" w:type="dxa"/>
              <w:bottom w:w="60" w:type="dxa"/>
              <w:right w:w="100" w:type="dxa"/>
            </w:tcMar>
          </w:tcPr>
          <w:p w14:paraId="7CB33CD8" w14:textId="77777777" w:rsidR="005C4BC6" w:rsidRPr="006803C7" w:rsidRDefault="00000000">
            <w:pPr>
              <w:rPr>
                <w:rFonts w:ascii="Helvetica" w:hAnsi="Helvetica" w:cs="Bangla Sangam MN"/>
              </w:rPr>
            </w:pPr>
            <w:r>
              <w:rPr>
                <w:rFonts w:ascii="Helvetica" w:hAnsi="Helvetica" w:cs="Bangla Sangam MN"/>
                <w:sz w:val="16"/>
                <w:szCs w:val="16"/>
              </w:rPr>
              <w:t xml:space="preserve">6  Financials (XLF)</w:t>
            </w:r>
          </w:p>
        </w:tc>
        <w:tc>
          <w:tcPr>
            <w:tcW w:w="4000" w:type="dxa"/>
            <w:tcMar>
              <w:top w:w="60" w:type="dxa"/>
              <w:left w:w="100" w:type="dxa"/>
              <w:bottom w:w="60" w:type="dxa"/>
              <w:right w:w="100" w:type="dxa"/>
            </w:tcMar>
          </w:tcPr>
          <w:p w14:paraId="03321ADD" w14:textId="77777777" w:rsidR="005C4BC6" w:rsidRPr="006803C7" w:rsidRDefault="00000000">
            <w:pPr>
              <w:rPr>
                <w:rFonts w:ascii="Helvetica" w:hAnsi="Helvetica" w:cs="Bangla Sangam MN"/>
              </w:rPr>
            </w:pPr>
            <w:r>
              <w:rPr>
                <w:rFonts w:ascii="Helvetica" w:hAnsi="Helvetica" w:cs="Bangla Sangam MN"/>
                <w:sz w:val="16"/>
                <w:szCs w:val="16"/>
              </w:rPr>
              <w:t>N/OW — curve re-steepening supports NIM; credit risk caps conviction</w:t>
            </w:r>
          </w:p>
        </w:tc>
        <w:tc>
          <w:tcPr>
            <w:tcW w:w="3460" w:type="dxa"/>
            <w:tcMar>
              <w:top w:w="60" w:type="dxa"/>
              <w:left w:w="100" w:type="dxa"/>
              <w:bottom w:w="60" w:type="dxa"/>
              <w:right w:w="100" w:type="dxa"/>
            </w:tcMar>
          </w:tcPr>
          <w:p w14:paraId="343D5572" w14:textId="77777777" w:rsidR="005C4BC6" w:rsidRPr="006803C7" w:rsidRDefault="00000000">
            <w:pPr>
              <w:jc w:val="center"/>
              <w:rPr>
                <w:rFonts w:ascii="Helvetica" w:hAnsi="Helvetica" w:cs="Bangla Sangam MN"/>
              </w:rPr>
            </w:pPr>
            <w:r>
              <w:rPr>
                <w:rFonts w:ascii="Helvetica" w:hAnsi="Helvetica" w:cs="Bangla Sangam MN"/>
                <w:b/>
                <w:bCs/>
                <w:sz w:val="16"/>
                <w:szCs w:val="16"/>
              </w:rPr>
              <w:t>+1.0</w:t>
            </w:r>
          </w:p>
        </w:tc>
      </w:tr>
      <w:tr w:rsidR="005C4BC6" w:rsidRPr="006803C7" w14:paraId="7C2AC0B3" w14:textId="77777777" w:rsidTr="00411601">
        <w:tc>
          <w:tcPr>
            <w:tcW w:w="1900" w:type="dxa"/>
            <w:shd w:val="clear" w:color="auto" w:fill="F2F2F2" w:themeFill="background1" w:themeFillShade="F2"/>
            <w:tcMar>
              <w:top w:w="60" w:type="dxa"/>
              <w:left w:w="100" w:type="dxa"/>
              <w:bottom w:w="60" w:type="dxa"/>
              <w:right w:w="100" w:type="dxa"/>
            </w:tcMar>
          </w:tcPr>
          <w:p w14:paraId="1B5C6D2E" w14:textId="77777777" w:rsidR="005C4BC6" w:rsidRPr="006803C7" w:rsidRDefault="00000000">
            <w:pPr>
              <w:rPr>
                <w:rFonts w:ascii="Helvetica" w:hAnsi="Helvetica" w:cs="Bangla Sangam MN"/>
              </w:rPr>
            </w:pPr>
            <w:r>
              <w:rPr>
                <w:rFonts w:ascii="Helvetica" w:hAnsi="Helvetica" w:cs="Bangla Sangam MN"/>
                <w:sz w:val="16"/>
                <w:szCs w:val="16"/>
              </w:rPr>
              <w:t xml:space="preserve">7  Comm. Services (XLC)</w:t>
            </w:r>
          </w:p>
        </w:tc>
        <w:tc>
          <w:tcPr>
            <w:tcW w:w="4000" w:type="dxa"/>
            <w:shd w:val="clear" w:color="auto" w:fill="F2F2F2" w:themeFill="background1" w:themeFillShade="F2"/>
            <w:tcMar>
              <w:top w:w="60" w:type="dxa"/>
              <w:left w:w="100" w:type="dxa"/>
              <w:bottom w:w="60" w:type="dxa"/>
              <w:right w:w="100" w:type="dxa"/>
            </w:tcMar>
          </w:tcPr>
          <w:p w14:paraId="43D54E8F" w14:textId="77777777" w:rsidR="005C4BC6" w:rsidRPr="006803C7" w:rsidRDefault="00000000">
            <w:pPr>
              <w:rPr>
                <w:rFonts w:ascii="Helvetica" w:hAnsi="Helvetica" w:cs="Bangla Sangam MN"/>
              </w:rPr>
            </w:pPr>
            <w:r>
              <w:rPr>
                <w:rFonts w:ascii="Helvetica" w:hAnsi="Helvetica" w:cs="Bangla Sangam MN"/>
                <w:sz w:val="16"/>
                <w:szCs w:val="16"/>
              </w:rPr>
              <w:t>N — lower-valuation tech proxy; advertising resilient</w:t>
            </w:r>
          </w:p>
        </w:tc>
        <w:tc>
          <w:tcPr>
            <w:tcW w:w="3460" w:type="dxa"/>
            <w:shd w:val="clear" w:color="auto" w:fill="F2F2F2" w:themeFill="background1" w:themeFillShade="F2"/>
            <w:tcMar>
              <w:top w:w="60" w:type="dxa"/>
              <w:left w:w="100" w:type="dxa"/>
              <w:bottom w:w="60" w:type="dxa"/>
              <w:right w:w="100" w:type="dxa"/>
            </w:tcMar>
          </w:tcPr>
          <w:p w14:paraId="69339D69" w14:textId="77777777" w:rsidR="005C4BC6" w:rsidRPr="006803C7" w:rsidRDefault="00000000">
            <w:pPr>
              <w:jc w:val="center"/>
              <w:rPr>
                <w:rFonts w:ascii="Helvetica" w:hAnsi="Helvetica" w:cs="Bangla Sangam MN"/>
              </w:rPr>
            </w:pPr>
            <w:r>
              <w:rPr>
                <w:rFonts w:ascii="Helvetica" w:hAnsi="Helvetica" w:cs="Bangla Sangam MN"/>
                <w:sz w:val="16"/>
                <w:szCs w:val="16"/>
              </w:rPr>
              <w:t>0.0</w:t>
            </w:r>
          </w:p>
        </w:tc>
      </w:tr>
      <w:tr w:rsidR="005C4BC6" w:rsidRPr="006803C7" w14:paraId="4952127B" w14:textId="77777777" w:rsidTr="002E71CA">
        <w:tc>
          <w:tcPr>
            <w:tcW w:w="1900" w:type="dxa"/>
            <w:tcMar>
              <w:top w:w="60" w:type="dxa"/>
              <w:left w:w="100" w:type="dxa"/>
              <w:bottom w:w="60" w:type="dxa"/>
              <w:right w:w="100" w:type="dxa"/>
            </w:tcMar>
          </w:tcPr>
          <w:p w14:paraId="0F2F8106" w14:textId="77777777" w:rsidR="005C4BC6" w:rsidRPr="006803C7" w:rsidRDefault="00000000">
            <w:pPr>
              <w:rPr>
                <w:rFonts w:ascii="Helvetica" w:hAnsi="Helvetica" w:cs="Bangla Sangam MN"/>
              </w:rPr>
            </w:pPr>
            <w:r>
              <w:rPr>
                <w:rFonts w:ascii="Helvetica" w:hAnsi="Helvetica" w:cs="Bangla Sangam MN"/>
                <w:sz w:val="16"/>
                <w:szCs w:val="16"/>
              </w:rPr>
              <w:t xml:space="preserve">8  Utilities (XLU)</w:t>
            </w:r>
          </w:p>
        </w:tc>
        <w:tc>
          <w:tcPr>
            <w:tcW w:w="4000" w:type="dxa"/>
            <w:tcMar>
              <w:top w:w="60" w:type="dxa"/>
              <w:left w:w="100" w:type="dxa"/>
              <w:bottom w:w="60" w:type="dxa"/>
              <w:right w:w="100" w:type="dxa"/>
            </w:tcMar>
          </w:tcPr>
          <w:p w14:paraId="2C758F88" w14:textId="77777777" w:rsidR="005C4BC6" w:rsidRPr="006803C7" w:rsidRDefault="00000000">
            <w:pPr>
              <w:rPr>
                <w:rFonts w:ascii="Helvetica" w:hAnsi="Helvetica" w:cs="Bangla Sangam MN"/>
              </w:rPr>
            </w:pPr>
            <w:r>
              <w:rPr>
                <w:rFonts w:ascii="Helvetica" w:hAnsi="Helvetica" w:cs="Bangla Sangam MN"/>
                <w:sz w:val="16"/>
                <w:szCs w:val="16"/>
              </w:rPr>
              <w:t>N — rate headwind balanced by AI power demand</w:t>
            </w:r>
          </w:p>
        </w:tc>
        <w:tc>
          <w:tcPr>
            <w:tcW w:w="3460" w:type="dxa"/>
            <w:tcMar>
              <w:top w:w="60" w:type="dxa"/>
              <w:left w:w="100" w:type="dxa"/>
              <w:bottom w:w="60" w:type="dxa"/>
              <w:right w:w="100" w:type="dxa"/>
            </w:tcMar>
          </w:tcPr>
          <w:p w14:paraId="351031C5" w14:textId="77777777" w:rsidR="005C4BC6" w:rsidRPr="006803C7" w:rsidRDefault="00000000">
            <w:pPr>
              <w:jc w:val="center"/>
              <w:rPr>
                <w:rFonts w:ascii="Helvetica" w:hAnsi="Helvetica" w:cs="Bangla Sangam MN"/>
              </w:rPr>
            </w:pPr>
            <w:r>
              <w:rPr>
                <w:rFonts w:ascii="Helvetica" w:hAnsi="Helvetica" w:cs="Bangla Sangam MN"/>
                <w:sz w:val="16"/>
                <w:szCs w:val="16"/>
              </w:rPr>
              <w:t>0.0</w:t>
            </w:r>
          </w:p>
        </w:tc>
      </w:tr>
      <w:tr w:rsidR="005C4BC6" w:rsidRPr="006803C7" w14:paraId="17E831CE" w14:textId="77777777" w:rsidTr="00411601">
        <w:tc>
          <w:tcPr>
            <w:tcW w:w="1900" w:type="dxa"/>
            <w:shd w:val="clear" w:color="auto" w:fill="F2F2F2" w:themeFill="background1" w:themeFillShade="F2"/>
            <w:tcMar>
              <w:top w:w="60" w:type="dxa"/>
              <w:left w:w="100" w:type="dxa"/>
              <w:bottom w:w="60" w:type="dxa"/>
              <w:right w:w="100" w:type="dxa"/>
            </w:tcMar>
          </w:tcPr>
          <w:p w14:paraId="6C9BD033" w14:textId="77777777" w:rsidR="005C4BC6" w:rsidRPr="006803C7" w:rsidRDefault="00000000">
            <w:pPr>
              <w:rPr>
                <w:rFonts w:ascii="Helvetica" w:hAnsi="Helvetica" w:cs="Bangla Sangam MN"/>
              </w:rPr>
            </w:pPr>
            <w:r>
              <w:rPr>
                <w:rFonts w:ascii="Helvetica" w:hAnsi="Helvetica" w:cs="Bangla Sangam MN"/>
                <w:sz w:val="16"/>
                <w:szCs w:val="16"/>
              </w:rPr>
              <w:t>9  Info. Technology (XLK)</w:t>
            </w:r>
          </w:p>
        </w:tc>
        <w:tc>
          <w:tcPr>
            <w:tcW w:w="4000" w:type="dxa"/>
            <w:shd w:val="clear" w:color="auto" w:fill="F2F2F2" w:themeFill="background1" w:themeFillShade="F2"/>
            <w:tcMar>
              <w:top w:w="60" w:type="dxa"/>
              <w:left w:w="100" w:type="dxa"/>
              <w:bottom w:w="60" w:type="dxa"/>
              <w:right w:w="100" w:type="dxa"/>
            </w:tcMar>
          </w:tcPr>
          <w:p w14:paraId="308F145D" w14:textId="77777777" w:rsidR="005C4BC6" w:rsidRPr="006803C7" w:rsidRDefault="00000000">
            <w:pPr>
              <w:rPr>
                <w:rFonts w:ascii="Helvetica" w:hAnsi="Helvetica" w:cs="Bangla Sangam MN"/>
              </w:rPr>
            </w:pPr>
            <w:r>
              <w:rPr>
                <w:rFonts w:ascii="Helvetica" w:hAnsi="Helvetica" w:cs="Bangla Sangam MN"/>
                <w:sz w:val="16"/>
                <w:szCs w:val="16"/>
              </w:rPr>
              <w:t>N/UW — best EPS growth but richest multiple, highest rate-sensitivity</w:t>
            </w:r>
          </w:p>
        </w:tc>
        <w:tc>
          <w:tcPr>
            <w:tcW w:w="3460" w:type="dxa"/>
            <w:shd w:val="clear" w:color="auto" w:fill="F2F2F2" w:themeFill="background1" w:themeFillShade="F2"/>
            <w:tcMar>
              <w:top w:w="60" w:type="dxa"/>
              <w:left w:w="100" w:type="dxa"/>
              <w:bottom w:w="60" w:type="dxa"/>
              <w:right w:w="100" w:type="dxa"/>
            </w:tcMar>
          </w:tcPr>
          <w:p w14:paraId="7C0CF38C" w14:textId="77777777" w:rsidR="005C4BC6" w:rsidRPr="006803C7" w:rsidRDefault="00000000">
            <w:pPr>
              <w:jc w:val="center"/>
              <w:rPr>
                <w:rFonts w:ascii="Helvetica" w:hAnsi="Helvetica" w:cs="Bangla Sangam MN"/>
              </w:rPr>
            </w:pPr>
            <w:r>
              <w:rPr>
                <w:rFonts w:ascii="Helvetica" w:hAnsi="Helvetica" w:cs="Cambria Math"/>
                <w:b/>
                <w:bCs/>
                <w:sz w:val="16"/>
                <w:szCs w:val="16"/>
              </w:rPr>
              <w:t>−</w:t>
            </w:r>
            <w:r>
              <w:rPr>
                <w:rFonts w:ascii="Helvetica" w:hAnsi="Helvetica" w:cs="Bangla Sangam MN"/>
                <w:b/>
                <w:bCs/>
                <w:sz w:val="16"/>
                <w:szCs w:val="16"/>
              </w:rPr>
              <w:t>6.0</w:t>
            </w:r>
          </w:p>
        </w:tc>
      </w:tr>
      <w:tr w:rsidR="005C4BC6" w:rsidRPr="006803C7" w14:paraId="43301EB0" w14:textId="77777777" w:rsidTr="00310D05">
        <w:tc>
          <w:tcPr>
            <w:tcW w:w="1900" w:type="dxa"/>
            <w:tcMar>
              <w:top w:w="60" w:type="dxa"/>
              <w:left w:w="100" w:type="dxa"/>
              <w:bottom w:w="60" w:type="dxa"/>
              <w:right w:w="100" w:type="dxa"/>
            </w:tcMar>
          </w:tcPr>
          <w:p w14:paraId="41CB6D8C" w14:textId="77777777" w:rsidR="005C4BC6" w:rsidRPr="006803C7" w:rsidRDefault="00000000">
            <w:pPr>
              <w:rPr>
                <w:rFonts w:ascii="Helvetica" w:hAnsi="Helvetica" w:cs="Bangla Sangam MN"/>
              </w:rPr>
            </w:pPr>
            <w:r>
              <w:rPr>
                <w:rFonts w:ascii="Helvetica" w:hAnsi="Helvetica" w:cs="Bangla Sangam MN"/>
                <w:sz w:val="16"/>
                <w:szCs w:val="16"/>
              </w:rPr>
              <w:t xml:space="preserve">10  Consumer Discr. (XLY)</w:t>
            </w:r>
          </w:p>
        </w:tc>
        <w:tc>
          <w:tcPr>
            <w:tcW w:w="4000" w:type="dxa"/>
            <w:tcMar>
              <w:top w:w="60" w:type="dxa"/>
              <w:left w:w="100" w:type="dxa"/>
              <w:bottom w:w="60" w:type="dxa"/>
              <w:right w:w="100" w:type="dxa"/>
            </w:tcMar>
          </w:tcPr>
          <w:p w14:paraId="3436792A" w14:textId="77777777" w:rsidR="005C4BC6" w:rsidRPr="006803C7" w:rsidRDefault="00000000">
            <w:pPr>
              <w:rPr>
                <w:rFonts w:ascii="Helvetica" w:hAnsi="Helvetica" w:cs="Bangla Sangam MN"/>
              </w:rPr>
            </w:pPr>
            <w:r>
              <w:rPr>
                <w:rFonts w:ascii="Helvetica" w:hAnsi="Helvetica" w:cs="Bangla Sangam MN"/>
                <w:sz w:val="16"/>
                <w:szCs w:val="16"/>
              </w:rPr>
              <w:t>UW — expensive; consumer squeezed by inflation + borrowing costs</w:t>
            </w:r>
          </w:p>
        </w:tc>
        <w:tc>
          <w:tcPr>
            <w:tcW w:w="3460" w:type="dxa"/>
            <w:tcMar>
              <w:top w:w="60" w:type="dxa"/>
              <w:left w:w="100" w:type="dxa"/>
              <w:bottom w:w="60" w:type="dxa"/>
              <w:right w:w="100" w:type="dxa"/>
            </w:tcMar>
          </w:tcPr>
          <w:p w14:paraId="28D309EA" w14:textId="77777777" w:rsidR="005C4BC6" w:rsidRPr="006803C7" w:rsidRDefault="00000000">
            <w:pPr>
              <w:jc w:val="center"/>
              <w:rPr>
                <w:rFonts w:ascii="Helvetica" w:hAnsi="Helvetica" w:cs="Bangla Sangam MN"/>
              </w:rPr>
            </w:pPr>
            <w:r>
              <w:rPr>
                <w:rFonts w:ascii="Helvetica" w:hAnsi="Helvetica" w:cs="Cambria Math"/>
                <w:b/>
                <w:bCs/>
                <w:sz w:val="16"/>
                <w:szCs w:val="16"/>
              </w:rPr>
              <w:t>−</w:t>
            </w:r>
            <w:r>
              <w:rPr>
                <w:rFonts w:ascii="Helvetica" w:hAnsi="Helvetica" w:cs="Bangla Sangam MN"/>
                <w:b/>
                <w:bCs/>
                <w:sz w:val="16"/>
                <w:szCs w:val="16"/>
              </w:rPr>
              <w:t>1.5</w:t>
            </w:r>
          </w:p>
        </w:tc>
      </w:tr>
      <w:tr w:rsidR="005C4BC6" w:rsidRPr="006803C7" w14:paraId="2FAB066F" w14:textId="77777777" w:rsidTr="00310D05">
        <w:tc>
          <w:tcPr>
            <w:tcW w:w="1900" w:type="dxa"/>
            <w:tcBorders>
              <w:bottom w:val="single" w:sz="4" w:space="0" w:color="auto"/>
            </w:tcBorders>
            <w:shd w:val="clear" w:color="auto" w:fill="F2F2F2" w:themeFill="background1" w:themeFillShade="F2"/>
            <w:tcMar>
              <w:top w:w="60" w:type="dxa"/>
              <w:left w:w="100" w:type="dxa"/>
              <w:bottom w:w="60" w:type="dxa"/>
              <w:right w:w="100" w:type="dxa"/>
            </w:tcMar>
          </w:tcPr>
          <w:p w14:paraId="2816271F" w14:textId="77777777" w:rsidR="005C4BC6" w:rsidRPr="006803C7" w:rsidRDefault="00000000">
            <w:pPr>
              <w:rPr>
                <w:rFonts w:ascii="Helvetica" w:hAnsi="Helvetica" w:cs="Bangla Sangam MN"/>
              </w:rPr>
            </w:pPr>
            <w:r>
              <w:rPr>
                <w:rFonts w:ascii="Helvetica" w:hAnsi="Helvetica" w:cs="Bangla Sangam MN"/>
                <w:sz w:val="16"/>
                <w:szCs w:val="16"/>
              </w:rPr>
              <w:t xml:space="preserve">11  Real Estate (XLRE)</w:t>
            </w:r>
          </w:p>
        </w:tc>
        <w:tc>
          <w:tcPr>
            <w:tcW w:w="4000" w:type="dxa"/>
            <w:tcBorders>
              <w:bottom w:val="single" w:sz="4" w:space="0" w:color="auto"/>
            </w:tcBorders>
            <w:shd w:val="clear" w:color="auto" w:fill="F2F2F2" w:themeFill="background1" w:themeFillShade="F2"/>
            <w:tcMar>
              <w:top w:w="60" w:type="dxa"/>
              <w:left w:w="100" w:type="dxa"/>
              <w:bottom w:w="60" w:type="dxa"/>
              <w:right w:w="100" w:type="dxa"/>
            </w:tcMar>
          </w:tcPr>
          <w:p w14:paraId="74E79A4A" w14:textId="77777777" w:rsidR="005C4BC6" w:rsidRPr="006803C7" w:rsidRDefault="00000000">
            <w:pPr>
              <w:rPr>
                <w:rFonts w:ascii="Helvetica" w:hAnsi="Helvetica" w:cs="Bangla Sangam MN"/>
              </w:rPr>
            </w:pPr>
            <w:r>
              <w:rPr>
                <w:rFonts w:ascii="Helvetica" w:hAnsi="Helvetica" w:cs="Bangla Sangam MN"/>
                <w:sz w:val="16"/>
                <w:szCs w:val="16"/>
              </w:rPr>
              <w:t>UW — most direct rate loser; yield below 10-year Treasury</w:t>
            </w:r>
          </w:p>
        </w:tc>
        <w:tc>
          <w:tcPr>
            <w:tcW w:w="3460" w:type="dxa"/>
            <w:tcBorders>
              <w:bottom w:val="single" w:sz="4" w:space="0" w:color="auto"/>
            </w:tcBorders>
            <w:shd w:val="clear" w:color="auto" w:fill="F2F2F2" w:themeFill="background1" w:themeFillShade="F2"/>
            <w:tcMar>
              <w:top w:w="60" w:type="dxa"/>
              <w:left w:w="100" w:type="dxa"/>
              <w:bottom w:w="60" w:type="dxa"/>
              <w:right w:w="100" w:type="dxa"/>
            </w:tcMar>
          </w:tcPr>
          <w:p w14:paraId="29143DDC" w14:textId="77777777" w:rsidR="005C4BC6" w:rsidRDefault="00000000">
            <w:pPr>
              <w:jc w:val="center"/>
              <w:rPr>
                <w:rFonts w:ascii="Helvetica" w:hAnsi="Helvetica" w:cs="Bangla Sangam MN"/>
                <w:b/>
                <w:bCs/>
                <w:sz w:val="16"/>
                <w:szCs w:val="16"/>
              </w:rPr>
            </w:pPr>
            <w:r>
              <w:rPr>
                <w:rFonts w:ascii="Helvetica" w:hAnsi="Helvetica" w:cs="Cambria Math"/>
                <w:b/>
                <w:bCs/>
                <w:sz w:val="16"/>
                <w:szCs w:val="16"/>
              </w:rPr>
              <w:t>−</w:t>
            </w:r>
            <w:r>
              <w:rPr>
                <w:rFonts w:ascii="Helvetica" w:hAnsi="Helvetica" w:cs="Bangla Sangam MN"/>
                <w:b/>
                <w:bCs/>
                <w:sz w:val="16"/>
                <w:szCs w:val="16"/>
              </w:rPr>
              <w:t>1.5</w:t>
            </w:r>
          </w:p>
          <w:p w14:paraId="2CEA2E2B" w14:textId="77777777" w:rsidR="002E71CA" w:rsidRDefault="002E71CA">
            <w:pPr>
              <w:jc w:val="center"/>
              <w:rPr>
                <w:rFonts w:ascii="Helvetica" w:hAnsi="Helvetica" w:cs="Bangla Sangam MN"/>
                <w:b/>
                <w:bCs/>
              </w:rPr>
            </w:pPr>
          </w:p>
          <w:p w14:paraId="7416F467" w14:textId="77777777" w:rsidR="002E71CA" w:rsidRPr="006803C7" w:rsidRDefault="002E71CA" w:rsidP="002E71CA">
            <w:pPr>
              <w:rPr>
                <w:rFonts w:ascii="Helvetica" w:hAnsi="Helvetica" w:cs="Bangla Sangam MN"/>
              </w:rPr>
            </w:pPr>
          </w:p>
        </w:tc>
      </w:tr>
    </w:tbl>
    <w:p w14:paraId="4F22A345" w14:textId="5DF96840" w:rsidR="005C4BC6" w:rsidRPr="006803C7" w:rsidRDefault="00000000" w:rsidP="00247BC1">
      <w:pPr>
        <w:spacing w:before="30" w:after="160"/>
        <w:rPr>
          <w:rFonts w:ascii="Helvetica" w:hAnsi="Helvetica" w:cs="Bangla Sangam MN"/>
        </w:rPr>
      </w:pPr>
      <w:r>
        <w:rPr>
          <w:rFonts w:ascii="Helvetica" w:hAnsi="Helvetica" w:cs="Bangla Sangam MN"/>
          <w:i/>
          <w:iCs/>
          <w:color w:val="595959"/>
          <w:sz w:val="16"/>
          <w:szCs w:val="16"/>
        </w:rPr>
        <w:t>Source: S&amp;P Dow Jones Indices, late May 2026</w:t>
      </w:r>
    </w:p>
    <w:p w14:paraId="42824586" w14:textId="77777777" w:rsidR="006803C7" w:rsidRPr="006803C7" w:rsidRDefault="006803C7" w:rsidP="006803C7">
      <w:pPr>
        <w:spacing w:before="60" w:after="20"/>
        <w:rPr>
          <w:rFonts w:ascii="Helvetica" w:hAnsi="Helvetica" w:cs="Bangla Sangam MN"/>
        </w:rPr>
      </w:pPr>
    </w:p>
    <w:p w14:paraId="4EA1A393" w14:textId="79733959" w:rsidR="006803C7" w:rsidRPr="006803C7" w:rsidRDefault="006803C7" w:rsidP="002E71CA">
      <w:pPr>
        <w:spacing w:before="60" w:after="20"/>
        <w:jc w:val="center"/>
        <w:rPr>
          <w:rFonts w:ascii="Helvetica" w:hAnsi="Helvetica" w:cs="Bangla Sangam MN"/>
        </w:rPr>
      </w:pPr>
      <w:r>
        <w:rPr>
          <w:rFonts w:ascii="Helvetica" w:hAnsi="Helvetica" w:cs="Bangla Sangam MN"/>
          <w:noProof/>
          <w:sz w:val="16"/>
          <w:szCs w:val="16"/>
        </w:rPr>
        <w:drawing>
          <wp:inline distT="0" distB="0" distL="0" distR="0" wp14:anchorId="501F5E00" wp14:editId="76B9C6FA">
            <wp:extent cx="6330462" cy="3468370"/>
            <wp:effectExtent l="0" t="0" r="0" b="0"/>
            <wp:docPr id="1118933708" name="Chart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5B51BE9" w14:textId="44213EDC" w:rsidR="005C4BC6" w:rsidRPr="006803C7" w:rsidRDefault="005C4BC6">
      <w:pPr>
        <w:spacing w:before="30" w:after="160"/>
        <w:jc w:val="center"/>
        <w:rPr>
          <w:rFonts w:ascii="Helvetica" w:hAnsi="Helvetica" w:cs="Bangla Sangam MN"/>
        </w:rPr>
      </w:pPr>
    </w:p>
    <w:p w14:paraId="58FB23D4" w14:textId="359A5974" w:rsidR="002E71CA" w:rsidRPr="002E71CA" w:rsidRDefault="00000000" w:rsidP="00992BBB">
      <w:pPr>
        <w:rPr>
          <w:rFonts w:ascii="Helvetica" w:hAnsi="Helvetica" w:cs="Bangla Sangam MN"/>
          <w:b/>
          <w:bCs/>
          <w:color w:val="212D85"/>
          <w:sz w:val="28"/>
          <w:szCs w:val="28"/>
        </w:rPr>
      </w:pPr>
      <w:r>
        <w:rPr>
          <w:rFonts w:ascii="Helvetica" w:hAnsi="Helvetica" w:cs="Bangla Sangam MN"/>
        </w:rPr>
        <w:br w:type="page"/>
      </w:r>
      <w:r>
        <w:rPr>
          <w:rFonts w:ascii="Helvetica" w:hAnsi="Helvetica" w:cs="Bangla Sangam MN"/>
          <w:b/>
          <w:bCs/>
          <w:color w:val="212D85"/>
          <w:sz w:val="28"/>
          <w:szCs w:val="28"/>
        </w:rPr>
        <w:lastRenderedPageBreak/>
        <w:t>4. Europe — Equity Sector Research</w:t>
      </w:r>
    </w:p>
    <w:p w14:paraId="517CB463"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 xml:space="preserve">European equities trade at a historic valuation discount to the US, a compelling setup for dividend-yield-oriented exposure; the STOXX 600 vs S&amp;P 500 forward-earnings discount stood near 20%. On 11 June the ECB raised its policy rate 25bp to 2.25% in reaction to the energy-driven landscape, a restrictive shift that improves bank margins while penalizing rate-sensitive sectors. The European sleeve is built from passive funds and ETFs with targeted sector overweights in Banking, Energy, and Defense.</w:t>
      </w:r>
    </w:p>
    <w:p w14:paraId="38210857" w14:textId="77777777" w:rsidR="005C4BC6" w:rsidRPr="00C534C1" w:rsidRDefault="00000000" w:rsidP="00310D05">
      <w:pPr>
        <w:pStyle w:val="Heading2"/>
        <w:jc w:val="both"/>
        <w:rPr>
          <w:rFonts w:ascii="Helvetica" w:hAnsi="Helvetica" w:cs="Bangla Sangam MN"/>
          <w:color w:val="000000" w:themeColor="text1"/>
        </w:rPr>
      </w:pPr>
      <w:r>
        <w:rPr>
          <w:rFonts w:ascii="Helvetica" w:hAnsi="Helvetica" w:cs="Bangla Sangam MN"/>
          <w:color w:val="000000" w:themeColor="text1"/>
        </w:rPr>
        <w:t>4.1 Growth, fund flows, and sector rotation</w:t>
      </w:r>
    </w:p>
    <w:p w14:paraId="6649CB4B"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Major European indices showed solid twelve-month growth (STOXX Europe 600 +18.6%, STOXX Europe 50 +20.0%). Fund flows underscored the momentum: Q1 2026 volume rose 19.4% QoQ (EUR 29.9bn) to EUR 184.2bn total, with equity funds drawing EUR 95.3bn (up from EUR 42.9bn in Q4 2025); passive funds and ETFs captured 65% of total flows. Rising AI skepticism drove EUR 23.3bn out of growth-focused funds in Q1 — capital rotating from Growth toward defensive, value, and dividend-yielding European assets.</w:t>
      </w:r>
    </w:p>
    <w:p w14:paraId="419B2F51" w14:textId="77777777" w:rsidR="006803C7" w:rsidRPr="006803C7" w:rsidRDefault="006803C7">
      <w:pPr>
        <w:spacing w:after="130" w:line="270" w:lineRule="auto"/>
        <w:rPr>
          <w:rFonts w:ascii="Helvetica" w:hAnsi="Helvetica" w:cs="Bangla Sangam MN"/>
        </w:rPr>
      </w:pPr>
    </w:p>
    <w:p w14:paraId="7E343197" w14:textId="07EB5371" w:rsidR="006803C7" w:rsidRPr="006803C7" w:rsidRDefault="006803C7" w:rsidP="00C534C1">
      <w:pPr>
        <w:spacing w:before="60" w:after="20"/>
        <w:jc w:val="center"/>
        <w:rPr>
          <w:rFonts w:ascii="Helvetica" w:hAnsi="Helvetica" w:cs="Bangla Sangam MN"/>
        </w:rPr>
      </w:pPr>
      <w:r>
        <w:rPr>
          <w:rFonts w:ascii="Helvetica" w:hAnsi="Helvetica" w:cs="Bangla Sangam MN"/>
          <w:noProof/>
        </w:rPr>
        <w:drawing>
          <wp:inline distT="0" distB="0" distL="0" distR="0" wp14:anchorId="28E0EA88" wp14:editId="73448EAA">
            <wp:extent cx="5979381" cy="2162755"/>
            <wp:effectExtent l="0" t="0" r="2540" b="0"/>
            <wp:docPr id="818517689" name="Chart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CBBEA8" w14:textId="77777777" w:rsidR="006803C7" w:rsidRPr="006803C7" w:rsidRDefault="006803C7">
      <w:pPr>
        <w:spacing w:before="60" w:after="20"/>
        <w:jc w:val="center"/>
        <w:rPr>
          <w:rFonts w:ascii="Helvetica" w:hAnsi="Helvetica" w:cs="Bangla Sangam MN"/>
        </w:rPr>
      </w:pPr>
    </w:p>
    <w:p w14:paraId="01F84152" w14:textId="11673484" w:rsidR="00C534C1"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 Morningstar Direct, data to 31 Mar 2026</w:t>
      </w:r>
    </w:p>
    <w:p w14:paraId="798D2C4D" w14:textId="77777777" w:rsidR="00C534C1" w:rsidRPr="006803C7" w:rsidRDefault="00C534C1">
      <w:pPr>
        <w:spacing w:before="30" w:after="160"/>
        <w:jc w:val="center"/>
        <w:rPr>
          <w:rFonts w:ascii="Helvetica" w:hAnsi="Helvetica" w:cs="Bangla Sangam MN"/>
        </w:rPr>
      </w:pPr>
    </w:p>
    <w:p w14:paraId="7CECA46B"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4.2 European key macro indicators</w:t>
      </w:r>
    </w:p>
    <w:tbl>
      <w:tblPr>
        <w:tblW w:w="9360" w:type="dxa"/>
        <w:tblCellMar>
          <w:left w:w="10" w:type="dxa"/>
          <w:right w:w="10" w:type="dxa"/>
        </w:tblCellMar>
        <w:tblLook w:val="04A0" w:firstRow="1" w:lastRow="0" w:firstColumn="1" w:lastColumn="0" w:noHBand="0" w:noVBand="1"/>
      </w:tblPr>
      <w:tblGrid>
        <w:gridCol w:w="2400"/>
        <w:gridCol w:w="1900"/>
        <w:gridCol w:w="2400"/>
        <w:gridCol w:w="2660"/>
      </w:tblGrid>
      <w:tr w:rsidR="005C4BC6" w:rsidRPr="006803C7" w14:paraId="61506BBA" w14:textId="77777777" w:rsidTr="002E71CA">
        <w:trPr>
          <w:tblHeader/>
        </w:trPr>
        <w:tc>
          <w:tcPr>
            <w:tcW w:w="2400" w:type="dxa"/>
            <w:shd w:val="clear" w:color="auto" w:fill="212D85"/>
            <w:tcMar>
              <w:top w:w="60" w:type="dxa"/>
              <w:left w:w="100" w:type="dxa"/>
              <w:bottom w:w="60" w:type="dxa"/>
              <w:right w:w="100" w:type="dxa"/>
            </w:tcMar>
          </w:tcPr>
          <w:p w14:paraId="1D6C9608" w14:textId="77777777" w:rsidR="005C4BC6" w:rsidRPr="006803C7" w:rsidRDefault="00000000">
            <w:pPr>
              <w:rPr>
                <w:rFonts w:ascii="Helvetica" w:hAnsi="Helvetica" w:cs="Bangla Sangam MN"/>
              </w:rPr>
            </w:pPr>
            <w:r>
              <w:rPr>
                <w:rFonts w:ascii="Helvetica" w:hAnsi="Helvetica" w:cs="Bangla Sangam MN"/>
                <w:b/>
                <w:bCs/>
                <w:color w:val="FFFFFF"/>
                <w:sz w:val="16"/>
                <w:szCs w:val="16"/>
              </w:rPr>
              <w:t>Indicator</w:t>
            </w:r>
          </w:p>
        </w:tc>
        <w:tc>
          <w:tcPr>
            <w:tcW w:w="1900" w:type="dxa"/>
            <w:shd w:val="clear" w:color="auto" w:fill="212D85"/>
            <w:tcMar>
              <w:top w:w="60" w:type="dxa"/>
              <w:left w:w="100" w:type="dxa"/>
              <w:bottom w:w="60" w:type="dxa"/>
              <w:right w:w="100" w:type="dxa"/>
            </w:tcMar>
          </w:tcPr>
          <w:p w14:paraId="69C47FCE" w14:textId="77777777" w:rsidR="005C4BC6" w:rsidRPr="006803C7" w:rsidRDefault="00000000">
            <w:pPr>
              <w:rPr>
                <w:rFonts w:ascii="Helvetica" w:hAnsi="Helvetica" w:cs="Bangla Sangam MN"/>
              </w:rPr>
            </w:pPr>
            <w:r>
              <w:rPr>
                <w:rFonts w:ascii="Helvetica" w:hAnsi="Helvetica" w:cs="Bangla Sangam MN"/>
                <w:b/>
                <w:bCs/>
                <w:color w:val="FFFFFF"/>
                <w:sz w:val="16"/>
                <w:szCs w:val="16"/>
              </w:rPr>
              <w:t>Reading (2026)</w:t>
            </w:r>
          </w:p>
        </w:tc>
        <w:tc>
          <w:tcPr>
            <w:tcW w:w="2400" w:type="dxa"/>
            <w:shd w:val="clear" w:color="auto" w:fill="212D85"/>
            <w:tcMar>
              <w:top w:w="60" w:type="dxa"/>
              <w:left w:w="100" w:type="dxa"/>
              <w:bottom w:w="60" w:type="dxa"/>
              <w:right w:w="100" w:type="dxa"/>
            </w:tcMar>
          </w:tcPr>
          <w:p w14:paraId="3267E5F1" w14:textId="77777777" w:rsidR="005C4BC6" w:rsidRPr="006803C7" w:rsidRDefault="00000000">
            <w:pPr>
              <w:rPr>
                <w:rFonts w:ascii="Helvetica" w:hAnsi="Helvetica" w:cs="Bangla Sangam MN"/>
              </w:rPr>
            </w:pPr>
            <w:r>
              <w:rPr>
                <w:rFonts w:ascii="Helvetica" w:hAnsi="Helvetica" w:cs="Bangla Sangam MN"/>
                <w:b/>
                <w:bCs/>
                <w:color w:val="FFFFFF"/>
                <w:sz w:val="16"/>
                <w:szCs w:val="16"/>
              </w:rPr>
              <w:t>Signal</w:t>
            </w:r>
          </w:p>
        </w:tc>
        <w:tc>
          <w:tcPr>
            <w:tcW w:w="2660" w:type="dxa"/>
            <w:shd w:val="clear" w:color="auto" w:fill="212D85"/>
            <w:tcMar>
              <w:top w:w="60" w:type="dxa"/>
              <w:left w:w="100" w:type="dxa"/>
              <w:bottom w:w="60" w:type="dxa"/>
              <w:right w:w="100" w:type="dxa"/>
            </w:tcMar>
          </w:tcPr>
          <w:p w14:paraId="56ED1BCD" w14:textId="77777777" w:rsidR="005C4BC6" w:rsidRPr="006803C7" w:rsidRDefault="00000000">
            <w:pPr>
              <w:rPr>
                <w:rFonts w:ascii="Helvetica" w:hAnsi="Helvetica" w:cs="Bangla Sangam MN"/>
              </w:rPr>
            </w:pPr>
            <w:r>
              <w:rPr>
                <w:rFonts w:ascii="Helvetica" w:hAnsi="Helvetica" w:cs="Bangla Sangam MN"/>
                <w:b/>
                <w:bCs/>
                <w:color w:val="FFFFFF"/>
                <w:sz w:val="16"/>
                <w:szCs w:val="16"/>
              </w:rPr>
              <w:t>Implication</w:t>
            </w:r>
          </w:p>
        </w:tc>
      </w:tr>
      <w:tr w:rsidR="005C4BC6" w:rsidRPr="006803C7" w14:paraId="40232010" w14:textId="77777777" w:rsidTr="00411601">
        <w:tc>
          <w:tcPr>
            <w:tcW w:w="2400" w:type="dxa"/>
            <w:shd w:val="clear" w:color="auto" w:fill="F2F2F2" w:themeFill="background1" w:themeFillShade="F2"/>
            <w:tcMar>
              <w:top w:w="60" w:type="dxa"/>
              <w:left w:w="100" w:type="dxa"/>
              <w:bottom w:w="60" w:type="dxa"/>
              <w:right w:w="100" w:type="dxa"/>
            </w:tcMar>
          </w:tcPr>
          <w:p w14:paraId="654199C2" w14:textId="77777777" w:rsidR="005C4BC6" w:rsidRPr="006803C7" w:rsidRDefault="00000000">
            <w:pPr>
              <w:rPr>
                <w:rFonts w:ascii="Helvetica" w:hAnsi="Helvetica" w:cs="Bangla Sangam MN"/>
              </w:rPr>
            </w:pPr>
            <w:r>
              <w:rPr>
                <w:rFonts w:ascii="Helvetica" w:hAnsi="Helvetica" w:cs="Bangla Sangam MN"/>
                <w:sz w:val="16"/>
                <w:szCs w:val="16"/>
              </w:rPr>
              <w:t>ECB Policy Rate</w:t>
            </w:r>
          </w:p>
        </w:tc>
        <w:tc>
          <w:tcPr>
            <w:tcW w:w="1900" w:type="dxa"/>
            <w:shd w:val="clear" w:color="auto" w:fill="F2F2F2" w:themeFill="background1" w:themeFillShade="F2"/>
            <w:tcMar>
              <w:top w:w="60" w:type="dxa"/>
              <w:left w:w="100" w:type="dxa"/>
              <w:bottom w:w="60" w:type="dxa"/>
              <w:right w:w="100" w:type="dxa"/>
            </w:tcMar>
          </w:tcPr>
          <w:p w14:paraId="20B4837E" w14:textId="77777777" w:rsidR="005C4BC6" w:rsidRPr="006803C7" w:rsidRDefault="00000000">
            <w:pPr>
              <w:rPr>
                <w:rFonts w:ascii="Helvetica" w:hAnsi="Helvetica" w:cs="Bangla Sangam MN"/>
              </w:rPr>
            </w:pPr>
            <w:r>
              <w:rPr>
                <w:rFonts w:ascii="Helvetica" w:hAnsi="Helvetica" w:cs="Bangla Sangam MN"/>
                <w:sz w:val="16"/>
                <w:szCs w:val="16"/>
              </w:rPr>
              <w:t>2.25%</w:t>
            </w:r>
          </w:p>
        </w:tc>
        <w:tc>
          <w:tcPr>
            <w:tcW w:w="2400" w:type="dxa"/>
            <w:shd w:val="clear" w:color="auto" w:fill="F2F2F2" w:themeFill="background1" w:themeFillShade="F2"/>
            <w:tcMar>
              <w:top w:w="60" w:type="dxa"/>
              <w:left w:w="100" w:type="dxa"/>
              <w:bottom w:w="60" w:type="dxa"/>
              <w:right w:w="100" w:type="dxa"/>
            </w:tcMar>
          </w:tcPr>
          <w:p w14:paraId="48252E59" w14:textId="77777777" w:rsidR="005C4BC6" w:rsidRPr="006803C7" w:rsidRDefault="00000000">
            <w:pPr>
              <w:rPr>
                <w:rFonts w:ascii="Helvetica" w:hAnsi="Helvetica" w:cs="Bangla Sangam MN"/>
              </w:rPr>
            </w:pPr>
            <w:r>
              <w:rPr>
                <w:rFonts w:ascii="Helvetica" w:hAnsi="Helvetica" w:cs="Bangla Sangam MN"/>
                <w:sz w:val="16"/>
                <w:szCs w:val="16"/>
              </w:rPr>
              <w:t>25bp hike (Jun 11)</w:t>
            </w:r>
          </w:p>
        </w:tc>
        <w:tc>
          <w:tcPr>
            <w:tcW w:w="2660" w:type="dxa"/>
            <w:shd w:val="clear" w:color="auto" w:fill="F2F2F2" w:themeFill="background1" w:themeFillShade="F2"/>
            <w:tcMar>
              <w:top w:w="60" w:type="dxa"/>
              <w:left w:w="100" w:type="dxa"/>
              <w:bottom w:w="60" w:type="dxa"/>
              <w:right w:w="100" w:type="dxa"/>
            </w:tcMar>
          </w:tcPr>
          <w:p w14:paraId="556FE14D" w14:textId="77777777" w:rsidR="005C4BC6" w:rsidRPr="006803C7" w:rsidRDefault="00000000">
            <w:pPr>
              <w:rPr>
                <w:rFonts w:ascii="Helvetica" w:hAnsi="Helvetica" w:cs="Bangla Sangam MN"/>
              </w:rPr>
            </w:pPr>
            <w:r>
              <w:rPr>
                <w:rFonts w:ascii="Helvetica" w:hAnsi="Helvetica" w:cs="Bangla Sangam MN"/>
                <w:sz w:val="16"/>
                <w:szCs w:val="16"/>
              </w:rPr>
              <w:t>Improved bank margins; RE headwind</w:t>
            </w:r>
          </w:p>
        </w:tc>
      </w:tr>
      <w:tr w:rsidR="005C4BC6" w:rsidRPr="006803C7" w14:paraId="535B7880" w14:textId="77777777" w:rsidTr="002E71CA">
        <w:tc>
          <w:tcPr>
            <w:tcW w:w="2400" w:type="dxa"/>
            <w:tcMar>
              <w:top w:w="60" w:type="dxa"/>
              <w:left w:w="100" w:type="dxa"/>
              <w:bottom w:w="60" w:type="dxa"/>
              <w:right w:w="100" w:type="dxa"/>
            </w:tcMar>
          </w:tcPr>
          <w:p w14:paraId="1E91DE88" w14:textId="77777777" w:rsidR="005C4BC6" w:rsidRPr="006803C7" w:rsidRDefault="00000000">
            <w:pPr>
              <w:rPr>
                <w:rFonts w:ascii="Helvetica" w:hAnsi="Helvetica" w:cs="Bangla Sangam MN"/>
              </w:rPr>
            </w:pPr>
            <w:r>
              <w:rPr>
                <w:rFonts w:ascii="Helvetica" w:hAnsi="Helvetica" w:cs="Bangla Sangam MN"/>
                <w:sz w:val="16"/>
                <w:szCs w:val="16"/>
              </w:rPr>
              <w:t>STOXX Europe 600</w:t>
            </w:r>
          </w:p>
        </w:tc>
        <w:tc>
          <w:tcPr>
            <w:tcW w:w="1900" w:type="dxa"/>
            <w:tcMar>
              <w:top w:w="60" w:type="dxa"/>
              <w:left w:w="100" w:type="dxa"/>
              <w:bottom w:w="60" w:type="dxa"/>
              <w:right w:w="100" w:type="dxa"/>
            </w:tcMar>
          </w:tcPr>
          <w:p w14:paraId="5D12BD47" w14:textId="77777777" w:rsidR="005C4BC6" w:rsidRPr="006803C7" w:rsidRDefault="00000000">
            <w:pPr>
              <w:rPr>
                <w:rFonts w:ascii="Helvetica" w:hAnsi="Helvetica" w:cs="Bangla Sangam MN"/>
              </w:rPr>
            </w:pPr>
            <w:r>
              <w:rPr>
                <w:rFonts w:ascii="Helvetica" w:hAnsi="Helvetica" w:cs="Bangla Sangam MN"/>
                <w:sz w:val="16"/>
                <w:szCs w:val="16"/>
              </w:rPr>
              <w:t>+10.14% (6m)</w:t>
            </w:r>
          </w:p>
        </w:tc>
        <w:tc>
          <w:tcPr>
            <w:tcW w:w="2400" w:type="dxa"/>
            <w:tcMar>
              <w:top w:w="60" w:type="dxa"/>
              <w:left w:w="100" w:type="dxa"/>
              <w:bottom w:w="60" w:type="dxa"/>
              <w:right w:w="100" w:type="dxa"/>
            </w:tcMar>
          </w:tcPr>
          <w:p w14:paraId="32F43DA3" w14:textId="77777777" w:rsidR="005C4BC6" w:rsidRPr="006803C7" w:rsidRDefault="00000000">
            <w:pPr>
              <w:rPr>
                <w:rFonts w:ascii="Helvetica" w:hAnsi="Helvetica" w:cs="Bangla Sangam MN"/>
              </w:rPr>
            </w:pPr>
            <w:r>
              <w:rPr>
                <w:rFonts w:ascii="Helvetica" w:hAnsi="Helvetica" w:cs="Bangla Sangam MN"/>
                <w:sz w:val="16"/>
                <w:szCs w:val="16"/>
              </w:rPr>
              <w:t>Solid growth</w:t>
            </w:r>
          </w:p>
        </w:tc>
        <w:tc>
          <w:tcPr>
            <w:tcW w:w="2660" w:type="dxa"/>
            <w:tcMar>
              <w:top w:w="60" w:type="dxa"/>
              <w:left w:w="100" w:type="dxa"/>
              <w:bottom w:w="60" w:type="dxa"/>
              <w:right w:w="100" w:type="dxa"/>
            </w:tcMar>
          </w:tcPr>
          <w:p w14:paraId="5EED5ED2" w14:textId="77777777" w:rsidR="005C4BC6" w:rsidRPr="006803C7" w:rsidRDefault="00000000">
            <w:pPr>
              <w:rPr>
                <w:rFonts w:ascii="Helvetica" w:hAnsi="Helvetica" w:cs="Bangla Sangam MN"/>
              </w:rPr>
            </w:pPr>
            <w:r>
              <w:rPr>
                <w:rFonts w:ascii="Helvetica" w:hAnsi="Helvetica" w:cs="Bangla Sangam MN"/>
                <w:sz w:val="16"/>
                <w:szCs w:val="16"/>
              </w:rPr>
              <w:t>Positive European momentum</w:t>
            </w:r>
          </w:p>
        </w:tc>
      </w:tr>
      <w:tr w:rsidR="005C4BC6" w:rsidRPr="006803C7" w14:paraId="26AFB617" w14:textId="77777777" w:rsidTr="00411601">
        <w:tc>
          <w:tcPr>
            <w:tcW w:w="2400" w:type="dxa"/>
            <w:shd w:val="clear" w:color="auto" w:fill="F2F2F2" w:themeFill="background1" w:themeFillShade="F2"/>
            <w:tcMar>
              <w:top w:w="60" w:type="dxa"/>
              <w:left w:w="100" w:type="dxa"/>
              <w:bottom w:w="60" w:type="dxa"/>
              <w:right w:w="100" w:type="dxa"/>
            </w:tcMar>
          </w:tcPr>
          <w:p w14:paraId="772ABB03" w14:textId="77777777" w:rsidR="005C4BC6" w:rsidRPr="006803C7" w:rsidRDefault="00000000">
            <w:pPr>
              <w:rPr>
                <w:rFonts w:ascii="Helvetica" w:hAnsi="Helvetica" w:cs="Bangla Sangam MN"/>
              </w:rPr>
            </w:pPr>
            <w:r>
              <w:rPr>
                <w:rFonts w:ascii="Helvetica" w:hAnsi="Helvetica" w:cs="Bangla Sangam MN"/>
                <w:sz w:val="16"/>
                <w:szCs w:val="16"/>
              </w:rPr>
              <w:t>Valuation Discount</w:t>
            </w:r>
          </w:p>
        </w:tc>
        <w:tc>
          <w:tcPr>
            <w:tcW w:w="1900" w:type="dxa"/>
            <w:shd w:val="clear" w:color="auto" w:fill="F2F2F2" w:themeFill="background1" w:themeFillShade="F2"/>
            <w:tcMar>
              <w:top w:w="60" w:type="dxa"/>
              <w:left w:w="100" w:type="dxa"/>
              <w:bottom w:w="60" w:type="dxa"/>
              <w:right w:w="100" w:type="dxa"/>
            </w:tcMar>
          </w:tcPr>
          <w:p w14:paraId="3D554D3D" w14:textId="77777777" w:rsidR="005C4BC6" w:rsidRPr="006803C7" w:rsidRDefault="00000000">
            <w:pPr>
              <w:rPr>
                <w:rFonts w:ascii="Helvetica" w:hAnsi="Helvetica" w:cs="Bangla Sangam MN"/>
              </w:rPr>
            </w:pPr>
            <w:r>
              <w:rPr>
                <w:rFonts w:ascii="Helvetica" w:hAnsi="Helvetica" w:cs="Bangla Sangam MN"/>
                <w:sz w:val="16"/>
                <w:szCs w:val="16"/>
              </w:rPr>
              <w:t>19.98%</w:t>
            </w:r>
          </w:p>
        </w:tc>
        <w:tc>
          <w:tcPr>
            <w:tcW w:w="2400" w:type="dxa"/>
            <w:shd w:val="clear" w:color="auto" w:fill="F2F2F2" w:themeFill="background1" w:themeFillShade="F2"/>
            <w:tcMar>
              <w:top w:w="60" w:type="dxa"/>
              <w:left w:w="100" w:type="dxa"/>
              <w:bottom w:w="60" w:type="dxa"/>
              <w:right w:w="100" w:type="dxa"/>
            </w:tcMar>
          </w:tcPr>
          <w:p w14:paraId="0C80ED43" w14:textId="77777777" w:rsidR="005C4BC6" w:rsidRPr="006803C7" w:rsidRDefault="00000000">
            <w:pPr>
              <w:rPr>
                <w:rFonts w:ascii="Helvetica" w:hAnsi="Helvetica" w:cs="Bangla Sangam MN"/>
              </w:rPr>
            </w:pPr>
            <w:r>
              <w:rPr>
                <w:rFonts w:ascii="Helvetica" w:hAnsi="Helvetica" w:cs="Bangla Sangam MN"/>
                <w:sz w:val="16"/>
                <w:szCs w:val="16"/>
              </w:rPr>
              <w:t>STOXX 600 vs S&amp;P 500</w:t>
            </w:r>
          </w:p>
        </w:tc>
        <w:tc>
          <w:tcPr>
            <w:tcW w:w="2660" w:type="dxa"/>
            <w:shd w:val="clear" w:color="auto" w:fill="F2F2F2" w:themeFill="background1" w:themeFillShade="F2"/>
            <w:tcMar>
              <w:top w:w="60" w:type="dxa"/>
              <w:left w:w="100" w:type="dxa"/>
              <w:bottom w:w="60" w:type="dxa"/>
              <w:right w:w="100" w:type="dxa"/>
            </w:tcMar>
          </w:tcPr>
          <w:p w14:paraId="491ADD7C" w14:textId="77777777" w:rsidR="005C4BC6" w:rsidRPr="006803C7" w:rsidRDefault="00000000">
            <w:pPr>
              <w:rPr>
                <w:rFonts w:ascii="Helvetica" w:hAnsi="Helvetica" w:cs="Bangla Sangam MN"/>
              </w:rPr>
            </w:pPr>
            <w:r>
              <w:rPr>
                <w:rFonts w:ascii="Helvetica" w:hAnsi="Helvetica" w:cs="Bangla Sangam MN"/>
                <w:sz w:val="16"/>
                <w:szCs w:val="16"/>
              </w:rPr>
              <w:t>Attractive for dividend-yield</w:t>
            </w:r>
          </w:p>
        </w:tc>
      </w:tr>
      <w:tr w:rsidR="005C4BC6" w:rsidRPr="006803C7" w14:paraId="0EC7A068" w14:textId="77777777" w:rsidTr="00310D05">
        <w:tc>
          <w:tcPr>
            <w:tcW w:w="2400" w:type="dxa"/>
            <w:tcMar>
              <w:top w:w="60" w:type="dxa"/>
              <w:left w:w="100" w:type="dxa"/>
              <w:bottom w:w="60" w:type="dxa"/>
              <w:right w:w="100" w:type="dxa"/>
            </w:tcMar>
          </w:tcPr>
          <w:p w14:paraId="3DE9543E" w14:textId="77777777" w:rsidR="005C4BC6" w:rsidRPr="006803C7" w:rsidRDefault="00000000">
            <w:pPr>
              <w:rPr>
                <w:rFonts w:ascii="Helvetica" w:hAnsi="Helvetica" w:cs="Bangla Sangam MN"/>
              </w:rPr>
            </w:pPr>
            <w:r>
              <w:rPr>
                <w:rFonts w:ascii="Helvetica" w:hAnsi="Helvetica" w:cs="Bangla Sangam MN"/>
                <w:sz w:val="16"/>
                <w:szCs w:val="16"/>
              </w:rPr>
              <w:t>Equity Fund Inflows</w:t>
            </w:r>
          </w:p>
        </w:tc>
        <w:tc>
          <w:tcPr>
            <w:tcW w:w="1900" w:type="dxa"/>
            <w:tcMar>
              <w:top w:w="60" w:type="dxa"/>
              <w:left w:w="100" w:type="dxa"/>
              <w:bottom w:w="60" w:type="dxa"/>
              <w:right w:w="100" w:type="dxa"/>
            </w:tcMar>
          </w:tcPr>
          <w:p w14:paraId="3B5197BB" w14:textId="77777777" w:rsidR="005C4BC6" w:rsidRPr="006803C7" w:rsidRDefault="00000000">
            <w:pPr>
              <w:rPr>
                <w:rFonts w:ascii="Helvetica" w:hAnsi="Helvetica" w:cs="Bangla Sangam MN"/>
              </w:rPr>
            </w:pPr>
            <w:r>
              <w:rPr>
                <w:rFonts w:ascii="Helvetica" w:hAnsi="Helvetica" w:cs="Bangla Sangam MN"/>
                <w:sz w:val="16"/>
                <w:szCs w:val="16"/>
              </w:rPr>
              <w:t>EUR 95.3bn</w:t>
            </w:r>
          </w:p>
        </w:tc>
        <w:tc>
          <w:tcPr>
            <w:tcW w:w="2400" w:type="dxa"/>
            <w:tcMar>
              <w:top w:w="60" w:type="dxa"/>
              <w:left w:w="100" w:type="dxa"/>
              <w:bottom w:w="60" w:type="dxa"/>
              <w:right w:w="100" w:type="dxa"/>
            </w:tcMar>
          </w:tcPr>
          <w:p w14:paraId="4436A62B" w14:textId="77777777" w:rsidR="005C4BC6" w:rsidRPr="006803C7" w:rsidRDefault="00000000">
            <w:pPr>
              <w:rPr>
                <w:rFonts w:ascii="Helvetica" w:hAnsi="Helvetica" w:cs="Bangla Sangam MN"/>
              </w:rPr>
            </w:pPr>
            <w:r>
              <w:rPr>
                <w:rFonts w:ascii="Helvetica" w:hAnsi="Helvetica" w:cs="Bangla Sangam MN"/>
                <w:sz w:val="16"/>
                <w:szCs w:val="16"/>
              </w:rPr>
              <w:t>+122% vs Q4 2025</w:t>
            </w:r>
          </w:p>
        </w:tc>
        <w:tc>
          <w:tcPr>
            <w:tcW w:w="2660" w:type="dxa"/>
            <w:tcMar>
              <w:top w:w="60" w:type="dxa"/>
              <w:left w:w="100" w:type="dxa"/>
              <w:bottom w:w="60" w:type="dxa"/>
              <w:right w:w="100" w:type="dxa"/>
            </w:tcMar>
          </w:tcPr>
          <w:p w14:paraId="7F91932A" w14:textId="77777777" w:rsidR="005C4BC6" w:rsidRPr="006803C7" w:rsidRDefault="00000000">
            <w:pPr>
              <w:rPr>
                <w:rFonts w:ascii="Helvetica" w:hAnsi="Helvetica" w:cs="Bangla Sangam MN"/>
              </w:rPr>
            </w:pPr>
            <w:r>
              <w:rPr>
                <w:rFonts w:ascii="Helvetica" w:hAnsi="Helvetica" w:cs="Bangla Sangam MN"/>
                <w:sz w:val="16"/>
                <w:szCs w:val="16"/>
              </w:rPr>
              <w:t>Strong interest; passive dominance</w:t>
            </w:r>
          </w:p>
        </w:tc>
      </w:tr>
      <w:tr w:rsidR="005C4BC6" w:rsidRPr="006803C7" w14:paraId="4D39EECC" w14:textId="77777777" w:rsidTr="00310D05">
        <w:tc>
          <w:tcPr>
            <w:tcW w:w="2400" w:type="dxa"/>
            <w:tcBorders>
              <w:bottom w:val="single" w:sz="4" w:space="0" w:color="auto"/>
            </w:tcBorders>
            <w:shd w:val="clear" w:color="auto" w:fill="F2F2F2" w:themeFill="background1" w:themeFillShade="F2"/>
            <w:tcMar>
              <w:top w:w="60" w:type="dxa"/>
              <w:left w:w="100" w:type="dxa"/>
              <w:bottom w:w="60" w:type="dxa"/>
              <w:right w:w="100" w:type="dxa"/>
            </w:tcMar>
          </w:tcPr>
          <w:p w14:paraId="1B6169B6" w14:textId="77777777" w:rsidR="005C4BC6" w:rsidRPr="006803C7" w:rsidRDefault="00000000">
            <w:pPr>
              <w:rPr>
                <w:rFonts w:ascii="Helvetica" w:hAnsi="Helvetica" w:cs="Bangla Sangam MN"/>
              </w:rPr>
            </w:pPr>
            <w:r>
              <w:rPr>
                <w:rFonts w:ascii="Helvetica" w:hAnsi="Helvetica" w:cs="Bangla Sangam MN"/>
                <w:sz w:val="16"/>
                <w:szCs w:val="16"/>
              </w:rPr>
              <w:t>Growth Equity Funds</w:t>
            </w:r>
          </w:p>
        </w:tc>
        <w:tc>
          <w:tcPr>
            <w:tcW w:w="1900" w:type="dxa"/>
            <w:tcBorders>
              <w:bottom w:val="single" w:sz="4" w:space="0" w:color="auto"/>
            </w:tcBorders>
            <w:shd w:val="clear" w:color="auto" w:fill="F2F2F2" w:themeFill="background1" w:themeFillShade="F2"/>
            <w:tcMar>
              <w:top w:w="60" w:type="dxa"/>
              <w:left w:w="100" w:type="dxa"/>
              <w:bottom w:w="60" w:type="dxa"/>
              <w:right w:w="100" w:type="dxa"/>
            </w:tcMar>
          </w:tcPr>
          <w:p w14:paraId="032119E0" w14:textId="77777777" w:rsidR="005C4BC6" w:rsidRPr="006803C7" w:rsidRDefault="00000000">
            <w:pPr>
              <w:rPr>
                <w:rFonts w:ascii="Helvetica" w:hAnsi="Helvetica" w:cs="Bangla Sangam MN"/>
              </w:rPr>
            </w:pPr>
            <w:r>
              <w:rPr>
                <w:rFonts w:ascii="Helvetica" w:hAnsi="Helvetica" w:cs="Cambria Math"/>
                <w:sz w:val="16"/>
                <w:szCs w:val="16"/>
              </w:rPr>
              <w:t>−</w:t>
            </w:r>
            <w:r>
              <w:rPr>
                <w:rFonts w:ascii="Helvetica" w:hAnsi="Helvetica" w:cs="Bangla Sangam MN"/>
                <w:sz w:val="16"/>
                <w:szCs w:val="16"/>
              </w:rPr>
              <w:t>EUR 23.3bn (Q1)</w:t>
            </w:r>
          </w:p>
        </w:tc>
        <w:tc>
          <w:tcPr>
            <w:tcW w:w="2400" w:type="dxa"/>
            <w:tcBorders>
              <w:bottom w:val="single" w:sz="4" w:space="0" w:color="auto"/>
            </w:tcBorders>
            <w:shd w:val="clear" w:color="auto" w:fill="F2F2F2" w:themeFill="background1" w:themeFillShade="F2"/>
            <w:tcMar>
              <w:top w:w="60" w:type="dxa"/>
              <w:left w:w="100" w:type="dxa"/>
              <w:bottom w:w="60" w:type="dxa"/>
              <w:right w:w="100" w:type="dxa"/>
            </w:tcMar>
          </w:tcPr>
          <w:p w14:paraId="27EA670A" w14:textId="77777777" w:rsidR="005C4BC6" w:rsidRPr="006803C7" w:rsidRDefault="00000000">
            <w:pPr>
              <w:rPr>
                <w:rFonts w:ascii="Helvetica" w:hAnsi="Helvetica" w:cs="Bangla Sangam MN"/>
              </w:rPr>
            </w:pPr>
            <w:r>
              <w:rPr>
                <w:rFonts w:ascii="Helvetica" w:hAnsi="Helvetica" w:cs="Bangla Sangam MN"/>
                <w:sz w:val="16"/>
                <w:szCs w:val="16"/>
              </w:rPr>
              <w:t>Rising AI skepticism</w:t>
            </w:r>
          </w:p>
        </w:tc>
        <w:tc>
          <w:tcPr>
            <w:tcW w:w="2660" w:type="dxa"/>
            <w:tcBorders>
              <w:bottom w:val="single" w:sz="4" w:space="0" w:color="auto"/>
            </w:tcBorders>
            <w:shd w:val="clear" w:color="auto" w:fill="F2F2F2" w:themeFill="background1" w:themeFillShade="F2"/>
            <w:tcMar>
              <w:top w:w="60" w:type="dxa"/>
              <w:left w:w="100" w:type="dxa"/>
              <w:bottom w:w="60" w:type="dxa"/>
              <w:right w:w="100" w:type="dxa"/>
            </w:tcMar>
          </w:tcPr>
          <w:p w14:paraId="667FBB1B" w14:textId="77777777" w:rsidR="005C4BC6" w:rsidRPr="006803C7" w:rsidRDefault="00000000">
            <w:pPr>
              <w:rPr>
                <w:rFonts w:ascii="Helvetica" w:hAnsi="Helvetica" w:cs="Bangla Sangam MN"/>
              </w:rPr>
            </w:pPr>
            <w:r>
              <w:rPr>
                <w:rFonts w:ascii="Helvetica" w:hAnsi="Helvetica" w:cs="Bangla Sangam MN"/>
                <w:sz w:val="16"/>
                <w:szCs w:val="16"/>
              </w:rPr>
              <w:t>Rotation away from Tech/Growth</w:t>
            </w:r>
          </w:p>
        </w:tc>
      </w:tr>
    </w:tbl>
    <w:p w14:paraId="428AE8D8" w14:textId="77777777" w:rsidR="005C4BC6" w:rsidRPr="006803C7" w:rsidRDefault="00000000">
      <w:pPr>
        <w:spacing w:before="30" w:after="160"/>
        <w:jc w:val="center"/>
        <w:rPr>
          <w:rFonts w:ascii="Helvetica" w:hAnsi="Helvetica" w:cs="Bangla Sangam MN"/>
        </w:rPr>
      </w:pPr>
      <w:r>
        <w:rPr>
          <w:rFonts w:ascii="Helvetica" w:hAnsi="Helvetica" w:cs="Bangla Sangam MN"/>
          <w:i/>
          <w:iCs/>
          <w:color w:val="595959"/>
          <w:sz w:val="16"/>
          <w:szCs w:val="16"/>
        </w:rPr>
        <w:t>Sources: Morningstar; ecb.europa.eu.</w:t>
      </w:r>
    </w:p>
    <w:p w14:paraId="6427B1BC" w14:textId="77777777" w:rsidR="002E71CA" w:rsidRPr="00AB77DF" w:rsidRDefault="002E71CA">
      <w:pPr>
        <w:pStyle w:val="Heading2"/>
        <w:rPr>
          <w:rFonts w:ascii="Helvetica" w:hAnsi="Helvetica" w:cs="Bangla Sangam MN"/>
          <w:color w:val="000000" w:themeColor="text1"/>
        </w:rPr>
      </w:pPr>
    </w:p>
    <w:p w14:paraId="41935092" w14:textId="77777777" w:rsidR="00310D05" w:rsidRPr="00AB77DF" w:rsidRDefault="00310D05">
      <w:pPr>
        <w:pStyle w:val="Heading2"/>
        <w:rPr>
          <w:rFonts w:ascii="Helvetica" w:hAnsi="Helvetica" w:cs="Bangla Sangam MN"/>
          <w:color w:val="000000" w:themeColor="text1"/>
        </w:rPr>
      </w:pPr>
    </w:p>
    <w:p w14:paraId="01BE6B32" w14:textId="77777777" w:rsidR="0040648E" w:rsidRPr="00AB77DF" w:rsidRDefault="0040648E">
      <w:pPr>
        <w:pStyle w:val="Heading2"/>
        <w:rPr>
          <w:rFonts w:ascii="Helvetica" w:hAnsi="Helvetica" w:cs="Bangla Sangam MN"/>
          <w:color w:val="000000" w:themeColor="text1"/>
        </w:rPr>
      </w:pPr>
    </w:p>
    <w:p w14:paraId="66136D0D" w14:textId="7F8DA0FC"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lastRenderedPageBreak/>
        <w:t>4.3 European fundamental valuation</w:t>
      </w:r>
    </w:p>
    <w:tbl>
      <w:tblPr>
        <w:tblW w:w="9360" w:type="dxa"/>
        <w:tblCellMar>
          <w:left w:w="10" w:type="dxa"/>
          <w:right w:w="10" w:type="dxa"/>
        </w:tblCellMar>
        <w:tblLook w:val="04A0" w:firstRow="1" w:lastRow="0" w:firstColumn="1" w:lastColumn="0" w:noHBand="0" w:noVBand="1"/>
      </w:tblPr>
      <w:tblGrid>
        <w:gridCol w:w="2200"/>
        <w:gridCol w:w="2200"/>
        <w:gridCol w:w="2200"/>
        <w:gridCol w:w="2760"/>
      </w:tblGrid>
      <w:tr w:rsidR="005C4BC6" w:rsidRPr="006803C7" w14:paraId="45AF770F" w14:textId="77777777" w:rsidTr="002E71CA">
        <w:trPr>
          <w:tblHeader/>
        </w:trPr>
        <w:tc>
          <w:tcPr>
            <w:tcW w:w="2200" w:type="dxa"/>
            <w:shd w:val="clear" w:color="auto" w:fill="212D85"/>
            <w:tcMar>
              <w:top w:w="60" w:type="dxa"/>
              <w:left w:w="100" w:type="dxa"/>
              <w:bottom w:w="60" w:type="dxa"/>
              <w:right w:w="100" w:type="dxa"/>
            </w:tcMar>
          </w:tcPr>
          <w:p w14:paraId="124B699C" w14:textId="77777777" w:rsidR="005C4BC6" w:rsidRPr="006803C7" w:rsidRDefault="00000000">
            <w:pPr>
              <w:rPr>
                <w:rFonts w:ascii="Helvetica" w:hAnsi="Helvetica" w:cs="Bangla Sangam MN"/>
              </w:rPr>
            </w:pPr>
            <w:r>
              <w:rPr>
                <w:rFonts w:ascii="Helvetica" w:hAnsi="Helvetica" w:cs="Bangla Sangam MN"/>
                <w:b/>
                <w:bCs/>
                <w:color w:val="FFFFFF"/>
                <w:sz w:val="16"/>
                <w:szCs w:val="16"/>
              </w:rPr>
              <w:t>Metric</w:t>
            </w:r>
          </w:p>
        </w:tc>
        <w:tc>
          <w:tcPr>
            <w:tcW w:w="2200" w:type="dxa"/>
            <w:shd w:val="clear" w:color="auto" w:fill="212D85"/>
            <w:tcMar>
              <w:top w:w="60" w:type="dxa"/>
              <w:left w:w="100" w:type="dxa"/>
              <w:bottom w:w="60" w:type="dxa"/>
              <w:right w:w="100" w:type="dxa"/>
            </w:tcMar>
          </w:tcPr>
          <w:p w14:paraId="721F4FFF" w14:textId="77777777" w:rsidR="005C4BC6" w:rsidRPr="006803C7" w:rsidRDefault="00000000">
            <w:pPr>
              <w:rPr>
                <w:rFonts w:ascii="Helvetica" w:hAnsi="Helvetica" w:cs="Bangla Sangam MN"/>
              </w:rPr>
            </w:pPr>
            <w:r>
              <w:rPr>
                <w:rFonts w:ascii="Helvetica" w:hAnsi="Helvetica" w:cs="Bangla Sangam MN"/>
                <w:b/>
                <w:bCs/>
                <w:color w:val="FFFFFF"/>
                <w:sz w:val="16"/>
                <w:szCs w:val="16"/>
              </w:rPr>
              <w:t>STOXX Europe 600</w:t>
            </w:r>
          </w:p>
        </w:tc>
        <w:tc>
          <w:tcPr>
            <w:tcW w:w="2200" w:type="dxa"/>
            <w:shd w:val="clear" w:color="auto" w:fill="212D85"/>
            <w:tcMar>
              <w:top w:w="60" w:type="dxa"/>
              <w:left w:w="100" w:type="dxa"/>
              <w:bottom w:w="60" w:type="dxa"/>
              <w:right w:w="100" w:type="dxa"/>
            </w:tcMar>
          </w:tcPr>
          <w:p w14:paraId="364CF108" w14:textId="77777777" w:rsidR="005C4BC6" w:rsidRPr="006803C7" w:rsidRDefault="00000000">
            <w:pPr>
              <w:rPr>
                <w:rFonts w:ascii="Helvetica" w:hAnsi="Helvetica" w:cs="Bangla Sangam MN"/>
              </w:rPr>
            </w:pPr>
            <w:r>
              <w:rPr>
                <w:rFonts w:ascii="Helvetica" w:hAnsi="Helvetica" w:cs="Bangla Sangam MN"/>
                <w:b/>
                <w:bCs/>
                <w:color w:val="FFFFFF"/>
                <w:sz w:val="16"/>
                <w:szCs w:val="16"/>
              </w:rPr>
              <w:t>S&amp;P 500 (US)</w:t>
            </w:r>
          </w:p>
        </w:tc>
        <w:tc>
          <w:tcPr>
            <w:tcW w:w="2760" w:type="dxa"/>
            <w:shd w:val="clear" w:color="auto" w:fill="212D85"/>
            <w:tcMar>
              <w:top w:w="60" w:type="dxa"/>
              <w:left w:w="100" w:type="dxa"/>
              <w:bottom w:w="60" w:type="dxa"/>
              <w:right w:w="100" w:type="dxa"/>
            </w:tcMar>
          </w:tcPr>
          <w:p w14:paraId="40C7A270" w14:textId="77777777" w:rsidR="005C4BC6" w:rsidRPr="006803C7" w:rsidRDefault="00000000">
            <w:pPr>
              <w:rPr>
                <w:rFonts w:ascii="Helvetica" w:hAnsi="Helvetica" w:cs="Bangla Sangam MN"/>
              </w:rPr>
            </w:pPr>
            <w:r>
              <w:rPr>
                <w:rFonts w:ascii="Helvetica" w:hAnsi="Helvetica" w:cs="Bangla Sangam MN"/>
                <w:b/>
                <w:bCs/>
                <w:color w:val="FFFFFF"/>
                <w:sz w:val="16"/>
                <w:szCs w:val="16"/>
              </w:rPr>
              <w:t>Market implication</w:t>
            </w:r>
          </w:p>
        </w:tc>
      </w:tr>
      <w:tr w:rsidR="005C4BC6" w:rsidRPr="006803C7" w14:paraId="05DE4DD2" w14:textId="77777777" w:rsidTr="00310D05">
        <w:tc>
          <w:tcPr>
            <w:tcW w:w="2200" w:type="dxa"/>
            <w:shd w:val="clear" w:color="auto" w:fill="F2F2F2" w:themeFill="background1" w:themeFillShade="F2"/>
            <w:tcMar>
              <w:top w:w="60" w:type="dxa"/>
              <w:left w:w="100" w:type="dxa"/>
              <w:bottom w:w="60" w:type="dxa"/>
              <w:right w:w="100" w:type="dxa"/>
            </w:tcMar>
          </w:tcPr>
          <w:p w14:paraId="77774227" w14:textId="77777777" w:rsidR="005C4BC6" w:rsidRPr="006803C7" w:rsidRDefault="00000000">
            <w:pPr>
              <w:rPr>
                <w:rFonts w:ascii="Helvetica" w:hAnsi="Helvetica" w:cs="Bangla Sangam MN"/>
              </w:rPr>
            </w:pPr>
            <w:r>
              <w:rPr>
                <w:rFonts w:ascii="Helvetica" w:hAnsi="Helvetica" w:cs="Bangla Sangam MN"/>
                <w:sz w:val="16"/>
                <w:szCs w:val="16"/>
              </w:rPr>
              <w:t>Forward P/E</w:t>
            </w:r>
          </w:p>
        </w:tc>
        <w:tc>
          <w:tcPr>
            <w:tcW w:w="2200" w:type="dxa"/>
            <w:shd w:val="clear" w:color="auto" w:fill="F2F2F2" w:themeFill="background1" w:themeFillShade="F2"/>
            <w:tcMar>
              <w:top w:w="60" w:type="dxa"/>
              <w:left w:w="100" w:type="dxa"/>
              <w:bottom w:w="60" w:type="dxa"/>
              <w:right w:w="100" w:type="dxa"/>
            </w:tcMar>
          </w:tcPr>
          <w:p w14:paraId="3531CBDA" w14:textId="77777777" w:rsidR="005C4BC6" w:rsidRPr="006803C7" w:rsidRDefault="00000000">
            <w:pPr>
              <w:rPr>
                <w:rFonts w:ascii="Helvetica" w:hAnsi="Helvetica" w:cs="Bangla Sangam MN"/>
              </w:rPr>
            </w:pPr>
            <w:r>
              <w:rPr>
                <w:rFonts w:ascii="Helvetica" w:hAnsi="Helvetica" w:cs="Bangla Sangam MN"/>
                <w:b/>
                <w:bCs/>
                <w:sz w:val="16"/>
                <w:szCs w:val="16"/>
              </w:rPr>
              <w:t>18.02</w:t>
            </w:r>
            <w:r>
              <w:rPr>
                <w:rFonts w:ascii="Helvetica" w:hAnsi="Helvetica" w:cs="Cambria"/>
                <w:b/>
                <w:bCs/>
                <w:sz w:val="16"/>
                <w:szCs w:val="16"/>
              </w:rPr>
              <w:t>×</w:t>
            </w:r>
          </w:p>
        </w:tc>
        <w:tc>
          <w:tcPr>
            <w:tcW w:w="2200" w:type="dxa"/>
            <w:shd w:val="clear" w:color="auto" w:fill="F2F2F2" w:themeFill="background1" w:themeFillShade="F2"/>
            <w:tcMar>
              <w:top w:w="60" w:type="dxa"/>
              <w:left w:w="100" w:type="dxa"/>
              <w:bottom w:w="60" w:type="dxa"/>
              <w:right w:w="100" w:type="dxa"/>
            </w:tcMar>
          </w:tcPr>
          <w:p w14:paraId="5266436F" w14:textId="77777777" w:rsidR="005C4BC6" w:rsidRPr="006803C7" w:rsidRDefault="00000000">
            <w:pPr>
              <w:rPr>
                <w:rFonts w:ascii="Helvetica" w:hAnsi="Helvetica" w:cs="Bangla Sangam MN"/>
              </w:rPr>
            </w:pPr>
            <w:r>
              <w:rPr>
                <w:rFonts w:ascii="Helvetica" w:hAnsi="Helvetica" w:cs="Bangla Sangam MN"/>
                <w:sz w:val="16"/>
                <w:szCs w:val="16"/>
              </w:rPr>
              <w:t>22.52</w:t>
            </w:r>
            <w:r>
              <w:rPr>
                <w:rFonts w:ascii="Helvetica" w:hAnsi="Helvetica" w:cs="Cambria"/>
                <w:sz w:val="16"/>
                <w:szCs w:val="16"/>
              </w:rPr>
              <w:t>×</w:t>
            </w:r>
          </w:p>
        </w:tc>
        <w:tc>
          <w:tcPr>
            <w:tcW w:w="2760" w:type="dxa"/>
            <w:shd w:val="clear" w:color="auto" w:fill="F2F2F2" w:themeFill="background1" w:themeFillShade="F2"/>
            <w:tcMar>
              <w:top w:w="60" w:type="dxa"/>
              <w:left w:w="100" w:type="dxa"/>
              <w:bottom w:w="60" w:type="dxa"/>
              <w:right w:w="100" w:type="dxa"/>
            </w:tcMar>
          </w:tcPr>
          <w:p w14:paraId="3835DFFA" w14:textId="77777777" w:rsidR="005C4BC6" w:rsidRPr="006803C7" w:rsidRDefault="00000000">
            <w:pPr>
              <w:rPr>
                <w:rFonts w:ascii="Helvetica" w:hAnsi="Helvetica" w:cs="Bangla Sangam MN"/>
              </w:rPr>
            </w:pPr>
            <w:r>
              <w:rPr>
                <w:rFonts w:ascii="Helvetica" w:hAnsi="Helvetica" w:cs="Bangla Sangam MN"/>
                <w:sz w:val="16"/>
                <w:szCs w:val="16"/>
              </w:rPr>
              <w:t>~20% discount on expected 12m earnings; attractive value entry</w:t>
            </w:r>
          </w:p>
        </w:tc>
      </w:tr>
      <w:tr w:rsidR="005C4BC6" w:rsidRPr="006803C7" w14:paraId="485521C2" w14:textId="77777777" w:rsidTr="00310D05">
        <w:tc>
          <w:tcPr>
            <w:tcW w:w="2200" w:type="dxa"/>
            <w:tcBorders>
              <w:bottom w:val="single" w:sz="4" w:space="0" w:color="auto"/>
            </w:tcBorders>
            <w:tcMar>
              <w:top w:w="60" w:type="dxa"/>
              <w:left w:w="100" w:type="dxa"/>
              <w:bottom w:w="60" w:type="dxa"/>
              <w:right w:w="100" w:type="dxa"/>
            </w:tcMar>
          </w:tcPr>
          <w:p w14:paraId="3C5C1628" w14:textId="77777777" w:rsidR="005C4BC6" w:rsidRPr="006803C7" w:rsidRDefault="00000000">
            <w:pPr>
              <w:rPr>
                <w:rFonts w:ascii="Helvetica" w:hAnsi="Helvetica" w:cs="Bangla Sangam MN"/>
              </w:rPr>
            </w:pPr>
            <w:r>
              <w:rPr>
                <w:rFonts w:ascii="Helvetica" w:hAnsi="Helvetica" w:cs="Bangla Sangam MN"/>
                <w:sz w:val="16"/>
                <w:szCs w:val="16"/>
              </w:rPr>
              <w:t>Dividend Yield</w:t>
            </w:r>
          </w:p>
        </w:tc>
        <w:tc>
          <w:tcPr>
            <w:tcW w:w="2200" w:type="dxa"/>
            <w:tcBorders>
              <w:bottom w:val="single" w:sz="4" w:space="0" w:color="auto"/>
            </w:tcBorders>
            <w:tcMar>
              <w:top w:w="60" w:type="dxa"/>
              <w:left w:w="100" w:type="dxa"/>
              <w:bottom w:w="60" w:type="dxa"/>
              <w:right w:w="100" w:type="dxa"/>
            </w:tcMar>
          </w:tcPr>
          <w:p w14:paraId="33CABE18" w14:textId="77777777" w:rsidR="005C4BC6" w:rsidRPr="006803C7" w:rsidRDefault="00000000">
            <w:pPr>
              <w:rPr>
                <w:rFonts w:ascii="Helvetica" w:hAnsi="Helvetica" w:cs="Bangla Sangam MN"/>
              </w:rPr>
            </w:pPr>
            <w:r>
              <w:rPr>
                <w:rFonts w:ascii="Helvetica" w:hAnsi="Helvetica" w:cs="Bangla Sangam MN"/>
                <w:b/>
                <w:bCs/>
                <w:sz w:val="16"/>
                <w:szCs w:val="16"/>
              </w:rPr>
              <w:t>2.49%</w:t>
            </w:r>
          </w:p>
        </w:tc>
        <w:tc>
          <w:tcPr>
            <w:tcW w:w="2200" w:type="dxa"/>
            <w:tcBorders>
              <w:bottom w:val="single" w:sz="4" w:space="0" w:color="auto"/>
            </w:tcBorders>
            <w:tcMar>
              <w:top w:w="60" w:type="dxa"/>
              <w:left w:w="100" w:type="dxa"/>
              <w:bottom w:w="60" w:type="dxa"/>
              <w:right w:w="100" w:type="dxa"/>
            </w:tcMar>
          </w:tcPr>
          <w:p w14:paraId="03EB7617" w14:textId="77777777" w:rsidR="005C4BC6" w:rsidRPr="006803C7" w:rsidRDefault="00000000">
            <w:pPr>
              <w:rPr>
                <w:rFonts w:ascii="Helvetica" w:hAnsi="Helvetica" w:cs="Bangla Sangam MN"/>
              </w:rPr>
            </w:pPr>
            <w:r>
              <w:rPr>
                <w:rFonts w:ascii="Helvetica" w:hAnsi="Helvetica" w:cs="Bangla Sangam MN"/>
                <w:sz w:val="16"/>
                <w:szCs w:val="16"/>
              </w:rPr>
              <w:t>1.05%</w:t>
            </w:r>
          </w:p>
        </w:tc>
        <w:tc>
          <w:tcPr>
            <w:tcW w:w="2760" w:type="dxa"/>
            <w:tcBorders>
              <w:bottom w:val="single" w:sz="4" w:space="0" w:color="auto"/>
            </w:tcBorders>
            <w:tcMar>
              <w:top w:w="60" w:type="dxa"/>
              <w:left w:w="100" w:type="dxa"/>
              <w:bottom w:w="60" w:type="dxa"/>
              <w:right w:w="100" w:type="dxa"/>
            </w:tcMar>
          </w:tcPr>
          <w:p w14:paraId="7B1DFBE3" w14:textId="77777777" w:rsidR="005C4BC6" w:rsidRPr="006803C7" w:rsidRDefault="00000000">
            <w:pPr>
              <w:rPr>
                <w:rFonts w:ascii="Helvetica" w:hAnsi="Helvetica" w:cs="Bangla Sangam MN"/>
              </w:rPr>
            </w:pPr>
            <w:r>
              <w:rPr>
                <w:rFonts w:ascii="Helvetica" w:hAnsi="Helvetica" w:cs="Bangla Sangam MN"/>
                <w:sz w:val="16"/>
                <w:szCs w:val="16"/>
              </w:rPr>
              <w:t>More than double the US payout; downside protection in volatile regimes</w:t>
            </w:r>
          </w:p>
        </w:tc>
      </w:tr>
    </w:tbl>
    <w:p w14:paraId="04FCF7B5" w14:textId="722CF2E3"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 xml:space="preserve">Sources: Reuters; macromicro.me; justETF</w:t>
      </w:r>
    </w:p>
    <w:p w14:paraId="3B553DE6" w14:textId="77777777" w:rsidR="002F3FE2" w:rsidRPr="006803C7" w:rsidRDefault="002F3FE2">
      <w:pPr>
        <w:spacing w:before="30" w:after="160"/>
        <w:jc w:val="center"/>
        <w:rPr>
          <w:rFonts w:ascii="Helvetica" w:hAnsi="Helvetica" w:cs="Bangla Sangam MN"/>
        </w:rPr>
      </w:pPr>
    </w:p>
    <w:p w14:paraId="77B78144"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4.4 European sector calls and conviction</w:t>
      </w:r>
    </w:p>
    <w:tbl>
      <w:tblPr>
        <w:tblW w:w="9360" w:type="dxa"/>
        <w:tblCellMar>
          <w:left w:w="10" w:type="dxa"/>
          <w:right w:w="10" w:type="dxa"/>
        </w:tblCellMar>
        <w:tblLook w:val="04A0" w:firstRow="1" w:lastRow="0" w:firstColumn="1" w:lastColumn="0" w:noHBand="0" w:noVBand="1"/>
      </w:tblPr>
      <w:tblGrid>
        <w:gridCol w:w="1900"/>
        <w:gridCol w:w="760"/>
        <w:gridCol w:w="3700"/>
        <w:gridCol w:w="3000"/>
      </w:tblGrid>
      <w:tr w:rsidR="005C4BC6" w:rsidRPr="006803C7" w14:paraId="3C090F04" w14:textId="77777777" w:rsidTr="002E71CA">
        <w:trPr>
          <w:tblHeader/>
        </w:trPr>
        <w:tc>
          <w:tcPr>
            <w:tcW w:w="1900" w:type="dxa"/>
            <w:shd w:val="clear" w:color="auto" w:fill="212D85"/>
            <w:tcMar>
              <w:top w:w="60" w:type="dxa"/>
              <w:left w:w="100" w:type="dxa"/>
              <w:bottom w:w="60" w:type="dxa"/>
              <w:right w:w="100" w:type="dxa"/>
            </w:tcMar>
          </w:tcPr>
          <w:p w14:paraId="55E6F57A" w14:textId="77777777" w:rsidR="005C4BC6" w:rsidRPr="006803C7" w:rsidRDefault="00000000">
            <w:pPr>
              <w:rPr>
                <w:rFonts w:ascii="Helvetica" w:hAnsi="Helvetica" w:cs="Bangla Sangam MN"/>
              </w:rPr>
            </w:pPr>
            <w:r>
              <w:rPr>
                <w:rFonts w:ascii="Helvetica" w:hAnsi="Helvetica" w:cs="Bangla Sangam MN"/>
                <w:b/>
                <w:bCs/>
                <w:color w:val="FFFFFF"/>
                <w:sz w:val="16"/>
                <w:szCs w:val="16"/>
              </w:rPr>
              <w:t>Sector</w:t>
            </w:r>
          </w:p>
        </w:tc>
        <w:tc>
          <w:tcPr>
            <w:tcW w:w="760" w:type="dxa"/>
            <w:shd w:val="clear" w:color="auto" w:fill="212D85"/>
            <w:tcMar>
              <w:top w:w="60" w:type="dxa"/>
              <w:left w:w="100" w:type="dxa"/>
              <w:bottom w:w="60" w:type="dxa"/>
              <w:right w:w="100" w:type="dxa"/>
            </w:tcMar>
          </w:tcPr>
          <w:p w14:paraId="18643931" w14:textId="77777777" w:rsidR="005C4BC6" w:rsidRPr="006803C7" w:rsidRDefault="00000000">
            <w:pPr>
              <w:rPr>
                <w:rFonts w:ascii="Helvetica" w:hAnsi="Helvetica" w:cs="Bangla Sangam MN"/>
              </w:rPr>
            </w:pPr>
            <w:r>
              <w:rPr>
                <w:rFonts w:ascii="Helvetica" w:hAnsi="Helvetica" w:cs="Bangla Sangam MN"/>
                <w:b/>
                <w:bCs/>
                <w:color w:val="FFFFFF"/>
                <w:sz w:val="16"/>
                <w:szCs w:val="16"/>
              </w:rPr>
              <w:t>Call</w:t>
            </w:r>
          </w:p>
        </w:tc>
        <w:tc>
          <w:tcPr>
            <w:tcW w:w="3700" w:type="dxa"/>
            <w:shd w:val="clear" w:color="auto" w:fill="212D85"/>
            <w:tcMar>
              <w:top w:w="60" w:type="dxa"/>
              <w:left w:w="100" w:type="dxa"/>
              <w:bottom w:w="60" w:type="dxa"/>
              <w:right w:w="100" w:type="dxa"/>
            </w:tcMar>
          </w:tcPr>
          <w:p w14:paraId="57F2C78B" w14:textId="77777777" w:rsidR="005C4BC6" w:rsidRPr="006803C7" w:rsidRDefault="00000000">
            <w:pPr>
              <w:rPr>
                <w:rFonts w:ascii="Helvetica" w:hAnsi="Helvetica" w:cs="Bangla Sangam MN"/>
              </w:rPr>
            </w:pPr>
            <w:r>
              <w:rPr>
                <w:rFonts w:ascii="Helvetica" w:hAnsi="Helvetica" w:cs="Bangla Sangam MN"/>
                <w:b/>
                <w:bCs/>
                <w:color w:val="FFFFFF"/>
                <w:sz w:val="16"/>
                <w:szCs w:val="16"/>
              </w:rPr>
              <w:t>Rationale &amp; regime fit</w:t>
            </w:r>
          </w:p>
        </w:tc>
        <w:tc>
          <w:tcPr>
            <w:tcW w:w="3000" w:type="dxa"/>
            <w:shd w:val="clear" w:color="auto" w:fill="212D85"/>
            <w:tcMar>
              <w:top w:w="60" w:type="dxa"/>
              <w:left w:w="100" w:type="dxa"/>
              <w:bottom w:w="60" w:type="dxa"/>
              <w:right w:w="100" w:type="dxa"/>
            </w:tcMar>
          </w:tcPr>
          <w:p w14:paraId="17DE08EC" w14:textId="77777777" w:rsidR="005C4BC6" w:rsidRPr="006803C7" w:rsidRDefault="00000000">
            <w:pPr>
              <w:rPr>
                <w:rFonts w:ascii="Helvetica" w:hAnsi="Helvetica" w:cs="Bangla Sangam MN"/>
              </w:rPr>
            </w:pPr>
            <w:r>
              <w:rPr>
                <w:rFonts w:ascii="Helvetica" w:hAnsi="Helvetica" w:cs="Bangla Sangam MN"/>
                <w:b/>
                <w:bCs/>
                <w:color w:val="FFFFFF"/>
                <w:sz w:val="16"/>
                <w:szCs w:val="16"/>
              </w:rPr>
              <w:t>Key risk</w:t>
            </w:r>
          </w:p>
        </w:tc>
      </w:tr>
      <w:tr w:rsidR="005C4BC6" w:rsidRPr="006803C7" w14:paraId="6DA341A4" w14:textId="77777777" w:rsidTr="00411601">
        <w:tc>
          <w:tcPr>
            <w:tcW w:w="1900" w:type="dxa"/>
            <w:shd w:val="clear" w:color="auto" w:fill="F2F2F2" w:themeFill="background1" w:themeFillShade="F2"/>
            <w:tcMar>
              <w:top w:w="60" w:type="dxa"/>
              <w:left w:w="100" w:type="dxa"/>
              <w:bottom w:w="60" w:type="dxa"/>
              <w:right w:w="100" w:type="dxa"/>
            </w:tcMar>
          </w:tcPr>
          <w:p w14:paraId="4291D8A8" w14:textId="77777777" w:rsidR="005C4BC6" w:rsidRPr="006803C7" w:rsidRDefault="00000000">
            <w:pPr>
              <w:rPr>
                <w:rFonts w:ascii="Helvetica" w:hAnsi="Helvetica" w:cs="Bangla Sangam MN"/>
              </w:rPr>
            </w:pPr>
            <w:r>
              <w:rPr>
                <w:rFonts w:ascii="Helvetica" w:hAnsi="Helvetica" w:cs="Bangla Sangam MN"/>
                <w:sz w:val="16"/>
                <w:szCs w:val="16"/>
              </w:rPr>
              <w:t>Financials (Value)</w:t>
            </w:r>
          </w:p>
        </w:tc>
        <w:tc>
          <w:tcPr>
            <w:tcW w:w="760" w:type="dxa"/>
            <w:shd w:val="clear" w:color="auto" w:fill="F2F2F2" w:themeFill="background1" w:themeFillShade="F2"/>
            <w:tcMar>
              <w:top w:w="60" w:type="dxa"/>
              <w:left w:w="100" w:type="dxa"/>
              <w:bottom w:w="60" w:type="dxa"/>
              <w:right w:w="100" w:type="dxa"/>
            </w:tcMar>
          </w:tcPr>
          <w:p w14:paraId="70317474"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3700" w:type="dxa"/>
            <w:shd w:val="clear" w:color="auto" w:fill="F2F2F2" w:themeFill="background1" w:themeFillShade="F2"/>
            <w:tcMar>
              <w:top w:w="60" w:type="dxa"/>
              <w:left w:w="100" w:type="dxa"/>
              <w:bottom w:w="60" w:type="dxa"/>
              <w:right w:w="100" w:type="dxa"/>
            </w:tcMar>
          </w:tcPr>
          <w:p w14:paraId="344D74A9" w14:textId="77777777" w:rsidR="005C4BC6" w:rsidRPr="006803C7" w:rsidRDefault="00000000">
            <w:pPr>
              <w:rPr>
                <w:rFonts w:ascii="Helvetica" w:hAnsi="Helvetica" w:cs="Bangla Sangam MN"/>
              </w:rPr>
            </w:pPr>
            <w:r>
              <w:rPr>
                <w:rFonts w:ascii="Helvetica" w:hAnsi="Helvetica" w:cs="Bangla Sangam MN"/>
                <w:sz w:val="16"/>
                <w:szCs w:val="16"/>
              </w:rPr>
              <w:t>Direct beneficiary of ECB hike to 2.25%; improves bank NIM — favorable</w:t>
            </w:r>
          </w:p>
        </w:tc>
        <w:tc>
          <w:tcPr>
            <w:tcW w:w="3000" w:type="dxa"/>
            <w:shd w:val="clear" w:color="auto" w:fill="F2F2F2" w:themeFill="background1" w:themeFillShade="F2"/>
            <w:tcMar>
              <w:top w:w="60" w:type="dxa"/>
              <w:left w:w="100" w:type="dxa"/>
              <w:bottom w:w="60" w:type="dxa"/>
              <w:right w:w="100" w:type="dxa"/>
            </w:tcMar>
          </w:tcPr>
          <w:p w14:paraId="1A814E3D" w14:textId="77777777" w:rsidR="005C4BC6" w:rsidRPr="006803C7" w:rsidRDefault="00000000">
            <w:pPr>
              <w:rPr>
                <w:rFonts w:ascii="Helvetica" w:hAnsi="Helvetica" w:cs="Bangla Sangam MN"/>
              </w:rPr>
            </w:pPr>
            <w:r>
              <w:rPr>
                <w:rFonts w:ascii="Helvetica" w:hAnsi="Helvetica" w:cs="Bangla Sangam MN"/>
                <w:sz w:val="16"/>
                <w:szCs w:val="16"/>
              </w:rPr>
              <w:t>Sudden cuts in a recession</w:t>
            </w:r>
          </w:p>
        </w:tc>
      </w:tr>
      <w:tr w:rsidR="005C4BC6" w:rsidRPr="006803C7" w14:paraId="20AF0122" w14:textId="77777777" w:rsidTr="002E71CA">
        <w:tc>
          <w:tcPr>
            <w:tcW w:w="1900" w:type="dxa"/>
            <w:tcMar>
              <w:top w:w="60" w:type="dxa"/>
              <w:left w:w="100" w:type="dxa"/>
              <w:bottom w:w="60" w:type="dxa"/>
              <w:right w:w="100" w:type="dxa"/>
            </w:tcMar>
          </w:tcPr>
          <w:p w14:paraId="2B1A155C" w14:textId="77777777" w:rsidR="005C4BC6" w:rsidRPr="006803C7" w:rsidRDefault="00000000">
            <w:pPr>
              <w:rPr>
                <w:rFonts w:ascii="Helvetica" w:hAnsi="Helvetica" w:cs="Bangla Sangam MN"/>
              </w:rPr>
            </w:pPr>
            <w:r>
              <w:rPr>
                <w:rFonts w:ascii="Helvetica" w:hAnsi="Helvetica" w:cs="Bangla Sangam MN"/>
                <w:sz w:val="16"/>
                <w:szCs w:val="16"/>
              </w:rPr>
              <w:t>Energy &amp; Defense</w:t>
            </w:r>
          </w:p>
        </w:tc>
        <w:tc>
          <w:tcPr>
            <w:tcW w:w="760" w:type="dxa"/>
            <w:tcMar>
              <w:top w:w="60" w:type="dxa"/>
              <w:left w:w="100" w:type="dxa"/>
              <w:bottom w:w="60" w:type="dxa"/>
              <w:right w:w="100" w:type="dxa"/>
            </w:tcMar>
          </w:tcPr>
          <w:p w14:paraId="22B229BD" w14:textId="77777777" w:rsidR="005C4BC6" w:rsidRPr="006803C7" w:rsidRDefault="00000000">
            <w:pPr>
              <w:rPr>
                <w:rFonts w:ascii="Helvetica" w:hAnsi="Helvetica" w:cs="Bangla Sangam MN"/>
              </w:rPr>
            </w:pPr>
            <w:r>
              <w:rPr>
                <w:rFonts w:ascii="Helvetica" w:hAnsi="Helvetica" w:cs="Bangla Sangam MN"/>
                <w:b/>
                <w:bCs/>
                <w:sz w:val="16"/>
                <w:szCs w:val="16"/>
              </w:rPr>
              <w:t>OW</w:t>
            </w:r>
          </w:p>
        </w:tc>
        <w:tc>
          <w:tcPr>
            <w:tcW w:w="3700" w:type="dxa"/>
            <w:tcMar>
              <w:top w:w="60" w:type="dxa"/>
              <w:left w:w="100" w:type="dxa"/>
              <w:bottom w:w="60" w:type="dxa"/>
              <w:right w:w="100" w:type="dxa"/>
            </w:tcMar>
          </w:tcPr>
          <w:p w14:paraId="27F7FDCB" w14:textId="77777777" w:rsidR="005C4BC6" w:rsidRPr="006803C7" w:rsidRDefault="00000000">
            <w:pPr>
              <w:rPr>
                <w:rFonts w:ascii="Helvetica" w:hAnsi="Helvetica" w:cs="Bangla Sangam MN"/>
              </w:rPr>
            </w:pPr>
            <w:r>
              <w:rPr>
                <w:rFonts w:ascii="Helvetica" w:hAnsi="Helvetica" w:cs="Bangla Sangam MN"/>
                <w:sz w:val="16"/>
                <w:szCs w:val="16"/>
              </w:rPr>
              <w:t>Geopolitical uncertainty (US-Iran, Russia-Ukraine) favors contractors — favorable</w:t>
            </w:r>
          </w:p>
        </w:tc>
        <w:tc>
          <w:tcPr>
            <w:tcW w:w="3000" w:type="dxa"/>
            <w:tcMar>
              <w:top w:w="60" w:type="dxa"/>
              <w:left w:w="100" w:type="dxa"/>
              <w:bottom w:w="60" w:type="dxa"/>
              <w:right w:w="100" w:type="dxa"/>
            </w:tcMar>
          </w:tcPr>
          <w:p w14:paraId="6FD02F2F" w14:textId="77777777" w:rsidR="005C4BC6" w:rsidRPr="006803C7" w:rsidRDefault="00000000">
            <w:pPr>
              <w:rPr>
                <w:rFonts w:ascii="Helvetica" w:hAnsi="Helvetica" w:cs="Bangla Sangam MN"/>
              </w:rPr>
            </w:pPr>
            <w:r>
              <w:rPr>
                <w:rFonts w:ascii="Helvetica" w:hAnsi="Helvetica" w:cs="Bangla Sangam MN"/>
                <w:sz w:val="16"/>
                <w:szCs w:val="16"/>
              </w:rPr>
              <w:t>Framework peace collapses risk premium</w:t>
            </w:r>
          </w:p>
        </w:tc>
      </w:tr>
      <w:tr w:rsidR="005C4BC6" w:rsidRPr="006803C7" w14:paraId="51957621" w14:textId="77777777" w:rsidTr="00310D05">
        <w:tc>
          <w:tcPr>
            <w:tcW w:w="1900" w:type="dxa"/>
            <w:shd w:val="clear" w:color="auto" w:fill="F2F2F2" w:themeFill="background1" w:themeFillShade="F2"/>
            <w:tcMar>
              <w:top w:w="60" w:type="dxa"/>
              <w:left w:w="100" w:type="dxa"/>
              <w:bottom w:w="60" w:type="dxa"/>
              <w:right w:w="100" w:type="dxa"/>
            </w:tcMar>
          </w:tcPr>
          <w:p w14:paraId="74CB2DC5" w14:textId="77777777" w:rsidR="005C4BC6" w:rsidRPr="006803C7" w:rsidRDefault="00000000">
            <w:pPr>
              <w:rPr>
                <w:rFonts w:ascii="Helvetica" w:hAnsi="Helvetica" w:cs="Bangla Sangam MN"/>
              </w:rPr>
            </w:pPr>
            <w:r>
              <w:rPr>
                <w:rFonts w:ascii="Helvetica" w:hAnsi="Helvetica" w:cs="Bangla Sangam MN"/>
                <w:sz w:val="16"/>
                <w:szCs w:val="16"/>
              </w:rPr>
              <w:t>Real Estate</w:t>
            </w:r>
          </w:p>
        </w:tc>
        <w:tc>
          <w:tcPr>
            <w:tcW w:w="760" w:type="dxa"/>
            <w:shd w:val="clear" w:color="auto" w:fill="F2F2F2" w:themeFill="background1" w:themeFillShade="F2"/>
            <w:tcMar>
              <w:top w:w="60" w:type="dxa"/>
              <w:left w:w="100" w:type="dxa"/>
              <w:bottom w:w="60" w:type="dxa"/>
              <w:right w:w="100" w:type="dxa"/>
            </w:tcMar>
          </w:tcPr>
          <w:p w14:paraId="31A7D627" w14:textId="77777777" w:rsidR="005C4BC6" w:rsidRPr="006803C7" w:rsidRDefault="00000000">
            <w:pPr>
              <w:rPr>
                <w:rFonts w:ascii="Helvetica" w:hAnsi="Helvetica" w:cs="Bangla Sangam MN"/>
              </w:rPr>
            </w:pPr>
            <w:r>
              <w:rPr>
                <w:rFonts w:ascii="Helvetica" w:hAnsi="Helvetica" w:cs="Bangla Sangam MN"/>
                <w:b/>
                <w:bCs/>
                <w:sz w:val="16"/>
                <w:szCs w:val="16"/>
              </w:rPr>
              <w:t>UW</w:t>
            </w:r>
          </w:p>
        </w:tc>
        <w:tc>
          <w:tcPr>
            <w:tcW w:w="3700" w:type="dxa"/>
            <w:shd w:val="clear" w:color="auto" w:fill="F2F2F2" w:themeFill="background1" w:themeFillShade="F2"/>
            <w:tcMar>
              <w:top w:w="60" w:type="dxa"/>
              <w:left w:w="100" w:type="dxa"/>
              <w:bottom w:w="60" w:type="dxa"/>
              <w:right w:w="100" w:type="dxa"/>
            </w:tcMar>
          </w:tcPr>
          <w:p w14:paraId="0ECF6C1D" w14:textId="77777777" w:rsidR="005C4BC6" w:rsidRPr="006803C7" w:rsidRDefault="00000000">
            <w:pPr>
              <w:rPr>
                <w:rFonts w:ascii="Helvetica" w:hAnsi="Helvetica" w:cs="Bangla Sangam MN"/>
              </w:rPr>
            </w:pPr>
            <w:r>
              <w:rPr>
                <w:rFonts w:ascii="Helvetica" w:hAnsi="Helvetica" w:cs="Bangla Sangam MN"/>
                <w:sz w:val="16"/>
                <w:szCs w:val="16"/>
              </w:rPr>
              <w:t>Highly sensitive to financing costs; 2.25% weighs on valuations — unfavorable</w:t>
            </w:r>
          </w:p>
        </w:tc>
        <w:tc>
          <w:tcPr>
            <w:tcW w:w="3000" w:type="dxa"/>
            <w:shd w:val="clear" w:color="auto" w:fill="F2F2F2" w:themeFill="background1" w:themeFillShade="F2"/>
            <w:tcMar>
              <w:top w:w="60" w:type="dxa"/>
              <w:left w:w="100" w:type="dxa"/>
              <w:bottom w:w="60" w:type="dxa"/>
              <w:right w:w="100" w:type="dxa"/>
            </w:tcMar>
          </w:tcPr>
          <w:p w14:paraId="46735520" w14:textId="77777777" w:rsidR="005C4BC6" w:rsidRPr="006803C7" w:rsidRDefault="00000000">
            <w:pPr>
              <w:rPr>
                <w:rFonts w:ascii="Helvetica" w:hAnsi="Helvetica" w:cs="Bangla Sangam MN"/>
              </w:rPr>
            </w:pPr>
            <w:r>
              <w:rPr>
                <w:rFonts w:ascii="Helvetica" w:hAnsi="Helvetica" w:cs="Bangla Sangam MN"/>
                <w:sz w:val="16"/>
                <w:szCs w:val="16"/>
              </w:rPr>
              <w:t>Unexpectedly fast dovish ECB pivot</w:t>
            </w:r>
          </w:p>
        </w:tc>
      </w:tr>
      <w:tr w:rsidR="005C4BC6" w:rsidRPr="006803C7" w14:paraId="169C4576" w14:textId="77777777" w:rsidTr="00310D05">
        <w:tc>
          <w:tcPr>
            <w:tcW w:w="1900" w:type="dxa"/>
            <w:tcBorders>
              <w:bottom w:val="single" w:sz="4" w:space="0" w:color="auto"/>
            </w:tcBorders>
            <w:tcMar>
              <w:top w:w="60" w:type="dxa"/>
              <w:left w:w="100" w:type="dxa"/>
              <w:bottom w:w="60" w:type="dxa"/>
              <w:right w:w="100" w:type="dxa"/>
            </w:tcMar>
          </w:tcPr>
          <w:p w14:paraId="6DE1B118" w14:textId="77777777" w:rsidR="005C4BC6" w:rsidRPr="006803C7" w:rsidRDefault="00000000">
            <w:pPr>
              <w:rPr>
                <w:rFonts w:ascii="Helvetica" w:hAnsi="Helvetica" w:cs="Bangla Sangam MN"/>
              </w:rPr>
            </w:pPr>
            <w:r>
              <w:rPr>
                <w:rFonts w:ascii="Helvetica" w:hAnsi="Helvetica" w:cs="Bangla Sangam MN"/>
                <w:sz w:val="16"/>
                <w:szCs w:val="16"/>
              </w:rPr>
              <w:t xml:space="preserve">Consumer Discr.</w:t>
            </w:r>
          </w:p>
        </w:tc>
        <w:tc>
          <w:tcPr>
            <w:tcW w:w="760" w:type="dxa"/>
            <w:tcBorders>
              <w:bottom w:val="single" w:sz="4" w:space="0" w:color="auto"/>
            </w:tcBorders>
            <w:tcMar>
              <w:top w:w="60" w:type="dxa"/>
              <w:left w:w="100" w:type="dxa"/>
              <w:bottom w:w="60" w:type="dxa"/>
              <w:right w:w="100" w:type="dxa"/>
            </w:tcMar>
          </w:tcPr>
          <w:p w14:paraId="0653CF26" w14:textId="77777777" w:rsidR="005C4BC6" w:rsidRPr="006803C7" w:rsidRDefault="00000000">
            <w:pPr>
              <w:rPr>
                <w:rFonts w:ascii="Helvetica" w:hAnsi="Helvetica" w:cs="Bangla Sangam MN"/>
              </w:rPr>
            </w:pPr>
            <w:r>
              <w:rPr>
                <w:rFonts w:ascii="Helvetica" w:hAnsi="Helvetica" w:cs="Bangla Sangam MN"/>
                <w:b/>
                <w:bCs/>
                <w:sz w:val="16"/>
                <w:szCs w:val="16"/>
              </w:rPr>
              <w:t>UW</w:t>
            </w:r>
          </w:p>
        </w:tc>
        <w:tc>
          <w:tcPr>
            <w:tcW w:w="3700" w:type="dxa"/>
            <w:tcBorders>
              <w:bottom w:val="single" w:sz="4" w:space="0" w:color="auto"/>
            </w:tcBorders>
            <w:tcMar>
              <w:top w:w="60" w:type="dxa"/>
              <w:left w:w="100" w:type="dxa"/>
              <w:bottom w:w="60" w:type="dxa"/>
              <w:right w:w="100" w:type="dxa"/>
            </w:tcMar>
          </w:tcPr>
          <w:p w14:paraId="583E87CC" w14:textId="77777777" w:rsidR="005C4BC6" w:rsidRPr="006803C7" w:rsidRDefault="00000000">
            <w:pPr>
              <w:rPr>
                <w:rFonts w:ascii="Helvetica" w:hAnsi="Helvetica" w:cs="Bangla Sangam MN"/>
              </w:rPr>
            </w:pPr>
            <w:r>
              <w:rPr>
                <w:rFonts w:ascii="Helvetica" w:hAnsi="Helvetica" w:cs="Bangla Sangam MN"/>
                <w:sz w:val="16"/>
                <w:szCs w:val="16"/>
              </w:rPr>
              <w:t>Higher rates lower demand, pressuring spending — unfavorable</w:t>
            </w:r>
          </w:p>
        </w:tc>
        <w:tc>
          <w:tcPr>
            <w:tcW w:w="3000" w:type="dxa"/>
            <w:tcBorders>
              <w:bottom w:val="single" w:sz="4" w:space="0" w:color="auto"/>
            </w:tcBorders>
            <w:tcMar>
              <w:top w:w="60" w:type="dxa"/>
              <w:left w:w="100" w:type="dxa"/>
              <w:bottom w:w="60" w:type="dxa"/>
              <w:right w:w="100" w:type="dxa"/>
            </w:tcMar>
          </w:tcPr>
          <w:p w14:paraId="71EC7047" w14:textId="77777777" w:rsidR="005C4BC6" w:rsidRPr="006803C7" w:rsidRDefault="00000000">
            <w:pPr>
              <w:rPr>
                <w:rFonts w:ascii="Helvetica" w:hAnsi="Helvetica" w:cs="Bangla Sangam MN"/>
              </w:rPr>
            </w:pPr>
            <w:r>
              <w:rPr>
                <w:rFonts w:ascii="Helvetica" w:hAnsi="Helvetica" w:cs="Bangla Sangam MN"/>
                <w:sz w:val="16"/>
                <w:szCs w:val="16"/>
              </w:rPr>
              <w:t>Rapid recovery in domestic demand</w:t>
            </w:r>
          </w:p>
        </w:tc>
      </w:tr>
    </w:tbl>
    <w:p w14:paraId="0421887A" w14:textId="53A51775" w:rsidR="005C4BC6"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 ecb.europa.eu</w:t>
      </w:r>
    </w:p>
    <w:p w14:paraId="0A1FB128" w14:textId="77777777" w:rsidR="002F3FE2" w:rsidRPr="006803C7" w:rsidRDefault="002F3FE2">
      <w:pPr>
        <w:spacing w:before="30" w:after="160"/>
        <w:jc w:val="center"/>
        <w:rPr>
          <w:rFonts w:ascii="Helvetica" w:hAnsi="Helvetica" w:cs="Bangla Sangam MN"/>
        </w:rPr>
      </w:pPr>
    </w:p>
    <w:p w14:paraId="157D642C"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4.5 European source-sleeve portfolio weights</w:t>
      </w:r>
    </w:p>
    <w:tbl>
      <w:tblPr>
        <w:tblW w:w="9360" w:type="dxa"/>
        <w:tblCellMar>
          <w:left w:w="10" w:type="dxa"/>
          <w:right w:w="10" w:type="dxa"/>
        </w:tblCellMar>
        <w:tblLook w:val="04A0" w:firstRow="1" w:lastRow="0" w:firstColumn="1" w:lastColumn="0" w:noHBand="0" w:noVBand="1"/>
      </w:tblPr>
      <w:tblGrid>
        <w:gridCol w:w="3700"/>
        <w:gridCol w:w="900"/>
        <w:gridCol w:w="2900"/>
        <w:gridCol w:w="1860"/>
      </w:tblGrid>
      <w:tr w:rsidR="005C4BC6" w:rsidRPr="006803C7" w14:paraId="62627765" w14:textId="77777777" w:rsidTr="00411601">
        <w:trPr>
          <w:tblHeader/>
        </w:trPr>
        <w:tc>
          <w:tcPr>
            <w:tcW w:w="3700" w:type="dxa"/>
            <w:shd w:val="clear" w:color="auto" w:fill="212D85"/>
            <w:tcMar>
              <w:top w:w="60" w:type="dxa"/>
              <w:left w:w="100" w:type="dxa"/>
              <w:bottom w:w="60" w:type="dxa"/>
              <w:right w:w="100" w:type="dxa"/>
            </w:tcMar>
          </w:tcPr>
          <w:p w14:paraId="0678BA23" w14:textId="77777777" w:rsidR="005C4BC6" w:rsidRPr="006803C7" w:rsidRDefault="00000000">
            <w:pPr>
              <w:rPr>
                <w:rFonts w:ascii="Helvetica" w:hAnsi="Helvetica" w:cs="Bangla Sangam MN"/>
              </w:rPr>
            </w:pPr>
            <w:r>
              <w:rPr>
                <w:rFonts w:ascii="Helvetica" w:hAnsi="Helvetica" w:cs="Bangla Sangam MN"/>
                <w:b/>
                <w:bCs/>
                <w:color w:val="FFFFFF"/>
                <w:sz w:val="16"/>
                <w:szCs w:val="16"/>
              </w:rPr>
              <w:t>Sector / ETF</w:t>
            </w:r>
          </w:p>
        </w:tc>
        <w:tc>
          <w:tcPr>
            <w:tcW w:w="900" w:type="dxa"/>
            <w:shd w:val="clear" w:color="auto" w:fill="212D85"/>
            <w:tcMar>
              <w:top w:w="60" w:type="dxa"/>
              <w:left w:w="100" w:type="dxa"/>
              <w:bottom w:w="60" w:type="dxa"/>
              <w:right w:w="100" w:type="dxa"/>
            </w:tcMar>
          </w:tcPr>
          <w:p w14:paraId="6089957F" w14:textId="77777777" w:rsidR="005C4BC6" w:rsidRPr="006803C7" w:rsidRDefault="00000000">
            <w:pPr>
              <w:rPr>
                <w:rFonts w:ascii="Helvetica" w:hAnsi="Helvetica" w:cs="Bangla Sangam MN"/>
              </w:rPr>
            </w:pPr>
            <w:r>
              <w:rPr>
                <w:rFonts w:ascii="Helvetica" w:hAnsi="Helvetica" w:cs="Bangla Sangam MN"/>
                <w:b/>
                <w:bCs/>
                <w:color w:val="FFFFFF"/>
                <w:sz w:val="16"/>
                <w:szCs w:val="16"/>
              </w:rPr>
              <w:t>Call</w:t>
            </w:r>
          </w:p>
        </w:tc>
        <w:tc>
          <w:tcPr>
            <w:tcW w:w="2900" w:type="dxa"/>
            <w:shd w:val="clear" w:color="auto" w:fill="212D85"/>
            <w:tcMar>
              <w:top w:w="60" w:type="dxa"/>
              <w:left w:w="100" w:type="dxa"/>
              <w:bottom w:w="60" w:type="dxa"/>
              <w:right w:w="100" w:type="dxa"/>
            </w:tcMar>
          </w:tcPr>
          <w:p w14:paraId="19391F9A" w14:textId="77777777" w:rsidR="005C4BC6" w:rsidRPr="006803C7" w:rsidRDefault="00000000">
            <w:pPr>
              <w:rPr>
                <w:rFonts w:ascii="Helvetica" w:hAnsi="Helvetica" w:cs="Bangla Sangam MN"/>
              </w:rPr>
            </w:pPr>
            <w:r>
              <w:rPr>
                <w:rFonts w:ascii="Helvetica" w:hAnsi="Helvetica" w:cs="Bangla Sangam MN"/>
                <w:b/>
                <w:bCs/>
                <w:color w:val="FFFFFF"/>
                <w:sz w:val="16"/>
                <w:szCs w:val="16"/>
              </w:rPr>
              <w:t>Focus</w:t>
            </w:r>
          </w:p>
        </w:tc>
        <w:tc>
          <w:tcPr>
            <w:tcW w:w="1860" w:type="dxa"/>
            <w:shd w:val="clear" w:color="auto" w:fill="212D85"/>
            <w:tcMar>
              <w:top w:w="60" w:type="dxa"/>
              <w:left w:w="100" w:type="dxa"/>
              <w:bottom w:w="60" w:type="dxa"/>
              <w:right w:w="100" w:type="dxa"/>
            </w:tcMar>
          </w:tcPr>
          <w:p w14:paraId="3F7E1117" w14:textId="77777777" w:rsidR="005C4BC6" w:rsidRPr="006803C7" w:rsidRDefault="00000000">
            <w:pPr>
              <w:rPr>
                <w:rFonts w:ascii="Helvetica" w:hAnsi="Helvetica" w:cs="Bangla Sangam MN"/>
              </w:rPr>
            </w:pPr>
            <w:r>
              <w:rPr>
                <w:rFonts w:ascii="Helvetica" w:hAnsi="Helvetica" w:cs="Bangla Sangam MN"/>
                <w:b/>
                <w:bCs/>
                <w:color w:val="FFFFFF"/>
                <w:sz w:val="16"/>
                <w:szCs w:val="16"/>
              </w:rPr>
              <w:t>Weight</w:t>
            </w:r>
          </w:p>
        </w:tc>
      </w:tr>
      <w:tr w:rsidR="005C4BC6" w:rsidRPr="006803C7" w14:paraId="7A33046D" w14:textId="77777777" w:rsidTr="00411601">
        <w:tc>
          <w:tcPr>
            <w:tcW w:w="3700" w:type="dxa"/>
            <w:shd w:val="clear" w:color="auto" w:fill="F2F2F2" w:themeFill="background1" w:themeFillShade="F2"/>
            <w:tcMar>
              <w:top w:w="60" w:type="dxa"/>
              <w:left w:w="100" w:type="dxa"/>
              <w:bottom w:w="60" w:type="dxa"/>
              <w:right w:w="100" w:type="dxa"/>
            </w:tcMar>
          </w:tcPr>
          <w:p w14:paraId="768B47F0" w14:textId="77777777" w:rsidR="005C4BC6" w:rsidRPr="006803C7" w:rsidRDefault="00000000">
            <w:pPr>
              <w:rPr>
                <w:rFonts w:ascii="Helvetica" w:hAnsi="Helvetica" w:cs="Bangla Sangam MN"/>
              </w:rPr>
            </w:pPr>
            <w:r>
              <w:rPr>
                <w:rFonts w:ascii="Helvetica" w:hAnsi="Helvetica" w:cs="Bangla Sangam MN"/>
                <w:sz w:val="16"/>
                <w:szCs w:val="16"/>
              </w:rPr>
              <w:t>iShares STOXX Europe 600 UCITS ETF</w:t>
            </w:r>
          </w:p>
        </w:tc>
        <w:tc>
          <w:tcPr>
            <w:tcW w:w="900" w:type="dxa"/>
            <w:shd w:val="clear" w:color="auto" w:fill="F2F2F2" w:themeFill="background1" w:themeFillShade="F2"/>
            <w:tcMar>
              <w:top w:w="60" w:type="dxa"/>
              <w:left w:w="100" w:type="dxa"/>
              <w:bottom w:w="60" w:type="dxa"/>
              <w:right w:w="100" w:type="dxa"/>
            </w:tcMar>
          </w:tcPr>
          <w:p w14:paraId="5853B1C1" w14:textId="77777777" w:rsidR="005C4BC6" w:rsidRPr="006803C7" w:rsidRDefault="00000000">
            <w:pPr>
              <w:rPr>
                <w:rFonts w:ascii="Helvetica" w:hAnsi="Helvetica" w:cs="Bangla Sangam MN"/>
              </w:rPr>
            </w:pPr>
            <w:r>
              <w:rPr>
                <w:rFonts w:ascii="Helvetica" w:hAnsi="Helvetica" w:cs="Bangla Sangam MN"/>
                <w:sz w:val="16"/>
                <w:szCs w:val="16"/>
              </w:rPr>
              <w:t>Core</w:t>
            </w:r>
          </w:p>
        </w:tc>
        <w:tc>
          <w:tcPr>
            <w:tcW w:w="2900" w:type="dxa"/>
            <w:shd w:val="clear" w:color="auto" w:fill="F2F2F2" w:themeFill="background1" w:themeFillShade="F2"/>
            <w:tcMar>
              <w:top w:w="60" w:type="dxa"/>
              <w:left w:w="100" w:type="dxa"/>
              <w:bottom w:w="60" w:type="dxa"/>
              <w:right w:w="100" w:type="dxa"/>
            </w:tcMar>
          </w:tcPr>
          <w:p w14:paraId="1DD724CA" w14:textId="77777777" w:rsidR="005C4BC6" w:rsidRPr="006803C7" w:rsidRDefault="00000000">
            <w:pPr>
              <w:rPr>
                <w:rFonts w:ascii="Helvetica" w:hAnsi="Helvetica" w:cs="Bangla Sangam MN"/>
              </w:rPr>
            </w:pPr>
            <w:r>
              <w:rPr>
                <w:rFonts w:ascii="Helvetica" w:hAnsi="Helvetica" w:cs="Bangla Sangam MN"/>
                <w:sz w:val="16"/>
                <w:szCs w:val="16"/>
              </w:rPr>
              <w:t>Broad market</w:t>
            </w:r>
          </w:p>
        </w:tc>
        <w:tc>
          <w:tcPr>
            <w:tcW w:w="1860" w:type="dxa"/>
            <w:shd w:val="clear" w:color="auto" w:fill="F2F2F2" w:themeFill="background1" w:themeFillShade="F2"/>
            <w:tcMar>
              <w:top w:w="60" w:type="dxa"/>
              <w:left w:w="100" w:type="dxa"/>
              <w:bottom w:w="60" w:type="dxa"/>
              <w:right w:w="100" w:type="dxa"/>
            </w:tcMar>
          </w:tcPr>
          <w:p w14:paraId="61AB0D88" w14:textId="77777777" w:rsidR="005C4BC6" w:rsidRPr="006803C7" w:rsidRDefault="00000000">
            <w:pPr>
              <w:jc w:val="center"/>
              <w:rPr>
                <w:rFonts w:ascii="Helvetica" w:hAnsi="Helvetica" w:cs="Bangla Sangam MN"/>
              </w:rPr>
            </w:pPr>
            <w:r>
              <w:rPr>
                <w:rFonts w:ascii="Helvetica" w:hAnsi="Helvetica" w:cs="Bangla Sangam MN"/>
                <w:b/>
                <w:bCs/>
                <w:sz w:val="16"/>
                <w:szCs w:val="16"/>
              </w:rPr>
              <w:t>40%</w:t>
            </w:r>
          </w:p>
        </w:tc>
      </w:tr>
      <w:tr w:rsidR="005C4BC6" w:rsidRPr="006803C7" w14:paraId="0200CB20" w14:textId="77777777" w:rsidTr="00411601">
        <w:tc>
          <w:tcPr>
            <w:tcW w:w="3700" w:type="dxa"/>
            <w:tcMar>
              <w:top w:w="60" w:type="dxa"/>
              <w:left w:w="100" w:type="dxa"/>
              <w:bottom w:w="60" w:type="dxa"/>
              <w:right w:w="100" w:type="dxa"/>
            </w:tcMar>
          </w:tcPr>
          <w:p w14:paraId="123DCAA1" w14:textId="77777777" w:rsidR="005C4BC6" w:rsidRPr="006803C7" w:rsidRDefault="00000000">
            <w:pPr>
              <w:rPr>
                <w:rFonts w:ascii="Helvetica" w:hAnsi="Helvetica" w:cs="Bangla Sangam MN"/>
              </w:rPr>
            </w:pPr>
            <w:commentRangeStart w:id="5"/>
            <w:r>
              <w:rPr>
                <w:rFonts w:ascii="Helvetica" w:hAnsi="Helvetica" w:cs="Bangla Sangam MN"/>
                <w:sz w:val="16"/>
                <w:szCs w:val="16"/>
              </w:rPr>
              <w:t>iShares STOXX Europe 50 UCITS ETF</w:t>
            </w:r>
            <w:commentRangeEnd w:id="5"/>
            <w:r>
              <w:rPr>
                <w:rStyle w:val="CommentReference"/>
              </w:rPr>
              <w:commentReference w:id="5"/>
            </w:r>
          </w:p>
        </w:tc>
        <w:tc>
          <w:tcPr>
            <w:tcW w:w="900" w:type="dxa"/>
            <w:tcMar>
              <w:top w:w="60" w:type="dxa"/>
              <w:left w:w="100" w:type="dxa"/>
              <w:bottom w:w="60" w:type="dxa"/>
              <w:right w:w="100" w:type="dxa"/>
            </w:tcMar>
          </w:tcPr>
          <w:p w14:paraId="67932DB8" w14:textId="77777777" w:rsidR="005C4BC6" w:rsidRPr="006803C7" w:rsidRDefault="00000000">
            <w:pPr>
              <w:rPr>
                <w:rFonts w:ascii="Helvetica" w:hAnsi="Helvetica" w:cs="Bangla Sangam MN"/>
              </w:rPr>
            </w:pPr>
            <w:r>
              <w:rPr>
                <w:rFonts w:ascii="Helvetica" w:hAnsi="Helvetica" w:cs="Bangla Sangam MN"/>
                <w:sz w:val="16"/>
                <w:szCs w:val="16"/>
              </w:rPr>
              <w:t>Core</w:t>
            </w:r>
          </w:p>
        </w:tc>
        <w:tc>
          <w:tcPr>
            <w:tcW w:w="2900" w:type="dxa"/>
            <w:tcMar>
              <w:top w:w="60" w:type="dxa"/>
              <w:left w:w="100" w:type="dxa"/>
              <w:bottom w:w="60" w:type="dxa"/>
              <w:right w:w="100" w:type="dxa"/>
            </w:tcMar>
          </w:tcPr>
          <w:p w14:paraId="144DE4A2" w14:textId="77777777" w:rsidR="005C4BC6" w:rsidRPr="006803C7" w:rsidRDefault="00000000">
            <w:pPr>
              <w:rPr>
                <w:rFonts w:ascii="Helvetica" w:hAnsi="Helvetica" w:cs="Bangla Sangam MN"/>
              </w:rPr>
            </w:pPr>
            <w:r>
              <w:rPr>
                <w:rFonts w:ascii="Helvetica" w:hAnsi="Helvetica" w:cs="Bangla Sangam MN"/>
                <w:sz w:val="16"/>
                <w:szCs w:val="16"/>
              </w:rPr>
              <w:t>Blue chips</w:t>
            </w:r>
          </w:p>
        </w:tc>
        <w:tc>
          <w:tcPr>
            <w:tcW w:w="1860" w:type="dxa"/>
            <w:tcMar>
              <w:top w:w="60" w:type="dxa"/>
              <w:left w:w="100" w:type="dxa"/>
              <w:bottom w:w="60" w:type="dxa"/>
              <w:right w:w="100" w:type="dxa"/>
            </w:tcMar>
          </w:tcPr>
          <w:p w14:paraId="0B48C6D7" w14:textId="77777777" w:rsidR="005C4BC6" w:rsidRPr="006803C7" w:rsidRDefault="00000000">
            <w:pPr>
              <w:jc w:val="center"/>
              <w:rPr>
                <w:rFonts w:ascii="Helvetica" w:hAnsi="Helvetica" w:cs="Bangla Sangam MN"/>
              </w:rPr>
            </w:pPr>
            <w:r>
              <w:rPr>
                <w:rFonts w:ascii="Helvetica" w:hAnsi="Helvetica" w:cs="Bangla Sangam MN"/>
                <w:b/>
                <w:bCs/>
                <w:sz w:val="16"/>
                <w:szCs w:val="16"/>
              </w:rPr>
              <w:t>20%</w:t>
            </w:r>
          </w:p>
        </w:tc>
      </w:tr>
      <w:tr w:rsidR="005C4BC6" w:rsidRPr="006803C7" w14:paraId="4B46F18C" w14:textId="77777777" w:rsidTr="00411601">
        <w:tc>
          <w:tcPr>
            <w:tcW w:w="3700" w:type="dxa"/>
            <w:shd w:val="clear" w:color="auto" w:fill="F2F2F2" w:themeFill="background1" w:themeFillShade="F2"/>
            <w:tcMar>
              <w:top w:w="60" w:type="dxa"/>
              <w:left w:w="100" w:type="dxa"/>
              <w:bottom w:w="60" w:type="dxa"/>
              <w:right w:w="100" w:type="dxa"/>
            </w:tcMar>
          </w:tcPr>
          <w:p w14:paraId="737D33C2" w14:textId="77777777" w:rsidR="005C4BC6" w:rsidRPr="006803C7" w:rsidRDefault="00000000">
            <w:pPr>
              <w:rPr>
                <w:rFonts w:ascii="Helvetica" w:hAnsi="Helvetica" w:cs="Bangla Sangam MN"/>
              </w:rPr>
            </w:pPr>
            <w:r>
              <w:rPr>
                <w:rFonts w:ascii="Helvetica" w:hAnsi="Helvetica" w:cs="Bangla Sangam MN"/>
                <w:sz w:val="16"/>
                <w:szCs w:val="16"/>
              </w:rPr>
              <w:t>iShares STOXX Europe 600 Banks</w:t>
            </w:r>
          </w:p>
        </w:tc>
        <w:tc>
          <w:tcPr>
            <w:tcW w:w="900" w:type="dxa"/>
            <w:shd w:val="clear" w:color="auto" w:fill="F2F2F2" w:themeFill="background1" w:themeFillShade="F2"/>
            <w:tcMar>
              <w:top w:w="60" w:type="dxa"/>
              <w:left w:w="100" w:type="dxa"/>
              <w:bottom w:w="60" w:type="dxa"/>
              <w:right w:w="100" w:type="dxa"/>
            </w:tcMar>
          </w:tcPr>
          <w:p w14:paraId="25378EF8" w14:textId="77777777" w:rsidR="005C4BC6" w:rsidRPr="006803C7" w:rsidRDefault="00000000">
            <w:pPr>
              <w:rPr>
                <w:rFonts w:ascii="Helvetica" w:hAnsi="Helvetica" w:cs="Bangla Sangam MN"/>
              </w:rPr>
            </w:pPr>
            <w:r>
              <w:rPr>
                <w:rFonts w:ascii="Helvetica" w:hAnsi="Helvetica" w:cs="Bangla Sangam MN"/>
                <w:sz w:val="16"/>
                <w:szCs w:val="16"/>
              </w:rPr>
              <w:t>OW</w:t>
            </w:r>
          </w:p>
        </w:tc>
        <w:tc>
          <w:tcPr>
            <w:tcW w:w="2900" w:type="dxa"/>
            <w:shd w:val="clear" w:color="auto" w:fill="F2F2F2" w:themeFill="background1" w:themeFillShade="F2"/>
            <w:tcMar>
              <w:top w:w="60" w:type="dxa"/>
              <w:left w:w="100" w:type="dxa"/>
              <w:bottom w:w="60" w:type="dxa"/>
              <w:right w:w="100" w:type="dxa"/>
            </w:tcMar>
          </w:tcPr>
          <w:p w14:paraId="5F74834E" w14:textId="77777777" w:rsidR="005C4BC6" w:rsidRPr="006803C7" w:rsidRDefault="00000000">
            <w:pPr>
              <w:rPr>
                <w:rFonts w:ascii="Helvetica" w:hAnsi="Helvetica" w:cs="Bangla Sangam MN"/>
              </w:rPr>
            </w:pPr>
            <w:r>
              <w:rPr>
                <w:rFonts w:ascii="Helvetica" w:hAnsi="Helvetica" w:cs="Bangla Sangam MN"/>
                <w:sz w:val="16"/>
                <w:szCs w:val="16"/>
              </w:rPr>
              <w:t>Financials / Value</w:t>
            </w:r>
          </w:p>
        </w:tc>
        <w:tc>
          <w:tcPr>
            <w:tcW w:w="1860" w:type="dxa"/>
            <w:shd w:val="clear" w:color="auto" w:fill="F2F2F2" w:themeFill="background1" w:themeFillShade="F2"/>
            <w:tcMar>
              <w:top w:w="60" w:type="dxa"/>
              <w:left w:w="100" w:type="dxa"/>
              <w:bottom w:w="60" w:type="dxa"/>
              <w:right w:w="100" w:type="dxa"/>
            </w:tcMar>
          </w:tcPr>
          <w:p w14:paraId="13DE1E8E" w14:textId="77777777" w:rsidR="005C4BC6" w:rsidRPr="006803C7" w:rsidRDefault="00000000">
            <w:pPr>
              <w:jc w:val="center"/>
              <w:rPr>
                <w:rFonts w:ascii="Helvetica" w:hAnsi="Helvetica" w:cs="Bangla Sangam MN"/>
              </w:rPr>
            </w:pPr>
            <w:r>
              <w:rPr>
                <w:rFonts w:ascii="Helvetica" w:hAnsi="Helvetica" w:cs="Bangla Sangam MN"/>
                <w:b/>
                <w:bCs/>
                <w:sz w:val="16"/>
                <w:szCs w:val="16"/>
              </w:rPr>
              <w:t>20%</w:t>
            </w:r>
          </w:p>
        </w:tc>
      </w:tr>
      <w:tr w:rsidR="005C4BC6" w:rsidRPr="006803C7" w14:paraId="4A49FA20" w14:textId="77777777" w:rsidTr="00310D05">
        <w:tc>
          <w:tcPr>
            <w:tcW w:w="3700" w:type="dxa"/>
            <w:tcMar>
              <w:top w:w="60" w:type="dxa"/>
              <w:left w:w="100" w:type="dxa"/>
              <w:bottom w:w="60" w:type="dxa"/>
              <w:right w:w="100" w:type="dxa"/>
            </w:tcMar>
          </w:tcPr>
          <w:p w14:paraId="7BAD5808" w14:textId="77777777" w:rsidR="005C4BC6" w:rsidRPr="006803C7" w:rsidRDefault="00000000">
            <w:pPr>
              <w:rPr>
                <w:rFonts w:ascii="Helvetica" w:hAnsi="Helvetica" w:cs="Bangla Sangam MN"/>
              </w:rPr>
            </w:pPr>
            <w:r>
              <w:rPr>
                <w:rFonts w:ascii="Helvetica" w:hAnsi="Helvetica" w:cs="Bangla Sangam MN"/>
                <w:sz w:val="16"/>
                <w:szCs w:val="16"/>
              </w:rPr>
              <w:t>iShares MSCI Europe Energy Sector</w:t>
            </w:r>
          </w:p>
        </w:tc>
        <w:tc>
          <w:tcPr>
            <w:tcW w:w="900" w:type="dxa"/>
            <w:tcMar>
              <w:top w:w="60" w:type="dxa"/>
              <w:left w:w="100" w:type="dxa"/>
              <w:bottom w:w="60" w:type="dxa"/>
              <w:right w:w="100" w:type="dxa"/>
            </w:tcMar>
          </w:tcPr>
          <w:p w14:paraId="44171262" w14:textId="77777777" w:rsidR="005C4BC6" w:rsidRPr="006803C7" w:rsidRDefault="00000000">
            <w:pPr>
              <w:rPr>
                <w:rFonts w:ascii="Helvetica" w:hAnsi="Helvetica" w:cs="Bangla Sangam MN"/>
              </w:rPr>
            </w:pPr>
            <w:r>
              <w:rPr>
                <w:rFonts w:ascii="Helvetica" w:hAnsi="Helvetica" w:cs="Bangla Sangam MN"/>
                <w:sz w:val="16"/>
                <w:szCs w:val="16"/>
              </w:rPr>
              <w:t>OW</w:t>
            </w:r>
          </w:p>
        </w:tc>
        <w:tc>
          <w:tcPr>
            <w:tcW w:w="2900" w:type="dxa"/>
            <w:tcMar>
              <w:top w:w="60" w:type="dxa"/>
              <w:left w:w="100" w:type="dxa"/>
              <w:bottom w:w="60" w:type="dxa"/>
              <w:right w:w="100" w:type="dxa"/>
            </w:tcMar>
          </w:tcPr>
          <w:p w14:paraId="44290D99" w14:textId="77777777" w:rsidR="005C4BC6" w:rsidRPr="006803C7" w:rsidRDefault="00000000">
            <w:pPr>
              <w:rPr>
                <w:rFonts w:ascii="Helvetica" w:hAnsi="Helvetica" w:cs="Bangla Sangam MN"/>
              </w:rPr>
            </w:pPr>
            <w:r>
              <w:rPr>
                <w:rFonts w:ascii="Helvetica" w:hAnsi="Helvetica" w:cs="Bangla Sangam MN"/>
                <w:sz w:val="16"/>
                <w:szCs w:val="16"/>
              </w:rPr>
              <w:t>Energy</w:t>
            </w:r>
          </w:p>
        </w:tc>
        <w:tc>
          <w:tcPr>
            <w:tcW w:w="1860" w:type="dxa"/>
            <w:tcMar>
              <w:top w:w="60" w:type="dxa"/>
              <w:left w:w="100" w:type="dxa"/>
              <w:bottom w:w="60" w:type="dxa"/>
              <w:right w:w="100" w:type="dxa"/>
            </w:tcMar>
          </w:tcPr>
          <w:p w14:paraId="75FB71CF" w14:textId="77777777" w:rsidR="005C4BC6" w:rsidRPr="006803C7" w:rsidRDefault="00000000">
            <w:pPr>
              <w:jc w:val="center"/>
              <w:rPr>
                <w:rFonts w:ascii="Helvetica" w:hAnsi="Helvetica" w:cs="Bangla Sangam MN"/>
              </w:rPr>
            </w:pPr>
            <w:r>
              <w:rPr>
                <w:rFonts w:ascii="Helvetica" w:hAnsi="Helvetica" w:cs="Bangla Sangam MN"/>
                <w:b/>
                <w:bCs/>
                <w:sz w:val="16"/>
                <w:szCs w:val="16"/>
              </w:rPr>
              <w:t>10%</w:t>
            </w:r>
          </w:p>
        </w:tc>
      </w:tr>
      <w:tr w:rsidR="005C4BC6" w:rsidRPr="006803C7" w14:paraId="17A8CC0C" w14:textId="77777777" w:rsidTr="00310D05">
        <w:tc>
          <w:tcPr>
            <w:tcW w:w="3700" w:type="dxa"/>
            <w:tcBorders>
              <w:bottom w:val="single" w:sz="4" w:space="0" w:color="auto"/>
            </w:tcBorders>
            <w:shd w:val="clear" w:color="auto" w:fill="F2F2F2" w:themeFill="background1" w:themeFillShade="F2"/>
            <w:tcMar>
              <w:top w:w="60" w:type="dxa"/>
              <w:left w:w="100" w:type="dxa"/>
              <w:bottom w:w="60" w:type="dxa"/>
              <w:right w:w="100" w:type="dxa"/>
            </w:tcMar>
          </w:tcPr>
          <w:p w14:paraId="130D7512" w14:textId="77777777" w:rsidR="005C4BC6" w:rsidRPr="006803C7" w:rsidRDefault="00000000">
            <w:pPr>
              <w:rPr>
                <w:rFonts w:ascii="Helvetica" w:hAnsi="Helvetica" w:cs="Bangla Sangam MN"/>
              </w:rPr>
            </w:pPr>
            <w:r>
              <w:rPr>
                <w:rFonts w:ascii="Helvetica" w:hAnsi="Helvetica" w:cs="Bangla Sangam MN"/>
                <w:sz w:val="16"/>
                <w:szCs w:val="16"/>
              </w:rPr>
              <w:t xml:space="preserve">iShares Europe Defence UCITS ETF</w:t>
            </w:r>
          </w:p>
        </w:tc>
        <w:tc>
          <w:tcPr>
            <w:tcW w:w="900" w:type="dxa"/>
            <w:tcBorders>
              <w:bottom w:val="single" w:sz="4" w:space="0" w:color="auto"/>
            </w:tcBorders>
            <w:shd w:val="clear" w:color="auto" w:fill="F2F2F2" w:themeFill="background1" w:themeFillShade="F2"/>
            <w:tcMar>
              <w:top w:w="60" w:type="dxa"/>
              <w:left w:w="100" w:type="dxa"/>
              <w:bottom w:w="60" w:type="dxa"/>
              <w:right w:w="100" w:type="dxa"/>
            </w:tcMar>
          </w:tcPr>
          <w:p w14:paraId="0650E60B" w14:textId="77777777" w:rsidR="005C4BC6" w:rsidRPr="006803C7" w:rsidRDefault="00000000">
            <w:pPr>
              <w:rPr>
                <w:rFonts w:ascii="Helvetica" w:hAnsi="Helvetica" w:cs="Bangla Sangam MN"/>
              </w:rPr>
            </w:pPr>
            <w:r>
              <w:rPr>
                <w:rFonts w:ascii="Helvetica" w:hAnsi="Helvetica" w:cs="Bangla Sangam MN"/>
                <w:sz w:val="16"/>
                <w:szCs w:val="16"/>
              </w:rPr>
              <w:t>OW</w:t>
            </w:r>
          </w:p>
        </w:tc>
        <w:tc>
          <w:tcPr>
            <w:tcW w:w="2900" w:type="dxa"/>
            <w:tcBorders>
              <w:bottom w:val="single" w:sz="4" w:space="0" w:color="auto"/>
            </w:tcBorders>
            <w:shd w:val="clear" w:color="auto" w:fill="F2F2F2" w:themeFill="background1" w:themeFillShade="F2"/>
            <w:tcMar>
              <w:top w:w="60" w:type="dxa"/>
              <w:left w:w="100" w:type="dxa"/>
              <w:bottom w:w="60" w:type="dxa"/>
              <w:right w:w="100" w:type="dxa"/>
            </w:tcMar>
          </w:tcPr>
          <w:p w14:paraId="6895F7CE" w14:textId="77777777" w:rsidR="005C4BC6" w:rsidRPr="006803C7" w:rsidRDefault="00000000">
            <w:pPr>
              <w:rPr>
                <w:rFonts w:ascii="Helvetica" w:hAnsi="Helvetica" w:cs="Bangla Sangam MN"/>
              </w:rPr>
            </w:pPr>
            <w:r>
              <w:rPr>
                <w:rFonts w:ascii="Helvetica" w:hAnsi="Helvetica" w:cs="Bangla Sangam MN"/>
                <w:sz w:val="16"/>
                <w:szCs w:val="16"/>
              </w:rPr>
              <w:t>Defense</w:t>
            </w:r>
          </w:p>
        </w:tc>
        <w:tc>
          <w:tcPr>
            <w:tcW w:w="1860" w:type="dxa"/>
            <w:tcBorders>
              <w:bottom w:val="single" w:sz="4" w:space="0" w:color="auto"/>
            </w:tcBorders>
            <w:shd w:val="clear" w:color="auto" w:fill="F2F2F2" w:themeFill="background1" w:themeFillShade="F2"/>
            <w:tcMar>
              <w:top w:w="60" w:type="dxa"/>
              <w:left w:w="100" w:type="dxa"/>
              <w:bottom w:w="60" w:type="dxa"/>
              <w:right w:w="100" w:type="dxa"/>
            </w:tcMar>
          </w:tcPr>
          <w:p w14:paraId="5C50826F" w14:textId="77777777" w:rsidR="005C4BC6" w:rsidRPr="006803C7" w:rsidRDefault="00000000">
            <w:pPr>
              <w:jc w:val="center"/>
              <w:rPr>
                <w:rFonts w:ascii="Helvetica" w:hAnsi="Helvetica" w:cs="Bangla Sangam MN"/>
              </w:rPr>
            </w:pPr>
            <w:r>
              <w:rPr>
                <w:rFonts w:ascii="Helvetica" w:hAnsi="Helvetica" w:cs="Bangla Sangam MN"/>
                <w:b/>
                <w:bCs/>
                <w:sz w:val="16"/>
                <w:szCs w:val="16"/>
              </w:rPr>
              <w:t>10%</w:t>
            </w:r>
          </w:p>
        </w:tc>
      </w:tr>
    </w:tbl>
    <w:p w14:paraId="36182296" w14:textId="77777777" w:rsidR="006803C7" w:rsidRPr="006803C7" w:rsidRDefault="006803C7" w:rsidP="006803C7">
      <w:pPr>
        <w:spacing w:before="60" w:after="20"/>
        <w:rPr>
          <w:rFonts w:ascii="Helvetica" w:hAnsi="Helvetica" w:cs="Bangla Sangam MN"/>
        </w:rPr>
      </w:pPr>
    </w:p>
    <w:p w14:paraId="617BEC53" w14:textId="33519C37" w:rsidR="002E71CA" w:rsidRDefault="00000000" w:rsidP="00247BC1">
      <w:pPr>
        <w:spacing w:before="30" w:after="160"/>
        <w:rPr>
          <w:rFonts w:ascii="Helvetica" w:hAnsi="Helvetica" w:cs="Bangla Sangam MN"/>
          <w:i/>
          <w:iCs/>
          <w:color w:val="595959"/>
          <w:sz w:val="16"/>
          <w:szCs w:val="16"/>
        </w:rPr>
      </w:pPr>
      <w:r>
        <w:rPr>
          <w:rFonts w:ascii="Helvetica" w:hAnsi="Helvetica" w:cs="Bangla Sangam MN"/>
          <w:i/>
          <w:iCs/>
          <w:color w:val="595959"/>
          <w:sz w:val="16"/>
          <w:szCs w:val="16"/>
        </w:rPr>
        <w:t>Source: regional research note</w:t>
      </w:r>
    </w:p>
    <w:p w14:paraId="320717D0" w14:textId="77777777" w:rsidR="00532F88" w:rsidRDefault="00532F88" w:rsidP="002E71CA">
      <w:pPr>
        <w:spacing w:before="30" w:after="160"/>
        <w:jc w:val="center"/>
        <w:rPr>
          <w:rFonts w:ascii="Helvetica" w:hAnsi="Helvetica" w:cs="Bangla Sangam MN"/>
          <w:i/>
          <w:iCs/>
          <w:color w:val="595959"/>
          <w:sz w:val="16"/>
          <w:szCs w:val="16"/>
        </w:rPr>
      </w:pPr>
    </w:p>
    <w:p w14:paraId="5641EC34" w14:textId="75F8EA36" w:rsidR="0040648E" w:rsidRPr="00987D9D" w:rsidRDefault="006803C7" w:rsidP="00987D9D">
      <w:pPr>
        <w:spacing w:before="30" w:after="160"/>
        <w:jc w:val="center"/>
        <w:rPr>
          <w:rFonts w:ascii="Helvetica" w:hAnsi="Helvetica" w:cs="Bangla Sangam MN"/>
        </w:rPr>
      </w:pPr>
      <w:r>
        <w:rPr>
          <w:rFonts w:ascii="Helvetica" w:hAnsi="Helvetica" w:cs="Bangla Sangam MN"/>
          <w:noProof/>
        </w:rPr>
        <w:drawing>
          <wp:inline distT="0" distB="0" distL="0" distR="0" wp14:anchorId="317580AC" wp14:editId="2623A10C">
            <wp:extent cx="6291743" cy="1946246"/>
            <wp:effectExtent l="0" t="0" r="0" b="0"/>
            <wp:docPr id="1811293818" name="Chart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C1194BC" w14:textId="07189CBE"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5. Synthesis: Combined Regime and Thesis</w:t>
      </w:r>
    </w:p>
    <w:p w14:paraId="05EE4D6F" w14:textId="3B7223CC" w:rsidR="00AB77DF" w:rsidRPr="00AB77DF" w:rsidRDefault="00AB77DF" w:rsidP="00AB77DF">
      <w:pPr>
        <w:spacing w:before="70" w:after="130"/>
        <w:rPr>
          <w:rFonts w:ascii="Helvetica" w:hAnsi="Helvetica" w:cs="Bangla Sangam MN"/>
        </w:rPr>
      </w:pPr>
      <w:r>
        <w:rPr>
          <w:rFonts w:ascii="Helvetica" w:hAnsi="Helvetica" w:cs="Bangla Sangam MN"/>
        </w:rPr>
        <w:t xml:space="preserve">It is worth observing at the outset that the three analyses, however distinct in their framing, ultimately describe a single phenomenon: one global energy shock passing through three central banks at different points in the economic cycle. The United States finds itself in the rising-growth, rising-inflation quadrant typical of late-cycle reflation. The euro area, by contrast, occupies the falling-growth, rising-inflation territory that characterises mild stagflation. Hence, the shock itself is identical, but the cyclical positions are not, and that divergence has material consequences for sector selection.</w:t>
      </w:r>
    </w:p>
    <w:p w14:paraId="6AF16574" w14:textId="1B0AC2F3" w:rsidR="0027148A" w:rsidRDefault="00AB77DF" w:rsidP="00AB77DF">
      <w:pPr>
        <w:spacing w:before="70" w:after="130"/>
        <w:rPr>
          <w:rFonts w:ascii="Helvetica" w:hAnsi="Helvetica" w:cs="Bangla Sangam MN"/>
        </w:rPr>
      </w:pPr>
      <w:r>
        <w:rPr>
          <w:rFonts w:ascii="Helvetica" w:hAnsi="Helvetica" w:cs="Bangla Sangam MN"/>
        </w:rPr>
        <w:t xml:space="preserve">In the American context, portfolio construction can afford to ride the cycle, although In Europe, the priority shifts to sorting those sectors that benefit from higher rates from those that suffer under them. Yet for all these regional differences, the two analyses converge on the same recommendations where the evidence is strongest. Banks and financials merit an overweight in both markets. In addition, real estate and expensive, long-duration technology merit an underweight in both. </w:t>
      </w:r>
    </w:p>
    <w:p w14:paraId="3400D5FF" w14:textId="77777777" w:rsidR="0027148A" w:rsidRDefault="0027148A" w:rsidP="00AB77DF">
      <w:pPr>
        <w:spacing w:before="70" w:after="130"/>
        <w:rPr>
          <w:rFonts w:ascii="Helvetica" w:hAnsi="Helvetica" w:cs="Bangla Sangam MN"/>
        </w:rPr>
      </w:pPr>
    </w:p>
    <w:p w14:paraId="7C106B6F" w14:textId="1D268CB9" w:rsidR="002E71CA" w:rsidRDefault="00000000" w:rsidP="0027148A">
      <w:pPr>
        <w:spacing w:before="70" w:after="130"/>
        <w:jc w:val="center"/>
        <w:rPr>
          <w:rFonts w:ascii="Helvetica" w:hAnsi="Helvetica" w:cs="Bangla Sangam MN"/>
          <w:i/>
          <w:iCs/>
          <w:color w:val="333333"/>
          <w:sz w:val="24"/>
          <w:szCs w:val="24"/>
        </w:rPr>
      </w:pPr>
      <w:r>
        <w:rPr>
          <w:rFonts w:ascii="Helvetica" w:hAnsi="Helvetica" w:cs="Bangla Sangam MN"/>
          <w:i/>
          <w:iCs/>
          <w:color w:val="333333"/>
          <w:sz w:val="24"/>
          <w:szCs w:val="24"/>
        </w:rPr>
        <w:t xml:space="preserve">Stance = f ( starting rate ,  growth ,  credibility risk )</w:t>
      </w:r>
    </w:p>
    <w:p w14:paraId="69DB8491" w14:textId="77777777" w:rsidR="002E71CA" w:rsidRPr="006803C7" w:rsidRDefault="002E71CA">
      <w:pPr>
        <w:spacing w:before="70" w:after="130"/>
        <w:jc w:val="center"/>
        <w:rPr>
          <w:rFonts w:ascii="Helvetica" w:hAnsi="Helvetica" w:cs="Bangla Sangam MN"/>
        </w:rPr>
      </w:pPr>
    </w:p>
    <w:p w14:paraId="3625BC4A"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t>5.1 Combined cross-regional conviction</w:t>
      </w:r>
    </w:p>
    <w:tbl>
      <w:tblPr>
        <w:tblW w:w="9360" w:type="dxa"/>
        <w:tblCellMar>
          <w:left w:w="10" w:type="dxa"/>
          <w:right w:w="10" w:type="dxa"/>
        </w:tblCellMar>
        <w:tblLook w:val="04A0" w:firstRow="1" w:lastRow="0" w:firstColumn="1" w:lastColumn="0" w:noHBand="0" w:noVBand="1"/>
      </w:tblPr>
      <w:tblGrid>
        <w:gridCol w:w="1900"/>
        <w:gridCol w:w="2500"/>
        <w:gridCol w:w="2800"/>
        <w:gridCol w:w="2160"/>
      </w:tblGrid>
      <w:tr w:rsidR="005C4BC6" w:rsidRPr="006803C7" w14:paraId="178102F8" w14:textId="77777777" w:rsidTr="00411601">
        <w:trPr>
          <w:tblHeader/>
        </w:trPr>
        <w:tc>
          <w:tcPr>
            <w:tcW w:w="1900" w:type="dxa"/>
            <w:shd w:val="clear" w:color="auto" w:fill="212D85"/>
            <w:tcMar>
              <w:top w:w="60" w:type="dxa"/>
              <w:left w:w="100" w:type="dxa"/>
              <w:bottom w:w="60" w:type="dxa"/>
              <w:right w:w="100" w:type="dxa"/>
            </w:tcMar>
          </w:tcPr>
          <w:p w14:paraId="60B53201" w14:textId="77777777" w:rsidR="005C4BC6" w:rsidRPr="006803C7" w:rsidRDefault="00000000">
            <w:pPr>
              <w:rPr>
                <w:rFonts w:ascii="Helvetica" w:hAnsi="Helvetica" w:cs="Bangla Sangam MN"/>
              </w:rPr>
            </w:pPr>
            <w:r>
              <w:rPr>
                <w:rFonts w:ascii="Helvetica" w:hAnsi="Helvetica" w:cs="Bangla Sangam MN"/>
                <w:b/>
                <w:bCs/>
                <w:color w:val="FFFFFF"/>
                <w:sz w:val="16"/>
                <w:szCs w:val="16"/>
              </w:rPr>
              <w:t>Theme</w:t>
            </w:r>
          </w:p>
        </w:tc>
        <w:tc>
          <w:tcPr>
            <w:tcW w:w="2500" w:type="dxa"/>
            <w:shd w:val="clear" w:color="auto" w:fill="212D85"/>
            <w:tcMar>
              <w:top w:w="60" w:type="dxa"/>
              <w:left w:w="100" w:type="dxa"/>
              <w:bottom w:w="60" w:type="dxa"/>
              <w:right w:w="100" w:type="dxa"/>
            </w:tcMar>
          </w:tcPr>
          <w:p w14:paraId="224C4960" w14:textId="77777777" w:rsidR="005C4BC6" w:rsidRPr="006803C7" w:rsidRDefault="00000000">
            <w:pPr>
              <w:rPr>
                <w:rFonts w:ascii="Helvetica" w:hAnsi="Helvetica" w:cs="Bangla Sangam MN"/>
              </w:rPr>
            </w:pPr>
            <w:r>
              <w:rPr>
                <w:rFonts w:ascii="Helvetica" w:hAnsi="Helvetica" w:cs="Bangla Sangam MN"/>
                <w:b/>
                <w:bCs/>
                <w:color w:val="FFFFFF"/>
                <w:sz w:val="16"/>
                <w:szCs w:val="16"/>
              </w:rPr>
              <w:t>Expression</w:t>
            </w:r>
          </w:p>
        </w:tc>
        <w:tc>
          <w:tcPr>
            <w:tcW w:w="2800" w:type="dxa"/>
            <w:shd w:val="clear" w:color="auto" w:fill="212D85"/>
            <w:tcMar>
              <w:top w:w="60" w:type="dxa"/>
              <w:left w:w="100" w:type="dxa"/>
              <w:bottom w:w="60" w:type="dxa"/>
              <w:right w:w="100" w:type="dxa"/>
            </w:tcMar>
          </w:tcPr>
          <w:p w14:paraId="63A7A8C3" w14:textId="77777777" w:rsidR="005C4BC6" w:rsidRPr="006803C7" w:rsidRDefault="00000000">
            <w:pPr>
              <w:rPr>
                <w:rFonts w:ascii="Helvetica" w:hAnsi="Helvetica" w:cs="Bangla Sangam MN"/>
              </w:rPr>
            </w:pPr>
            <w:r>
              <w:rPr>
                <w:rFonts w:ascii="Helvetica" w:hAnsi="Helvetica" w:cs="Bangla Sangam MN"/>
                <w:b/>
                <w:bCs/>
                <w:color w:val="FFFFFF"/>
                <w:sz w:val="16"/>
                <w:szCs w:val="16"/>
              </w:rPr>
              <w:t>Combined conviction</w:t>
            </w:r>
          </w:p>
        </w:tc>
        <w:tc>
          <w:tcPr>
            <w:tcW w:w="2160" w:type="dxa"/>
            <w:shd w:val="clear" w:color="auto" w:fill="212D85"/>
            <w:tcMar>
              <w:top w:w="60" w:type="dxa"/>
              <w:left w:w="100" w:type="dxa"/>
              <w:bottom w:w="60" w:type="dxa"/>
              <w:right w:w="100" w:type="dxa"/>
            </w:tcMar>
          </w:tcPr>
          <w:p w14:paraId="32022638" w14:textId="77777777" w:rsidR="005C4BC6" w:rsidRPr="006803C7" w:rsidRDefault="00000000">
            <w:pPr>
              <w:rPr>
                <w:rFonts w:ascii="Helvetica" w:hAnsi="Helvetica" w:cs="Bangla Sangam MN"/>
              </w:rPr>
            </w:pPr>
            <w:r>
              <w:rPr>
                <w:rFonts w:ascii="Helvetica" w:hAnsi="Helvetica" w:cs="Bangla Sangam MN"/>
                <w:b/>
                <w:bCs/>
                <w:color w:val="FFFFFF"/>
                <w:sz w:val="16"/>
                <w:szCs w:val="16"/>
              </w:rPr>
              <w:t>Status (June audit)</w:t>
            </w:r>
          </w:p>
        </w:tc>
      </w:tr>
      <w:tr w:rsidR="005C4BC6" w:rsidRPr="006803C7" w14:paraId="52969B06" w14:textId="77777777" w:rsidTr="00411601">
        <w:tc>
          <w:tcPr>
            <w:tcW w:w="1900" w:type="dxa"/>
            <w:shd w:val="clear" w:color="auto" w:fill="F2F2F2" w:themeFill="background1" w:themeFillShade="F2"/>
            <w:tcMar>
              <w:top w:w="60" w:type="dxa"/>
              <w:left w:w="100" w:type="dxa"/>
              <w:bottom w:w="60" w:type="dxa"/>
              <w:right w:w="100" w:type="dxa"/>
            </w:tcMar>
          </w:tcPr>
          <w:p w14:paraId="4B5BA8A7" w14:textId="77777777" w:rsidR="005C4BC6" w:rsidRPr="006803C7" w:rsidRDefault="00000000">
            <w:pPr>
              <w:rPr>
                <w:rFonts w:ascii="Helvetica" w:hAnsi="Helvetica" w:cs="Bangla Sangam MN"/>
              </w:rPr>
            </w:pPr>
            <w:r>
              <w:rPr>
                <w:rFonts w:ascii="Helvetica" w:hAnsi="Helvetica" w:cs="Bangla Sangam MN"/>
                <w:b/>
                <w:bCs/>
                <w:sz w:val="16"/>
                <w:szCs w:val="16"/>
              </w:rPr>
              <w:t>Banks / Financials</w:t>
            </w:r>
          </w:p>
        </w:tc>
        <w:tc>
          <w:tcPr>
            <w:tcW w:w="2500" w:type="dxa"/>
            <w:shd w:val="clear" w:color="auto" w:fill="F2F2F2" w:themeFill="background1" w:themeFillShade="F2"/>
            <w:tcMar>
              <w:top w:w="60" w:type="dxa"/>
              <w:left w:w="100" w:type="dxa"/>
              <w:bottom w:w="60" w:type="dxa"/>
              <w:right w:w="100" w:type="dxa"/>
            </w:tcMar>
          </w:tcPr>
          <w:p w14:paraId="1661F03A" w14:textId="77777777" w:rsidR="005C4BC6" w:rsidRPr="006803C7" w:rsidRDefault="00000000">
            <w:pPr>
              <w:rPr>
                <w:rFonts w:ascii="Helvetica" w:hAnsi="Helvetica" w:cs="Bangla Sangam MN"/>
              </w:rPr>
            </w:pPr>
            <w:r>
              <w:rPr>
                <w:rFonts w:ascii="Helvetica" w:hAnsi="Helvetica" w:cs="Bangla Sangam MN"/>
                <w:sz w:val="16"/>
                <w:szCs w:val="16"/>
              </w:rPr>
              <w:t>EU banks + US financials</w:t>
            </w:r>
          </w:p>
        </w:tc>
        <w:tc>
          <w:tcPr>
            <w:tcW w:w="2800" w:type="dxa"/>
            <w:shd w:val="clear" w:color="auto" w:fill="F2F2F2" w:themeFill="background1" w:themeFillShade="F2"/>
            <w:tcMar>
              <w:top w:w="60" w:type="dxa"/>
              <w:left w:w="100" w:type="dxa"/>
              <w:bottom w:w="60" w:type="dxa"/>
              <w:right w:w="100" w:type="dxa"/>
            </w:tcMar>
          </w:tcPr>
          <w:p w14:paraId="4649A794" w14:textId="77777777" w:rsidR="005C4BC6" w:rsidRPr="006803C7" w:rsidRDefault="00000000">
            <w:pPr>
              <w:rPr>
                <w:rFonts w:ascii="Helvetica" w:hAnsi="Helvetica" w:cs="Bangla Sangam MN"/>
              </w:rPr>
            </w:pPr>
            <w:r>
              <w:rPr>
                <w:rFonts w:ascii="Helvetica" w:hAnsi="Helvetica" w:cs="Bangla Sangam MN"/>
                <w:sz w:val="16"/>
                <w:szCs w:val="16"/>
              </w:rPr>
              <w:t>Highest — NIM tailwind both regions</w:t>
            </w:r>
          </w:p>
        </w:tc>
        <w:tc>
          <w:tcPr>
            <w:tcW w:w="2160" w:type="dxa"/>
            <w:shd w:val="clear" w:color="auto" w:fill="F2F2F2" w:themeFill="background1" w:themeFillShade="F2"/>
            <w:tcMar>
              <w:top w:w="60" w:type="dxa"/>
              <w:left w:w="100" w:type="dxa"/>
              <w:bottom w:w="60" w:type="dxa"/>
              <w:right w:w="100" w:type="dxa"/>
            </w:tcMar>
          </w:tcPr>
          <w:p w14:paraId="12AEAFAF" w14:textId="77777777" w:rsidR="005C4BC6" w:rsidRPr="006803C7" w:rsidRDefault="00000000">
            <w:pPr>
              <w:rPr>
                <w:rFonts w:ascii="Helvetica" w:hAnsi="Helvetica" w:cs="Bangla Sangam MN"/>
              </w:rPr>
            </w:pPr>
            <w:r>
              <w:rPr>
                <w:rFonts w:ascii="Helvetica" w:hAnsi="Helvetica" w:cs="Bangla Sangam MN"/>
                <w:sz w:val="16"/>
                <w:szCs w:val="16"/>
              </w:rPr>
              <w:t>Strengthened</w:t>
            </w:r>
          </w:p>
        </w:tc>
      </w:tr>
      <w:tr w:rsidR="005C4BC6" w:rsidRPr="006803C7" w14:paraId="6CA48D3F" w14:textId="77777777" w:rsidTr="00411601">
        <w:tc>
          <w:tcPr>
            <w:tcW w:w="1900" w:type="dxa"/>
            <w:tcMar>
              <w:top w:w="60" w:type="dxa"/>
              <w:left w:w="100" w:type="dxa"/>
              <w:bottom w:w="60" w:type="dxa"/>
              <w:right w:w="100" w:type="dxa"/>
            </w:tcMar>
          </w:tcPr>
          <w:p w14:paraId="76C615D6" w14:textId="77777777" w:rsidR="005C4BC6" w:rsidRPr="006803C7" w:rsidRDefault="00000000">
            <w:pPr>
              <w:rPr>
                <w:rFonts w:ascii="Helvetica" w:hAnsi="Helvetica" w:cs="Bangla Sangam MN"/>
              </w:rPr>
            </w:pPr>
            <w:r>
              <w:rPr>
                <w:rFonts w:ascii="Helvetica" w:hAnsi="Helvetica" w:cs="Bangla Sangam MN"/>
                <w:b/>
                <w:bCs/>
                <w:sz w:val="16"/>
                <w:szCs w:val="16"/>
              </w:rPr>
              <w:t>Defense</w:t>
            </w:r>
          </w:p>
        </w:tc>
        <w:tc>
          <w:tcPr>
            <w:tcW w:w="2500" w:type="dxa"/>
            <w:tcMar>
              <w:top w:w="60" w:type="dxa"/>
              <w:left w:w="100" w:type="dxa"/>
              <w:bottom w:w="60" w:type="dxa"/>
              <w:right w:w="100" w:type="dxa"/>
            </w:tcMar>
          </w:tcPr>
          <w:p w14:paraId="284098B9" w14:textId="77777777" w:rsidR="005C4BC6" w:rsidRPr="006803C7" w:rsidRDefault="00000000">
            <w:pPr>
              <w:rPr>
                <w:rFonts w:ascii="Helvetica" w:hAnsi="Helvetica" w:cs="Bangla Sangam MN"/>
              </w:rPr>
            </w:pPr>
            <w:r>
              <w:rPr>
                <w:rFonts w:ascii="Helvetica" w:hAnsi="Helvetica" w:cs="Bangla Sangam MN"/>
                <w:sz w:val="16"/>
                <w:szCs w:val="16"/>
              </w:rPr>
              <w:t>Global NATO-aligned ETF</w:t>
            </w:r>
          </w:p>
        </w:tc>
        <w:tc>
          <w:tcPr>
            <w:tcW w:w="2800" w:type="dxa"/>
            <w:tcMar>
              <w:top w:w="60" w:type="dxa"/>
              <w:left w:w="100" w:type="dxa"/>
              <w:bottom w:w="60" w:type="dxa"/>
              <w:right w:w="100" w:type="dxa"/>
            </w:tcMar>
          </w:tcPr>
          <w:p w14:paraId="512FACED" w14:textId="77777777" w:rsidR="005C4BC6" w:rsidRPr="006803C7" w:rsidRDefault="00000000">
            <w:pPr>
              <w:rPr>
                <w:rFonts w:ascii="Helvetica" w:hAnsi="Helvetica" w:cs="Bangla Sangam MN"/>
              </w:rPr>
            </w:pPr>
            <w:r>
              <w:rPr>
                <w:rFonts w:ascii="Helvetica" w:hAnsi="Helvetica" w:cs="Bangla Sangam MN"/>
                <w:sz w:val="16"/>
                <w:szCs w:val="16"/>
              </w:rPr>
              <w:t>High — budget backlog, not oil-dependent</w:t>
            </w:r>
          </w:p>
        </w:tc>
        <w:tc>
          <w:tcPr>
            <w:tcW w:w="2160" w:type="dxa"/>
            <w:tcMar>
              <w:top w:w="60" w:type="dxa"/>
              <w:left w:w="100" w:type="dxa"/>
              <w:bottom w:w="60" w:type="dxa"/>
              <w:right w:w="100" w:type="dxa"/>
            </w:tcMar>
          </w:tcPr>
          <w:p w14:paraId="2D09D106" w14:textId="77777777" w:rsidR="005C4BC6" w:rsidRPr="006803C7" w:rsidRDefault="00000000">
            <w:pPr>
              <w:rPr>
                <w:rFonts w:ascii="Helvetica" w:hAnsi="Helvetica" w:cs="Bangla Sangam MN"/>
              </w:rPr>
            </w:pPr>
            <w:r>
              <w:rPr>
                <w:rFonts w:ascii="Helvetica" w:hAnsi="Helvetica" w:cs="Bangla Sangam MN"/>
                <w:sz w:val="16"/>
                <w:szCs w:val="16"/>
              </w:rPr>
              <w:t>Mostly intact</w:t>
            </w:r>
          </w:p>
        </w:tc>
      </w:tr>
      <w:tr w:rsidR="005C4BC6" w:rsidRPr="006803C7" w14:paraId="442D6832" w14:textId="77777777" w:rsidTr="00411601">
        <w:tc>
          <w:tcPr>
            <w:tcW w:w="1900" w:type="dxa"/>
            <w:shd w:val="clear" w:color="auto" w:fill="F2F2F2" w:themeFill="background1" w:themeFillShade="F2"/>
            <w:tcMar>
              <w:top w:w="60" w:type="dxa"/>
              <w:left w:w="100" w:type="dxa"/>
              <w:bottom w:w="60" w:type="dxa"/>
              <w:right w:w="100" w:type="dxa"/>
            </w:tcMar>
          </w:tcPr>
          <w:p w14:paraId="7FCBA152" w14:textId="77777777" w:rsidR="005C4BC6" w:rsidRPr="006803C7" w:rsidRDefault="00000000">
            <w:pPr>
              <w:rPr>
                <w:rFonts w:ascii="Helvetica" w:hAnsi="Helvetica" w:cs="Bangla Sangam MN"/>
              </w:rPr>
            </w:pPr>
            <w:r>
              <w:rPr>
                <w:rFonts w:ascii="Helvetica" w:hAnsi="Helvetica" w:cs="Bangla Sangam MN"/>
                <w:b/>
                <w:bCs/>
                <w:sz w:val="16"/>
                <w:szCs w:val="16"/>
              </w:rPr>
              <w:t>Health Care</w:t>
            </w:r>
          </w:p>
        </w:tc>
        <w:tc>
          <w:tcPr>
            <w:tcW w:w="2500" w:type="dxa"/>
            <w:shd w:val="clear" w:color="auto" w:fill="F2F2F2" w:themeFill="background1" w:themeFillShade="F2"/>
            <w:tcMar>
              <w:top w:w="60" w:type="dxa"/>
              <w:left w:w="100" w:type="dxa"/>
              <w:bottom w:w="60" w:type="dxa"/>
              <w:right w:w="100" w:type="dxa"/>
            </w:tcMar>
          </w:tcPr>
          <w:p w14:paraId="41F8B529" w14:textId="77777777" w:rsidR="005C4BC6" w:rsidRPr="006803C7" w:rsidRDefault="00000000">
            <w:pPr>
              <w:rPr>
                <w:rFonts w:ascii="Helvetica" w:hAnsi="Helvetica" w:cs="Bangla Sangam MN"/>
              </w:rPr>
            </w:pPr>
            <w:r>
              <w:rPr>
                <w:rFonts w:ascii="Helvetica" w:hAnsi="Helvetica" w:cs="Bangla Sangam MN"/>
                <w:sz w:val="16"/>
                <w:szCs w:val="16"/>
              </w:rPr>
              <w:t>Cheap defensive</w:t>
            </w:r>
          </w:p>
        </w:tc>
        <w:tc>
          <w:tcPr>
            <w:tcW w:w="2800" w:type="dxa"/>
            <w:shd w:val="clear" w:color="auto" w:fill="F2F2F2" w:themeFill="background1" w:themeFillShade="F2"/>
            <w:tcMar>
              <w:top w:w="60" w:type="dxa"/>
              <w:left w:w="100" w:type="dxa"/>
              <w:bottom w:w="60" w:type="dxa"/>
              <w:right w:w="100" w:type="dxa"/>
            </w:tcMar>
          </w:tcPr>
          <w:p w14:paraId="7D4AAECC" w14:textId="77777777" w:rsidR="005C4BC6" w:rsidRPr="006803C7" w:rsidRDefault="00000000">
            <w:pPr>
              <w:rPr>
                <w:rFonts w:ascii="Helvetica" w:hAnsi="Helvetica" w:cs="Bangla Sangam MN"/>
              </w:rPr>
            </w:pPr>
            <w:r>
              <w:rPr>
                <w:rFonts w:ascii="Helvetica" w:hAnsi="Helvetica" w:cs="Bangla Sangam MN"/>
                <w:sz w:val="16"/>
                <w:szCs w:val="16"/>
              </w:rPr>
              <w:t>Medium-high — best risk-adjusted defensive</w:t>
            </w:r>
          </w:p>
        </w:tc>
        <w:tc>
          <w:tcPr>
            <w:tcW w:w="2160" w:type="dxa"/>
            <w:shd w:val="clear" w:color="auto" w:fill="F2F2F2" w:themeFill="background1" w:themeFillShade="F2"/>
            <w:tcMar>
              <w:top w:w="60" w:type="dxa"/>
              <w:left w:w="100" w:type="dxa"/>
              <w:bottom w:w="60" w:type="dxa"/>
              <w:right w:w="100" w:type="dxa"/>
            </w:tcMar>
          </w:tcPr>
          <w:p w14:paraId="3520BE33" w14:textId="77777777" w:rsidR="005C4BC6" w:rsidRPr="006803C7" w:rsidRDefault="00000000">
            <w:pPr>
              <w:rPr>
                <w:rFonts w:ascii="Helvetica" w:hAnsi="Helvetica" w:cs="Bangla Sangam MN"/>
              </w:rPr>
            </w:pPr>
            <w:r>
              <w:rPr>
                <w:rFonts w:ascii="Helvetica" w:hAnsi="Helvetica" w:cs="Bangla Sangam MN"/>
                <w:sz w:val="16"/>
                <w:szCs w:val="16"/>
              </w:rPr>
              <w:t>Unchanged</w:t>
            </w:r>
          </w:p>
        </w:tc>
      </w:tr>
      <w:tr w:rsidR="005C4BC6" w:rsidRPr="006803C7" w14:paraId="68664334" w14:textId="77777777" w:rsidTr="00411601">
        <w:tc>
          <w:tcPr>
            <w:tcW w:w="1900" w:type="dxa"/>
            <w:tcMar>
              <w:top w:w="60" w:type="dxa"/>
              <w:left w:w="100" w:type="dxa"/>
              <w:bottom w:w="60" w:type="dxa"/>
              <w:right w:w="100" w:type="dxa"/>
            </w:tcMar>
          </w:tcPr>
          <w:p w14:paraId="1D030C73" w14:textId="77777777" w:rsidR="005C4BC6" w:rsidRPr="006803C7" w:rsidRDefault="00000000">
            <w:pPr>
              <w:rPr>
                <w:rFonts w:ascii="Helvetica" w:hAnsi="Helvetica" w:cs="Bangla Sangam MN"/>
              </w:rPr>
            </w:pPr>
            <w:r>
              <w:rPr>
                <w:rFonts w:ascii="Helvetica" w:hAnsi="Helvetica" w:cs="Bangla Sangam MN"/>
                <w:b/>
                <w:bCs/>
                <w:sz w:val="16"/>
                <w:szCs w:val="16"/>
              </w:rPr>
              <w:t>Staples / Food</w:t>
            </w:r>
          </w:p>
        </w:tc>
        <w:tc>
          <w:tcPr>
            <w:tcW w:w="2500" w:type="dxa"/>
            <w:tcMar>
              <w:top w:w="60" w:type="dxa"/>
              <w:left w:w="100" w:type="dxa"/>
              <w:bottom w:w="60" w:type="dxa"/>
              <w:right w:w="100" w:type="dxa"/>
            </w:tcMar>
          </w:tcPr>
          <w:p w14:paraId="190159CB" w14:textId="77777777" w:rsidR="005C4BC6" w:rsidRPr="006803C7" w:rsidRDefault="00000000">
            <w:pPr>
              <w:rPr>
                <w:rFonts w:ascii="Helvetica" w:hAnsi="Helvetica" w:cs="Bangla Sangam MN"/>
              </w:rPr>
            </w:pPr>
            <w:r>
              <w:rPr>
                <w:rFonts w:ascii="Helvetica" w:hAnsi="Helvetica" w:cs="Bangla Sangam MN"/>
                <w:sz w:val="16"/>
                <w:szCs w:val="16"/>
              </w:rPr>
              <w:t>Pricing power</w:t>
            </w:r>
          </w:p>
        </w:tc>
        <w:tc>
          <w:tcPr>
            <w:tcW w:w="2800" w:type="dxa"/>
            <w:tcMar>
              <w:top w:w="60" w:type="dxa"/>
              <w:left w:w="100" w:type="dxa"/>
              <w:bottom w:w="60" w:type="dxa"/>
              <w:right w:w="100" w:type="dxa"/>
            </w:tcMar>
          </w:tcPr>
          <w:p w14:paraId="63DE7532" w14:textId="77777777" w:rsidR="005C4BC6" w:rsidRPr="006803C7" w:rsidRDefault="00000000">
            <w:pPr>
              <w:rPr>
                <w:rFonts w:ascii="Helvetica" w:hAnsi="Helvetica" w:cs="Bangla Sangam MN"/>
              </w:rPr>
            </w:pPr>
            <w:r>
              <w:rPr>
                <w:rFonts w:ascii="Helvetica" w:hAnsi="Helvetica" w:cs="Bangla Sangam MN"/>
                <w:sz w:val="16"/>
                <w:szCs w:val="16"/>
              </w:rPr>
              <w:t>Medium</w:t>
            </w:r>
          </w:p>
        </w:tc>
        <w:tc>
          <w:tcPr>
            <w:tcW w:w="2160" w:type="dxa"/>
            <w:tcMar>
              <w:top w:w="60" w:type="dxa"/>
              <w:left w:w="100" w:type="dxa"/>
              <w:bottom w:w="60" w:type="dxa"/>
              <w:right w:w="100" w:type="dxa"/>
            </w:tcMar>
          </w:tcPr>
          <w:p w14:paraId="6842DEB2" w14:textId="77777777" w:rsidR="005C4BC6" w:rsidRPr="006803C7" w:rsidRDefault="00000000">
            <w:pPr>
              <w:rPr>
                <w:rFonts w:ascii="Helvetica" w:hAnsi="Helvetica" w:cs="Bangla Sangam MN"/>
              </w:rPr>
            </w:pPr>
            <w:r>
              <w:rPr>
                <w:rFonts w:ascii="Helvetica" w:hAnsi="Helvetica" w:cs="Bangla Sangam MN"/>
                <w:sz w:val="16"/>
                <w:szCs w:val="16"/>
              </w:rPr>
              <w:t>Unchanged</w:t>
            </w:r>
          </w:p>
        </w:tc>
      </w:tr>
      <w:tr w:rsidR="005C4BC6" w:rsidRPr="006803C7" w14:paraId="3E5BF4F4" w14:textId="77777777" w:rsidTr="00411601">
        <w:tc>
          <w:tcPr>
            <w:tcW w:w="1900" w:type="dxa"/>
            <w:shd w:val="clear" w:color="auto" w:fill="F2F2F2" w:themeFill="background1" w:themeFillShade="F2"/>
            <w:tcMar>
              <w:top w:w="60" w:type="dxa"/>
              <w:left w:w="100" w:type="dxa"/>
              <w:bottom w:w="60" w:type="dxa"/>
              <w:right w:w="100" w:type="dxa"/>
            </w:tcMar>
          </w:tcPr>
          <w:p w14:paraId="362D1B5A" w14:textId="77777777" w:rsidR="005C4BC6" w:rsidRPr="006803C7" w:rsidRDefault="00000000">
            <w:pPr>
              <w:rPr>
                <w:rFonts w:ascii="Helvetica" w:hAnsi="Helvetica" w:cs="Bangla Sangam MN"/>
              </w:rPr>
            </w:pPr>
            <w:r>
              <w:rPr>
                <w:rFonts w:ascii="Helvetica" w:hAnsi="Helvetica" w:cs="Bangla Sangam MN"/>
                <w:b/>
                <w:bCs/>
                <w:sz w:val="16"/>
                <w:szCs w:val="16"/>
              </w:rPr>
              <w:t>Energy</w:t>
            </w:r>
          </w:p>
        </w:tc>
        <w:tc>
          <w:tcPr>
            <w:tcW w:w="2500" w:type="dxa"/>
            <w:shd w:val="clear" w:color="auto" w:fill="F2F2F2" w:themeFill="background1" w:themeFillShade="F2"/>
            <w:tcMar>
              <w:top w:w="60" w:type="dxa"/>
              <w:left w:w="100" w:type="dxa"/>
              <w:bottom w:w="60" w:type="dxa"/>
              <w:right w:w="100" w:type="dxa"/>
            </w:tcMar>
          </w:tcPr>
          <w:p w14:paraId="7B7F1007" w14:textId="77777777" w:rsidR="005C4BC6" w:rsidRPr="006803C7" w:rsidRDefault="00000000">
            <w:pPr>
              <w:rPr>
                <w:rFonts w:ascii="Helvetica" w:hAnsi="Helvetica" w:cs="Bangla Sangam MN"/>
              </w:rPr>
            </w:pPr>
            <w:r>
              <w:rPr>
                <w:rFonts w:ascii="Helvetica" w:hAnsi="Helvetica" w:cs="Bangla Sangam MN"/>
                <w:sz w:val="16"/>
                <w:szCs w:val="16"/>
              </w:rPr>
              <w:t>Oil &amp; gas</w:t>
            </w:r>
          </w:p>
        </w:tc>
        <w:tc>
          <w:tcPr>
            <w:tcW w:w="2800" w:type="dxa"/>
            <w:shd w:val="clear" w:color="auto" w:fill="F2F2F2" w:themeFill="background1" w:themeFillShade="F2"/>
            <w:tcMar>
              <w:top w:w="60" w:type="dxa"/>
              <w:left w:w="100" w:type="dxa"/>
              <w:bottom w:w="60" w:type="dxa"/>
              <w:right w:w="100" w:type="dxa"/>
            </w:tcMar>
          </w:tcPr>
          <w:p w14:paraId="5496CF8F" w14:textId="77777777" w:rsidR="005C4BC6" w:rsidRPr="006803C7" w:rsidRDefault="00000000">
            <w:pPr>
              <w:rPr>
                <w:rFonts w:ascii="Helvetica" w:hAnsi="Helvetica" w:cs="Bangla Sangam MN"/>
              </w:rPr>
            </w:pPr>
            <w:r>
              <w:rPr>
                <w:rFonts w:ascii="Helvetica" w:hAnsi="Helvetica" w:cs="Bangla Sangam MN"/>
                <w:sz w:val="16"/>
                <w:szCs w:val="16"/>
              </w:rPr>
              <w:t xml:space="preserve">Medium </w:t>
            </w:r>
            <w:r>
              <w:rPr>
                <w:rFonts w:ascii="Times New Roman" w:hAnsi="Times New Roman" w:cs="Times New Roman"/>
                <w:sz w:val="16"/>
                <w:szCs w:val="16"/>
              </w:rPr>
              <w:t>→</w:t>
            </w:r>
            <w:r>
              <w:rPr>
                <w:rFonts w:ascii="Helvetica" w:hAnsi="Helvetica" w:cs="Bangla Sangam MN"/>
                <w:sz w:val="16"/>
                <w:szCs w:val="16"/>
              </w:rPr>
              <w:t xml:space="preserve"> reduced</w:t>
            </w:r>
          </w:p>
        </w:tc>
        <w:tc>
          <w:tcPr>
            <w:tcW w:w="2160" w:type="dxa"/>
            <w:shd w:val="clear" w:color="auto" w:fill="F2F2F2" w:themeFill="background1" w:themeFillShade="F2"/>
            <w:tcMar>
              <w:top w:w="60" w:type="dxa"/>
              <w:left w:w="100" w:type="dxa"/>
              <w:bottom w:w="60" w:type="dxa"/>
              <w:right w:w="100" w:type="dxa"/>
            </w:tcMar>
          </w:tcPr>
          <w:p w14:paraId="38A573E5" w14:textId="77777777" w:rsidR="005C4BC6" w:rsidRPr="006803C7" w:rsidRDefault="00000000">
            <w:pPr>
              <w:rPr>
                <w:rFonts w:ascii="Helvetica" w:hAnsi="Helvetica" w:cs="Bangla Sangam MN"/>
              </w:rPr>
            </w:pPr>
            <w:r>
              <w:rPr>
                <w:rFonts w:ascii="Helvetica" w:hAnsi="Helvetica" w:cs="Bangla Sangam MN"/>
                <w:sz w:val="16"/>
                <w:szCs w:val="16"/>
              </w:rPr>
              <w:t>Weakened</w:t>
            </w:r>
          </w:p>
        </w:tc>
      </w:tr>
      <w:tr w:rsidR="005C4BC6" w:rsidRPr="006803C7" w14:paraId="2F3D17C3" w14:textId="77777777" w:rsidTr="00411601">
        <w:tc>
          <w:tcPr>
            <w:tcW w:w="1900" w:type="dxa"/>
            <w:tcMar>
              <w:top w:w="60" w:type="dxa"/>
              <w:left w:w="100" w:type="dxa"/>
              <w:bottom w:w="60" w:type="dxa"/>
              <w:right w:w="100" w:type="dxa"/>
            </w:tcMar>
          </w:tcPr>
          <w:p w14:paraId="68D10988" w14:textId="77777777" w:rsidR="005C4BC6" w:rsidRPr="006803C7" w:rsidRDefault="00000000">
            <w:pPr>
              <w:rPr>
                <w:rFonts w:ascii="Helvetica" w:hAnsi="Helvetica" w:cs="Bangla Sangam MN"/>
              </w:rPr>
            </w:pPr>
            <w:r>
              <w:rPr>
                <w:rFonts w:ascii="Helvetica" w:hAnsi="Helvetica" w:cs="Bangla Sangam MN"/>
                <w:b/>
                <w:bCs/>
                <w:sz w:val="16"/>
                <w:szCs w:val="16"/>
              </w:rPr>
              <w:t>Rare Earths</w:t>
            </w:r>
          </w:p>
        </w:tc>
        <w:tc>
          <w:tcPr>
            <w:tcW w:w="2500" w:type="dxa"/>
            <w:tcMar>
              <w:top w:w="60" w:type="dxa"/>
              <w:left w:w="100" w:type="dxa"/>
              <w:bottom w:w="60" w:type="dxa"/>
              <w:right w:w="100" w:type="dxa"/>
            </w:tcMar>
          </w:tcPr>
          <w:p w14:paraId="36679EE4" w14:textId="77777777" w:rsidR="005C4BC6" w:rsidRPr="006803C7" w:rsidRDefault="00000000">
            <w:pPr>
              <w:rPr>
                <w:rFonts w:ascii="Helvetica" w:hAnsi="Helvetica" w:cs="Bangla Sangam MN"/>
              </w:rPr>
            </w:pPr>
            <w:r>
              <w:rPr>
                <w:rFonts w:ascii="Helvetica" w:hAnsi="Helvetica" w:cs="Bangla Sangam MN"/>
                <w:sz w:val="16"/>
                <w:szCs w:val="16"/>
              </w:rPr>
              <w:t>Strategic-metals ETF</w:t>
            </w:r>
          </w:p>
        </w:tc>
        <w:tc>
          <w:tcPr>
            <w:tcW w:w="2800" w:type="dxa"/>
            <w:tcMar>
              <w:top w:w="60" w:type="dxa"/>
              <w:left w:w="100" w:type="dxa"/>
              <w:bottom w:w="60" w:type="dxa"/>
              <w:right w:w="100" w:type="dxa"/>
            </w:tcMar>
          </w:tcPr>
          <w:p w14:paraId="40476DAA" w14:textId="77777777" w:rsidR="005C4BC6" w:rsidRPr="006803C7" w:rsidRDefault="00000000">
            <w:pPr>
              <w:rPr>
                <w:rFonts w:ascii="Helvetica" w:hAnsi="Helvetica" w:cs="Bangla Sangam MN"/>
              </w:rPr>
            </w:pPr>
            <w:r>
              <w:rPr>
                <w:rFonts w:ascii="Helvetica" w:hAnsi="Helvetica" w:cs="Bangla Sangam MN"/>
                <w:sz w:val="16"/>
                <w:szCs w:val="16"/>
              </w:rPr>
              <w:t>Low-medium — China-concentration caveat</w:t>
            </w:r>
          </w:p>
        </w:tc>
        <w:tc>
          <w:tcPr>
            <w:tcW w:w="2160" w:type="dxa"/>
            <w:tcMar>
              <w:top w:w="60" w:type="dxa"/>
              <w:left w:w="100" w:type="dxa"/>
              <w:bottom w:w="60" w:type="dxa"/>
              <w:right w:w="100" w:type="dxa"/>
            </w:tcMar>
          </w:tcPr>
          <w:p w14:paraId="0F46EEA0" w14:textId="77777777" w:rsidR="005C4BC6" w:rsidRPr="006803C7" w:rsidRDefault="00000000">
            <w:pPr>
              <w:rPr>
                <w:rFonts w:ascii="Helvetica" w:hAnsi="Helvetica" w:cs="Bangla Sangam MN"/>
              </w:rPr>
            </w:pPr>
            <w:r>
              <w:rPr>
                <w:rFonts w:ascii="Helvetica" w:hAnsi="Helvetica" w:cs="Bangla Sangam MN"/>
                <w:sz w:val="16"/>
                <w:szCs w:val="16"/>
              </w:rPr>
              <w:t>Unchanged</w:t>
            </w:r>
          </w:p>
        </w:tc>
      </w:tr>
      <w:tr w:rsidR="005C4BC6" w:rsidRPr="006803C7" w14:paraId="1CA9B75C" w14:textId="77777777" w:rsidTr="00310D05">
        <w:tc>
          <w:tcPr>
            <w:tcW w:w="1900" w:type="dxa"/>
            <w:shd w:val="clear" w:color="auto" w:fill="F2F2F2" w:themeFill="background1" w:themeFillShade="F2"/>
            <w:tcMar>
              <w:top w:w="60" w:type="dxa"/>
              <w:left w:w="100" w:type="dxa"/>
              <w:bottom w:w="60" w:type="dxa"/>
              <w:right w:w="100" w:type="dxa"/>
            </w:tcMar>
          </w:tcPr>
          <w:p w14:paraId="55C5710D" w14:textId="77777777" w:rsidR="005C4BC6" w:rsidRPr="006803C7" w:rsidRDefault="00000000">
            <w:pPr>
              <w:rPr>
                <w:rFonts w:ascii="Helvetica" w:hAnsi="Helvetica" w:cs="Bangla Sangam MN"/>
              </w:rPr>
            </w:pPr>
            <w:r>
              <w:rPr>
                <w:rFonts w:ascii="Helvetica" w:hAnsi="Helvetica" w:cs="Bangla Sangam MN"/>
                <w:b/>
                <w:bCs/>
                <w:sz w:val="16"/>
                <w:szCs w:val="16"/>
              </w:rPr>
              <w:t>Technology</w:t>
            </w:r>
          </w:p>
        </w:tc>
        <w:tc>
          <w:tcPr>
            <w:tcW w:w="2500" w:type="dxa"/>
            <w:shd w:val="clear" w:color="auto" w:fill="F2F2F2" w:themeFill="background1" w:themeFillShade="F2"/>
            <w:tcMar>
              <w:top w:w="60" w:type="dxa"/>
              <w:left w:w="100" w:type="dxa"/>
              <w:bottom w:w="60" w:type="dxa"/>
              <w:right w:w="100" w:type="dxa"/>
            </w:tcMar>
          </w:tcPr>
          <w:p w14:paraId="128ED811" w14:textId="77777777" w:rsidR="005C4BC6" w:rsidRPr="006803C7" w:rsidRDefault="00000000">
            <w:pPr>
              <w:rPr>
                <w:rFonts w:ascii="Helvetica" w:hAnsi="Helvetica" w:cs="Bangla Sangam MN"/>
              </w:rPr>
            </w:pPr>
            <w:r>
              <w:rPr>
                <w:rFonts w:ascii="Helvetica" w:hAnsi="Helvetica" w:cs="Bangla Sangam MN"/>
                <w:sz w:val="16"/>
                <w:szCs w:val="16"/>
              </w:rPr>
              <w:t>(core only)</w:t>
            </w:r>
          </w:p>
        </w:tc>
        <w:tc>
          <w:tcPr>
            <w:tcW w:w="2800" w:type="dxa"/>
            <w:shd w:val="clear" w:color="auto" w:fill="F2F2F2" w:themeFill="background1" w:themeFillShade="F2"/>
            <w:tcMar>
              <w:top w:w="60" w:type="dxa"/>
              <w:left w:w="100" w:type="dxa"/>
              <w:bottom w:w="60" w:type="dxa"/>
              <w:right w:w="100" w:type="dxa"/>
            </w:tcMar>
          </w:tcPr>
          <w:p w14:paraId="0D03BD93" w14:textId="77777777" w:rsidR="005C4BC6" w:rsidRPr="006803C7" w:rsidRDefault="00000000">
            <w:pPr>
              <w:rPr>
                <w:rFonts w:ascii="Helvetica" w:hAnsi="Helvetica" w:cs="Bangla Sangam MN"/>
              </w:rPr>
            </w:pPr>
            <w:r>
              <w:rPr>
                <w:rFonts w:ascii="Helvetica" w:hAnsi="Helvetica" w:cs="Bangla Sangam MN"/>
                <w:sz w:val="16"/>
                <w:szCs w:val="16"/>
              </w:rPr>
              <w:t>Underweight — richest multiple</w:t>
            </w:r>
          </w:p>
        </w:tc>
        <w:tc>
          <w:tcPr>
            <w:tcW w:w="2160" w:type="dxa"/>
            <w:shd w:val="clear" w:color="auto" w:fill="F2F2F2" w:themeFill="background1" w:themeFillShade="F2"/>
            <w:tcMar>
              <w:top w:w="60" w:type="dxa"/>
              <w:left w:w="100" w:type="dxa"/>
              <w:bottom w:w="60" w:type="dxa"/>
              <w:right w:w="100" w:type="dxa"/>
            </w:tcMar>
          </w:tcPr>
          <w:p w14:paraId="638C691F" w14:textId="77777777" w:rsidR="005C4BC6" w:rsidRPr="006803C7" w:rsidRDefault="00000000">
            <w:pPr>
              <w:rPr>
                <w:rFonts w:ascii="Helvetica" w:hAnsi="Helvetica" w:cs="Bangla Sangam MN"/>
              </w:rPr>
            </w:pPr>
            <w:r>
              <w:rPr>
                <w:rFonts w:ascii="Helvetica" w:hAnsi="Helvetica" w:cs="Bangla Sangam MN"/>
                <w:sz w:val="16"/>
                <w:szCs w:val="16"/>
              </w:rPr>
              <w:t>Reinforced</w:t>
            </w:r>
          </w:p>
        </w:tc>
      </w:tr>
      <w:tr w:rsidR="005C4BC6" w:rsidRPr="006803C7" w14:paraId="4D412408" w14:textId="77777777" w:rsidTr="00310D05">
        <w:tc>
          <w:tcPr>
            <w:tcW w:w="1900" w:type="dxa"/>
            <w:tcBorders>
              <w:bottom w:val="single" w:sz="4" w:space="0" w:color="auto"/>
            </w:tcBorders>
            <w:tcMar>
              <w:top w:w="60" w:type="dxa"/>
              <w:left w:w="100" w:type="dxa"/>
              <w:bottom w:w="60" w:type="dxa"/>
              <w:right w:w="100" w:type="dxa"/>
            </w:tcMar>
          </w:tcPr>
          <w:p w14:paraId="35EC09E2" w14:textId="77777777" w:rsidR="005C4BC6" w:rsidRPr="006803C7" w:rsidRDefault="00000000">
            <w:pPr>
              <w:rPr>
                <w:rFonts w:ascii="Helvetica" w:hAnsi="Helvetica" w:cs="Bangla Sangam MN"/>
              </w:rPr>
            </w:pPr>
            <w:r>
              <w:rPr>
                <w:rFonts w:ascii="Helvetica" w:hAnsi="Helvetica" w:cs="Bangla Sangam MN"/>
                <w:b/>
                <w:bCs/>
                <w:sz w:val="16"/>
                <w:szCs w:val="16"/>
              </w:rPr>
              <w:t>Real Estate</w:t>
            </w:r>
          </w:p>
        </w:tc>
        <w:tc>
          <w:tcPr>
            <w:tcW w:w="2500" w:type="dxa"/>
            <w:tcBorders>
              <w:bottom w:val="single" w:sz="4" w:space="0" w:color="auto"/>
            </w:tcBorders>
            <w:tcMar>
              <w:top w:w="60" w:type="dxa"/>
              <w:left w:w="100" w:type="dxa"/>
              <w:bottom w:w="60" w:type="dxa"/>
              <w:right w:w="100" w:type="dxa"/>
            </w:tcMar>
          </w:tcPr>
          <w:p w14:paraId="3B43E530" w14:textId="77777777" w:rsidR="005C4BC6" w:rsidRPr="006803C7" w:rsidRDefault="00000000">
            <w:pPr>
              <w:rPr>
                <w:rFonts w:ascii="Helvetica" w:hAnsi="Helvetica" w:cs="Bangla Sangam MN"/>
              </w:rPr>
            </w:pPr>
            <w:r>
              <w:rPr>
                <w:rFonts w:ascii="Helvetica" w:hAnsi="Helvetica" w:cs="Bangla Sangam MN"/>
                <w:sz w:val="16"/>
                <w:szCs w:val="16"/>
              </w:rPr>
              <w:t>(core only)</w:t>
            </w:r>
          </w:p>
        </w:tc>
        <w:tc>
          <w:tcPr>
            <w:tcW w:w="2800" w:type="dxa"/>
            <w:tcBorders>
              <w:bottom w:val="single" w:sz="4" w:space="0" w:color="auto"/>
            </w:tcBorders>
            <w:tcMar>
              <w:top w:w="60" w:type="dxa"/>
              <w:left w:w="100" w:type="dxa"/>
              <w:bottom w:w="60" w:type="dxa"/>
              <w:right w:w="100" w:type="dxa"/>
            </w:tcMar>
          </w:tcPr>
          <w:p w14:paraId="36BC4438" w14:textId="77777777" w:rsidR="005C4BC6" w:rsidRPr="006803C7" w:rsidRDefault="00000000">
            <w:pPr>
              <w:rPr>
                <w:rFonts w:ascii="Helvetica" w:hAnsi="Helvetica" w:cs="Bangla Sangam MN"/>
              </w:rPr>
            </w:pPr>
            <w:r>
              <w:rPr>
                <w:rFonts w:ascii="Helvetica" w:hAnsi="Helvetica" w:cs="Bangla Sangam MN"/>
                <w:sz w:val="16"/>
                <w:szCs w:val="16"/>
              </w:rPr>
              <w:t>Underweight — rate-penalized both regions</w:t>
            </w:r>
          </w:p>
        </w:tc>
        <w:tc>
          <w:tcPr>
            <w:tcW w:w="2160" w:type="dxa"/>
            <w:tcBorders>
              <w:bottom w:val="single" w:sz="4" w:space="0" w:color="auto"/>
            </w:tcBorders>
            <w:tcMar>
              <w:top w:w="60" w:type="dxa"/>
              <w:left w:w="100" w:type="dxa"/>
              <w:bottom w:w="60" w:type="dxa"/>
              <w:right w:w="100" w:type="dxa"/>
            </w:tcMar>
          </w:tcPr>
          <w:p w14:paraId="6F91F3C1" w14:textId="77777777" w:rsidR="005C4BC6" w:rsidRPr="006803C7" w:rsidRDefault="00000000">
            <w:pPr>
              <w:rPr>
                <w:rFonts w:ascii="Helvetica" w:hAnsi="Helvetica" w:cs="Bangla Sangam MN"/>
              </w:rPr>
            </w:pPr>
            <w:r>
              <w:rPr>
                <w:rFonts w:ascii="Helvetica" w:hAnsi="Helvetica" w:cs="Bangla Sangam MN"/>
                <w:sz w:val="16"/>
                <w:szCs w:val="16"/>
              </w:rPr>
              <w:t>Reinforced</w:t>
            </w:r>
          </w:p>
        </w:tc>
      </w:tr>
    </w:tbl>
    <w:p w14:paraId="5710168E" w14:textId="77777777" w:rsidR="005C4BC6" w:rsidRPr="006803C7" w:rsidRDefault="005C4BC6">
      <w:pPr>
        <w:spacing w:after="110"/>
        <w:rPr>
          <w:rFonts w:ascii="Helvetica" w:hAnsi="Helvetica" w:cs="Bangla Sangam MN"/>
        </w:rPr>
      </w:pPr>
    </w:p>
    <w:p w14:paraId="1F3E22A6" w14:textId="4EB3FB2A"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The energy/defense decoupling. </w:t>
      </w:r>
      <w:r>
        <w:rPr>
          <w:rFonts w:ascii="Helvetica" w:hAnsi="Helvetica" w:cs="Bangla Sangam MN"/>
        </w:rPr>
        <w:t xml:space="preserve">The source notes treated energy and defense as one geopolitical block, which have now decoupled. Defense rests on NATO's path toward 5% of GDP by 2035 and multi-year US budget backlog — visibility that survives a falling oil price. Energy rests directly on the oil premium, much of which unwound through mid-June as front-month futures fell toward $80 — though the renewed Hormuz dispute on 20–21 June shows how quickly that premium can rebuild. We keep defense as a conviction overweight and demote energy to a smaller, tactical hedge against the ceasefire collapsing.</w:t>
      </w:r>
    </w:p>
    <w:p w14:paraId="2DC404B6" w14:textId="77777777" w:rsidR="005C4BC6" w:rsidRDefault="00000000" w:rsidP="00310D05">
      <w:pPr>
        <w:spacing w:after="130" w:line="270" w:lineRule="auto"/>
        <w:jc w:val="both"/>
        <w:rPr>
          <w:rFonts w:ascii="Helvetica" w:hAnsi="Helvetica" w:cs="Bangla Sangam MN"/>
        </w:rPr>
      </w:pPr>
      <w:r>
        <w:rPr>
          <w:rFonts w:ascii="Helvetica" w:hAnsi="Helvetica" w:cs="Bangla Sangam MN"/>
          <w:b/>
          <w:bCs/>
        </w:rPr>
        <w:t xml:space="preserve">Rare-earths caveat. </w:t>
      </w:r>
      <w:r>
        <w:rPr>
          <w:rFonts w:ascii="Helvetica" w:hAnsi="Helvetica" w:cs="Bangla Sangam MN"/>
        </w:rPr>
        <w:t>The liquid UCITS vehicle (VanEck) is China/Australia/US-heavy, so it imperfectly expresses the Western de-risking thesis; sized small (3%) with that mismatch flagged.</w:t>
      </w:r>
    </w:p>
    <w:p w14:paraId="635BF510" w14:textId="77777777" w:rsidR="003A1392" w:rsidRDefault="003A1392" w:rsidP="00310D05">
      <w:pPr>
        <w:spacing w:after="130" w:line="270" w:lineRule="auto"/>
        <w:jc w:val="both"/>
        <w:rPr>
          <w:rFonts w:ascii="Helvetica" w:hAnsi="Helvetica" w:cs="Bangla Sangam MN"/>
        </w:rPr>
      </w:pPr>
    </w:p>
    <w:p w14:paraId="661F5CCD" w14:textId="77777777" w:rsidR="003A1392" w:rsidRDefault="003A1392" w:rsidP="00310D05">
      <w:pPr>
        <w:spacing w:after="130" w:line="270" w:lineRule="auto"/>
        <w:jc w:val="both"/>
        <w:rPr>
          <w:rFonts w:ascii="Helvetica" w:hAnsi="Helvetica" w:cs="Bangla Sangam MN"/>
        </w:rPr>
      </w:pPr>
    </w:p>
    <w:p w14:paraId="0F37B60A" w14:textId="77777777" w:rsidR="00987D9D" w:rsidRDefault="00987D9D" w:rsidP="00310D05">
      <w:pPr>
        <w:spacing w:after="130" w:line="270" w:lineRule="auto"/>
        <w:jc w:val="both"/>
        <w:rPr>
          <w:rFonts w:ascii="Helvetica" w:hAnsi="Helvetica" w:cs="Bangla Sangam MN"/>
        </w:rPr>
      </w:pPr>
    </w:p>
    <w:p w14:paraId="6C376AB1" w14:textId="77777777" w:rsidR="00987D9D" w:rsidRPr="006803C7" w:rsidRDefault="00987D9D" w:rsidP="00310D05">
      <w:pPr>
        <w:spacing w:after="130" w:line="270" w:lineRule="auto"/>
        <w:jc w:val="both"/>
        <w:rPr>
          <w:rFonts w:ascii="Helvetica" w:hAnsi="Helvetica" w:cs="Bangla Sangam MN"/>
        </w:rPr>
      </w:pPr>
    </w:p>
    <w:p w14:paraId="53F57BC1" w14:textId="77777777" w:rsidR="005C4BC6" w:rsidRPr="00C534C1" w:rsidRDefault="00000000">
      <w:pPr>
        <w:pStyle w:val="Heading2"/>
        <w:rPr>
          <w:rFonts w:ascii="Helvetica" w:hAnsi="Helvetica" w:cs="Bangla Sangam MN"/>
          <w:color w:val="000000" w:themeColor="text1"/>
        </w:rPr>
      </w:pPr>
      <w:r>
        <w:rPr>
          <w:rFonts w:ascii="Helvetica" w:hAnsi="Helvetica" w:cs="Bangla Sangam MN"/>
          <w:color w:val="000000" w:themeColor="text1"/>
        </w:rPr>
        <w:lastRenderedPageBreak/>
        <w:t>5.2 Regional allocation</w:t>
      </w:r>
    </w:p>
    <w:p w14:paraId="0B997974" w14:textId="77777777" w:rsidR="005C4BC6" w:rsidRPr="00532F88" w:rsidRDefault="00000000">
      <w:pPr>
        <w:spacing w:before="70" w:after="130"/>
        <w:jc w:val="center"/>
        <w:rPr>
          <w:rFonts w:ascii="Helvetica" w:hAnsi="Helvetica" w:cs="Bangla Sangam MN"/>
          <w:b/>
          <w:bCs/>
        </w:rPr>
      </w:pPr>
      <w:r>
        <w:rPr>
          <w:rFonts w:ascii="Helvetica" w:hAnsi="Helvetica" w:cs="Bangla Sangam MN"/>
          <w:b/>
          <w:bCs/>
          <w:i/>
          <w:iCs/>
          <w:color w:val="333333"/>
          <w:sz w:val="24"/>
          <w:szCs w:val="24"/>
        </w:rPr>
        <w:t xml:space="preserve">US weight  </w:t>
      </w:r>
      <w:r>
        <w:rPr>
          <w:rFonts w:ascii="Cambria Math" w:hAnsi="Cambria Math" w:cs="Cambria Math"/>
          <w:b/>
          <w:bCs/>
          <w:i/>
          <w:iCs/>
          <w:color w:val="333333"/>
          <w:sz w:val="24"/>
          <w:szCs w:val="24"/>
        </w:rPr>
        <w:t>∝</w:t>
      </w:r>
      <w:r>
        <w:rPr>
          <w:rFonts w:ascii="Helvetica" w:hAnsi="Helvetica" w:cs="Bangla Sangam MN"/>
          <w:b/>
          <w:bCs/>
          <w:i/>
          <w:iCs/>
          <w:color w:val="333333"/>
          <w:sz w:val="24"/>
          <w:szCs w:val="24"/>
        </w:rPr>
        <w:t xml:space="preserve">  ( growth momentum + theme liquidity ) / ( valuation + FX drag )</w:t>
      </w:r>
    </w:p>
    <w:p w14:paraId="19D4FE8E"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The US pulls weight through growth momentum and deeper theme liquidity; Europe through the ~15–20% valuation discount, double the dividend yield, the ECB-rate tailwind to its large bank sector, and no FX drag for a euro fund. With the energy theme softened and FX cutting against unhedged US exposure, an overwhelming US tilt is weaker than a US-only read implies. We set ~55% US / 45% Europe — a deliberate, moderate tilt. US positions are held unhedged as a known, accepted exposure.</w:t>
      </w:r>
    </w:p>
    <w:p w14:paraId="1B3655E5" w14:textId="77777777" w:rsidR="005C4BC6" w:rsidRPr="006803C7" w:rsidRDefault="00000000">
      <w:pPr>
        <w:rPr>
          <w:rFonts w:ascii="Helvetica" w:hAnsi="Helvetica" w:cs="Bangla Sangam MN"/>
        </w:rPr>
      </w:pPr>
      <w:r>
        <w:rPr>
          <w:rFonts w:ascii="Helvetica" w:hAnsi="Helvetica" w:cs="Bangla Sangam MN"/>
        </w:rPr>
        <w:br w:type="page"/>
      </w:r>
    </w:p>
    <w:p w14:paraId="0E89F089"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6. Portfolio Construction</w:t>
      </w:r>
    </w:p>
    <w:p w14:paraId="5CDD700A" w14:textId="77777777" w:rsidR="005C4BC6" w:rsidRPr="006803C7" w:rsidRDefault="00000000" w:rsidP="00310D05">
      <w:pPr>
        <w:spacing w:after="130" w:line="270" w:lineRule="auto"/>
        <w:jc w:val="both"/>
        <w:rPr>
          <w:rFonts w:ascii="Helvetica" w:hAnsi="Helvetica" w:cs="Bangla Sangam MN"/>
          <w:color w:val="000000" w:themeColor="text1"/>
        </w:rPr>
      </w:pPr>
      <w:r>
        <w:rPr>
          <w:rFonts w:ascii="Helvetica" w:hAnsi="Helvetica" w:cs="Bangla Sangam MN"/>
          <w:color w:val="000000" w:themeColor="text1"/>
        </w:rPr>
        <w:t>A passive broad-market core captures the valuation discount and market return at minimal cost; sector/thematic ETF satellites express the macro convictions while avoiding single-stock idiosyncratic risk.</w:t>
      </w:r>
    </w:p>
    <w:tbl>
      <w:tblPr>
        <w:tblW w:w="9360" w:type="dxa"/>
        <w:tblCellMar>
          <w:left w:w="10" w:type="dxa"/>
          <w:right w:w="10" w:type="dxa"/>
        </w:tblCellMar>
        <w:tblLook w:val="04A0" w:firstRow="1" w:lastRow="0" w:firstColumn="1" w:lastColumn="0" w:noHBand="0" w:noVBand="1"/>
      </w:tblPr>
      <w:tblGrid>
        <w:gridCol w:w="1300"/>
        <w:gridCol w:w="2500"/>
        <w:gridCol w:w="1000"/>
        <w:gridCol w:w="4560"/>
      </w:tblGrid>
      <w:tr w:rsidR="005C4BC6" w:rsidRPr="006803C7" w14:paraId="6E7D3C57" w14:textId="77777777" w:rsidTr="00411601">
        <w:trPr>
          <w:tblHeader/>
        </w:trPr>
        <w:tc>
          <w:tcPr>
            <w:tcW w:w="1300" w:type="dxa"/>
            <w:shd w:val="clear" w:color="auto" w:fill="212D85"/>
            <w:tcMar>
              <w:top w:w="60" w:type="dxa"/>
              <w:left w:w="100" w:type="dxa"/>
              <w:bottom w:w="60" w:type="dxa"/>
              <w:right w:w="100" w:type="dxa"/>
            </w:tcMar>
          </w:tcPr>
          <w:p w14:paraId="36201948" w14:textId="77777777" w:rsidR="005C4BC6" w:rsidRPr="00411601" w:rsidRDefault="00000000">
            <w:pPr>
              <w:rPr>
                <w:rFonts w:ascii="Helvetica" w:hAnsi="Helvetica" w:cs="Bangla Sangam MN"/>
                <w:color w:val="FFFFFF" w:themeColor="background1"/>
              </w:rPr>
            </w:pPr>
            <w:r>
              <w:rPr>
                <w:rFonts w:ascii="Helvetica" w:hAnsi="Helvetica" w:cs="Bangla Sangam MN"/>
                <w:b/>
                <w:bCs/>
                <w:color w:val="FFFFFF" w:themeColor="background1"/>
                <w:sz w:val="16"/>
                <w:szCs w:val="16"/>
              </w:rPr>
              <w:t>Sleeve</w:t>
            </w:r>
          </w:p>
        </w:tc>
        <w:tc>
          <w:tcPr>
            <w:tcW w:w="2500" w:type="dxa"/>
            <w:shd w:val="clear" w:color="auto" w:fill="212D85"/>
            <w:tcMar>
              <w:top w:w="60" w:type="dxa"/>
              <w:left w:w="100" w:type="dxa"/>
              <w:bottom w:w="60" w:type="dxa"/>
              <w:right w:w="100" w:type="dxa"/>
            </w:tcMar>
          </w:tcPr>
          <w:p w14:paraId="0876BD58" w14:textId="77777777" w:rsidR="005C4BC6" w:rsidRPr="00411601" w:rsidRDefault="00000000">
            <w:pPr>
              <w:rPr>
                <w:rFonts w:ascii="Helvetica" w:hAnsi="Helvetica" w:cs="Bangla Sangam MN"/>
                <w:color w:val="FFFFFF" w:themeColor="background1"/>
              </w:rPr>
            </w:pPr>
            <w:r>
              <w:rPr>
                <w:rFonts w:ascii="Helvetica" w:hAnsi="Helvetica" w:cs="Bangla Sangam MN"/>
                <w:b/>
                <w:bCs/>
                <w:color w:val="FFFFFF" w:themeColor="background1"/>
                <w:sz w:val="16"/>
                <w:szCs w:val="16"/>
              </w:rPr>
              <w:t>Position</w:t>
            </w:r>
          </w:p>
        </w:tc>
        <w:tc>
          <w:tcPr>
            <w:tcW w:w="1000" w:type="dxa"/>
            <w:shd w:val="clear" w:color="auto" w:fill="212D85"/>
            <w:tcMar>
              <w:top w:w="60" w:type="dxa"/>
              <w:left w:w="100" w:type="dxa"/>
              <w:bottom w:w="60" w:type="dxa"/>
              <w:right w:w="100" w:type="dxa"/>
            </w:tcMar>
          </w:tcPr>
          <w:p w14:paraId="4E4A98CF" w14:textId="77777777" w:rsidR="005C4BC6" w:rsidRPr="00411601" w:rsidRDefault="00000000">
            <w:pPr>
              <w:rPr>
                <w:rFonts w:ascii="Helvetica" w:hAnsi="Helvetica" w:cs="Bangla Sangam MN"/>
                <w:color w:val="FFFFFF" w:themeColor="background1"/>
              </w:rPr>
            </w:pPr>
            <w:r>
              <w:rPr>
                <w:rFonts w:ascii="Helvetica" w:hAnsi="Helvetica" w:cs="Bangla Sangam MN"/>
                <w:b/>
                <w:bCs/>
                <w:color w:val="FFFFFF" w:themeColor="background1"/>
                <w:sz w:val="16"/>
                <w:szCs w:val="16"/>
              </w:rPr>
              <w:t>Weight</w:t>
            </w:r>
          </w:p>
        </w:tc>
        <w:tc>
          <w:tcPr>
            <w:tcW w:w="4560" w:type="dxa"/>
            <w:shd w:val="clear" w:color="auto" w:fill="212D85"/>
            <w:tcMar>
              <w:top w:w="60" w:type="dxa"/>
              <w:left w:w="100" w:type="dxa"/>
              <w:bottom w:w="60" w:type="dxa"/>
              <w:right w:w="100" w:type="dxa"/>
            </w:tcMar>
          </w:tcPr>
          <w:p w14:paraId="1ED50DC0" w14:textId="77777777" w:rsidR="005C4BC6" w:rsidRPr="00411601" w:rsidRDefault="00000000">
            <w:pPr>
              <w:rPr>
                <w:rFonts w:ascii="Helvetica" w:hAnsi="Helvetica" w:cs="Bangla Sangam MN"/>
                <w:color w:val="FFFFFF" w:themeColor="background1"/>
              </w:rPr>
            </w:pPr>
            <w:r>
              <w:rPr>
                <w:rFonts w:ascii="Helvetica" w:hAnsi="Helvetica" w:cs="Bangla Sangam MN"/>
                <w:b/>
                <w:bCs/>
                <w:color w:val="FFFFFF" w:themeColor="background1"/>
                <w:sz w:val="16"/>
                <w:szCs w:val="16"/>
              </w:rPr>
              <w:t>Rationale</w:t>
            </w:r>
          </w:p>
        </w:tc>
      </w:tr>
      <w:tr w:rsidR="005C4BC6" w:rsidRPr="006803C7" w14:paraId="26CBA546" w14:textId="77777777" w:rsidTr="00411601">
        <w:tc>
          <w:tcPr>
            <w:tcW w:w="1300" w:type="dxa"/>
            <w:shd w:val="clear" w:color="auto" w:fill="F2F2F2" w:themeFill="background1" w:themeFillShade="F2"/>
            <w:tcMar>
              <w:top w:w="60" w:type="dxa"/>
              <w:left w:w="100" w:type="dxa"/>
              <w:bottom w:w="60" w:type="dxa"/>
              <w:right w:w="100" w:type="dxa"/>
            </w:tcMar>
          </w:tcPr>
          <w:p w14:paraId="5580BB48"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Core</w:t>
            </w:r>
          </w:p>
        </w:tc>
        <w:tc>
          <w:tcPr>
            <w:tcW w:w="2500" w:type="dxa"/>
            <w:shd w:val="clear" w:color="auto" w:fill="F2F2F2" w:themeFill="background1" w:themeFillShade="F2"/>
            <w:tcMar>
              <w:top w:w="60" w:type="dxa"/>
              <w:left w:w="100" w:type="dxa"/>
              <w:bottom w:w="60" w:type="dxa"/>
              <w:right w:w="100" w:type="dxa"/>
            </w:tcMar>
          </w:tcPr>
          <w:p w14:paraId="469DA5BA"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US broad market (S&amp;P 500)</w:t>
            </w:r>
          </w:p>
        </w:tc>
        <w:tc>
          <w:tcPr>
            <w:tcW w:w="1000" w:type="dxa"/>
            <w:shd w:val="clear" w:color="auto" w:fill="F2F2F2" w:themeFill="background1" w:themeFillShade="F2"/>
            <w:tcMar>
              <w:top w:w="60" w:type="dxa"/>
              <w:left w:w="100" w:type="dxa"/>
              <w:bottom w:w="60" w:type="dxa"/>
              <w:right w:w="100" w:type="dxa"/>
            </w:tcMar>
          </w:tcPr>
          <w:p w14:paraId="28EBB1FB"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34%</w:t>
            </w:r>
          </w:p>
        </w:tc>
        <w:tc>
          <w:tcPr>
            <w:tcW w:w="4560" w:type="dxa"/>
            <w:shd w:val="clear" w:color="auto" w:fill="F2F2F2" w:themeFill="background1" w:themeFillShade="F2"/>
            <w:tcMar>
              <w:top w:w="60" w:type="dxa"/>
              <w:left w:w="100" w:type="dxa"/>
              <w:bottom w:w="60" w:type="dxa"/>
              <w:right w:w="100" w:type="dxa"/>
            </w:tcMar>
          </w:tcPr>
          <w:p w14:paraId="7517A2C0"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Growth momentum; deepest, cheapest beta</w:t>
            </w:r>
          </w:p>
        </w:tc>
      </w:tr>
      <w:tr w:rsidR="005C4BC6" w:rsidRPr="006803C7" w14:paraId="118AC841" w14:textId="77777777" w:rsidTr="00411601">
        <w:tc>
          <w:tcPr>
            <w:tcW w:w="1300" w:type="dxa"/>
            <w:shd w:val="clear" w:color="auto" w:fill="FFFFFF" w:themeFill="background1"/>
            <w:tcMar>
              <w:top w:w="60" w:type="dxa"/>
              <w:left w:w="100" w:type="dxa"/>
              <w:bottom w:w="60" w:type="dxa"/>
              <w:right w:w="100" w:type="dxa"/>
            </w:tcMar>
          </w:tcPr>
          <w:p w14:paraId="6D903C21"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Core</w:t>
            </w:r>
          </w:p>
        </w:tc>
        <w:tc>
          <w:tcPr>
            <w:tcW w:w="2500" w:type="dxa"/>
            <w:shd w:val="clear" w:color="auto" w:fill="FFFFFF" w:themeFill="background1"/>
            <w:tcMar>
              <w:top w:w="60" w:type="dxa"/>
              <w:left w:w="100" w:type="dxa"/>
              <w:bottom w:w="60" w:type="dxa"/>
              <w:right w:w="100" w:type="dxa"/>
            </w:tcMar>
          </w:tcPr>
          <w:p w14:paraId="515FA5B0"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Europe broad market (STOXX 600)</w:t>
            </w:r>
          </w:p>
        </w:tc>
        <w:tc>
          <w:tcPr>
            <w:tcW w:w="1000" w:type="dxa"/>
            <w:shd w:val="clear" w:color="auto" w:fill="FFFFFF" w:themeFill="background1"/>
            <w:tcMar>
              <w:top w:w="60" w:type="dxa"/>
              <w:left w:w="100" w:type="dxa"/>
              <w:bottom w:w="60" w:type="dxa"/>
              <w:right w:w="100" w:type="dxa"/>
            </w:tcMar>
          </w:tcPr>
          <w:p w14:paraId="5D6439C3"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26%</w:t>
            </w:r>
          </w:p>
        </w:tc>
        <w:tc>
          <w:tcPr>
            <w:tcW w:w="4560" w:type="dxa"/>
            <w:shd w:val="clear" w:color="auto" w:fill="FFFFFF" w:themeFill="background1"/>
            <w:tcMar>
              <w:top w:w="60" w:type="dxa"/>
              <w:left w:w="100" w:type="dxa"/>
              <w:bottom w:w="60" w:type="dxa"/>
              <w:right w:w="100" w:type="dxa"/>
            </w:tcMar>
          </w:tcPr>
          <w:p w14:paraId="6908CC19"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Valuation discount; income; no FX drag</w:t>
            </w:r>
          </w:p>
        </w:tc>
      </w:tr>
      <w:tr w:rsidR="005C4BC6" w:rsidRPr="006803C7" w14:paraId="531A315A" w14:textId="77777777" w:rsidTr="00411601">
        <w:tc>
          <w:tcPr>
            <w:tcW w:w="1300" w:type="dxa"/>
            <w:shd w:val="clear" w:color="auto" w:fill="F2F2F2" w:themeFill="background1" w:themeFillShade="F2"/>
            <w:tcMar>
              <w:top w:w="60" w:type="dxa"/>
              <w:left w:w="100" w:type="dxa"/>
              <w:bottom w:w="60" w:type="dxa"/>
              <w:right w:w="100" w:type="dxa"/>
            </w:tcMar>
          </w:tcPr>
          <w:p w14:paraId="1431320B"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2F2F2" w:themeFill="background1" w:themeFillShade="F2"/>
            <w:tcMar>
              <w:top w:w="60" w:type="dxa"/>
              <w:left w:w="100" w:type="dxa"/>
              <w:bottom w:w="60" w:type="dxa"/>
              <w:right w:w="100" w:type="dxa"/>
            </w:tcMar>
          </w:tcPr>
          <w:p w14:paraId="3E598DF6"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European banks</w:t>
            </w:r>
          </w:p>
        </w:tc>
        <w:tc>
          <w:tcPr>
            <w:tcW w:w="1000" w:type="dxa"/>
            <w:shd w:val="clear" w:color="auto" w:fill="F2F2F2" w:themeFill="background1" w:themeFillShade="F2"/>
            <w:tcMar>
              <w:top w:w="60" w:type="dxa"/>
              <w:left w:w="100" w:type="dxa"/>
              <w:bottom w:w="60" w:type="dxa"/>
              <w:right w:w="100" w:type="dxa"/>
            </w:tcMar>
          </w:tcPr>
          <w:p w14:paraId="0CA7F887"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8%</w:t>
            </w:r>
          </w:p>
        </w:tc>
        <w:tc>
          <w:tcPr>
            <w:tcW w:w="4560" w:type="dxa"/>
            <w:shd w:val="clear" w:color="auto" w:fill="F2F2F2" w:themeFill="background1" w:themeFillShade="F2"/>
            <w:tcMar>
              <w:top w:w="60" w:type="dxa"/>
              <w:left w:w="100" w:type="dxa"/>
              <w:bottom w:w="60" w:type="dxa"/>
              <w:right w:w="100" w:type="dxa"/>
            </w:tcMar>
          </w:tcPr>
          <w:p w14:paraId="22F60493"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Highest-conviction; ECB-hike NIM tailwind</w:t>
            </w:r>
          </w:p>
        </w:tc>
      </w:tr>
      <w:tr w:rsidR="005C4BC6" w:rsidRPr="006803C7" w14:paraId="5A261716" w14:textId="77777777" w:rsidTr="00411601">
        <w:tc>
          <w:tcPr>
            <w:tcW w:w="1300" w:type="dxa"/>
            <w:shd w:val="clear" w:color="auto" w:fill="FFFFFF" w:themeFill="background1"/>
            <w:tcMar>
              <w:top w:w="60" w:type="dxa"/>
              <w:left w:w="100" w:type="dxa"/>
              <w:bottom w:w="60" w:type="dxa"/>
              <w:right w:w="100" w:type="dxa"/>
            </w:tcMar>
          </w:tcPr>
          <w:p w14:paraId="2EE41B25"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FFFFF" w:themeFill="background1"/>
            <w:tcMar>
              <w:top w:w="60" w:type="dxa"/>
              <w:left w:w="100" w:type="dxa"/>
              <w:bottom w:w="60" w:type="dxa"/>
              <w:right w:w="100" w:type="dxa"/>
            </w:tcMar>
          </w:tcPr>
          <w:p w14:paraId="7FF21EEC"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Global defense</w:t>
            </w:r>
          </w:p>
        </w:tc>
        <w:tc>
          <w:tcPr>
            <w:tcW w:w="1000" w:type="dxa"/>
            <w:shd w:val="clear" w:color="auto" w:fill="FFFFFF" w:themeFill="background1"/>
            <w:tcMar>
              <w:top w:w="60" w:type="dxa"/>
              <w:left w:w="100" w:type="dxa"/>
              <w:bottom w:w="60" w:type="dxa"/>
              <w:right w:w="100" w:type="dxa"/>
            </w:tcMar>
          </w:tcPr>
          <w:p w14:paraId="069944B1"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8%</w:t>
            </w:r>
          </w:p>
        </w:tc>
        <w:tc>
          <w:tcPr>
            <w:tcW w:w="4560" w:type="dxa"/>
            <w:shd w:val="clear" w:color="auto" w:fill="FFFFFF" w:themeFill="background1"/>
            <w:tcMar>
              <w:top w:w="60" w:type="dxa"/>
              <w:left w:w="100" w:type="dxa"/>
              <w:bottom w:w="60" w:type="dxa"/>
              <w:right w:w="100" w:type="dxa"/>
            </w:tcMar>
          </w:tcPr>
          <w:p w14:paraId="40ECDEA4"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Structural NATO/budget backlog</w:t>
            </w:r>
          </w:p>
        </w:tc>
      </w:tr>
      <w:tr w:rsidR="005C4BC6" w:rsidRPr="006803C7" w14:paraId="059DC9DB" w14:textId="77777777" w:rsidTr="00411601">
        <w:tc>
          <w:tcPr>
            <w:tcW w:w="1300" w:type="dxa"/>
            <w:shd w:val="clear" w:color="auto" w:fill="F2F2F2" w:themeFill="background1" w:themeFillShade="F2"/>
            <w:tcMar>
              <w:top w:w="60" w:type="dxa"/>
              <w:left w:w="100" w:type="dxa"/>
              <w:bottom w:w="60" w:type="dxa"/>
              <w:right w:w="100" w:type="dxa"/>
            </w:tcMar>
          </w:tcPr>
          <w:p w14:paraId="02509B36"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2F2F2" w:themeFill="background1" w:themeFillShade="F2"/>
            <w:tcMar>
              <w:top w:w="60" w:type="dxa"/>
              <w:left w:w="100" w:type="dxa"/>
              <w:bottom w:w="60" w:type="dxa"/>
              <w:right w:w="100" w:type="dxa"/>
            </w:tcMar>
          </w:tcPr>
          <w:p w14:paraId="695F0F87"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Health care</w:t>
            </w:r>
          </w:p>
        </w:tc>
        <w:tc>
          <w:tcPr>
            <w:tcW w:w="1000" w:type="dxa"/>
            <w:shd w:val="clear" w:color="auto" w:fill="F2F2F2" w:themeFill="background1" w:themeFillShade="F2"/>
            <w:tcMar>
              <w:top w:w="60" w:type="dxa"/>
              <w:left w:w="100" w:type="dxa"/>
              <w:bottom w:w="60" w:type="dxa"/>
              <w:right w:w="100" w:type="dxa"/>
            </w:tcMar>
          </w:tcPr>
          <w:p w14:paraId="7EE38EA0"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6%</w:t>
            </w:r>
          </w:p>
        </w:tc>
        <w:tc>
          <w:tcPr>
            <w:tcW w:w="4560" w:type="dxa"/>
            <w:shd w:val="clear" w:color="auto" w:fill="F2F2F2" w:themeFill="background1" w:themeFillShade="F2"/>
            <w:tcMar>
              <w:top w:w="60" w:type="dxa"/>
              <w:left w:w="100" w:type="dxa"/>
              <w:bottom w:w="60" w:type="dxa"/>
              <w:right w:w="100" w:type="dxa"/>
            </w:tcMar>
          </w:tcPr>
          <w:p w14:paraId="7AE38622"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Cheap, low rate-sensitivity defensive</w:t>
            </w:r>
          </w:p>
        </w:tc>
      </w:tr>
      <w:tr w:rsidR="005C4BC6" w:rsidRPr="006803C7" w14:paraId="68F565B7" w14:textId="77777777" w:rsidTr="00411601">
        <w:tc>
          <w:tcPr>
            <w:tcW w:w="1300" w:type="dxa"/>
            <w:shd w:val="clear" w:color="auto" w:fill="FFFFFF" w:themeFill="background1"/>
            <w:tcMar>
              <w:top w:w="60" w:type="dxa"/>
              <w:left w:w="100" w:type="dxa"/>
              <w:bottom w:w="60" w:type="dxa"/>
              <w:right w:w="100" w:type="dxa"/>
            </w:tcMar>
          </w:tcPr>
          <w:p w14:paraId="115581A5"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FFFFF" w:themeFill="background1"/>
            <w:tcMar>
              <w:top w:w="60" w:type="dxa"/>
              <w:left w:w="100" w:type="dxa"/>
              <w:bottom w:w="60" w:type="dxa"/>
              <w:right w:w="100" w:type="dxa"/>
            </w:tcMar>
          </w:tcPr>
          <w:p w14:paraId="185B5B6E"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Consumer staples / food</w:t>
            </w:r>
          </w:p>
        </w:tc>
        <w:tc>
          <w:tcPr>
            <w:tcW w:w="1000" w:type="dxa"/>
            <w:shd w:val="clear" w:color="auto" w:fill="FFFFFF" w:themeFill="background1"/>
            <w:tcMar>
              <w:top w:w="60" w:type="dxa"/>
              <w:left w:w="100" w:type="dxa"/>
              <w:bottom w:w="60" w:type="dxa"/>
              <w:right w:w="100" w:type="dxa"/>
            </w:tcMar>
          </w:tcPr>
          <w:p w14:paraId="03CF3F31"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6%</w:t>
            </w:r>
          </w:p>
        </w:tc>
        <w:tc>
          <w:tcPr>
            <w:tcW w:w="4560" w:type="dxa"/>
            <w:shd w:val="clear" w:color="auto" w:fill="FFFFFF" w:themeFill="background1"/>
            <w:tcMar>
              <w:top w:w="60" w:type="dxa"/>
              <w:left w:w="100" w:type="dxa"/>
              <w:bottom w:w="60" w:type="dxa"/>
              <w:right w:w="100" w:type="dxa"/>
            </w:tcMar>
          </w:tcPr>
          <w:p w14:paraId="40B7DF11"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Pricing power vs sticky inflation</w:t>
            </w:r>
          </w:p>
        </w:tc>
      </w:tr>
      <w:tr w:rsidR="005C4BC6" w:rsidRPr="006803C7" w14:paraId="34D19DD3" w14:textId="77777777" w:rsidTr="00411601">
        <w:tc>
          <w:tcPr>
            <w:tcW w:w="1300" w:type="dxa"/>
            <w:shd w:val="clear" w:color="auto" w:fill="F2F2F2" w:themeFill="background1" w:themeFillShade="F2"/>
            <w:tcMar>
              <w:top w:w="60" w:type="dxa"/>
              <w:left w:w="100" w:type="dxa"/>
              <w:bottom w:w="60" w:type="dxa"/>
              <w:right w:w="100" w:type="dxa"/>
            </w:tcMar>
          </w:tcPr>
          <w:p w14:paraId="294C15D1"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2F2F2" w:themeFill="background1" w:themeFillShade="F2"/>
            <w:tcMar>
              <w:top w:w="60" w:type="dxa"/>
              <w:left w:w="100" w:type="dxa"/>
              <w:bottom w:w="60" w:type="dxa"/>
              <w:right w:w="100" w:type="dxa"/>
            </w:tcMar>
          </w:tcPr>
          <w:p w14:paraId="66EDC1D3"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Energy (oil &amp; gas)</w:t>
            </w:r>
          </w:p>
        </w:tc>
        <w:tc>
          <w:tcPr>
            <w:tcW w:w="1000" w:type="dxa"/>
            <w:shd w:val="clear" w:color="auto" w:fill="F2F2F2" w:themeFill="background1" w:themeFillShade="F2"/>
            <w:tcMar>
              <w:top w:w="60" w:type="dxa"/>
              <w:left w:w="100" w:type="dxa"/>
              <w:bottom w:w="60" w:type="dxa"/>
              <w:right w:w="100" w:type="dxa"/>
            </w:tcMar>
          </w:tcPr>
          <w:p w14:paraId="4A319FC2"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5%</w:t>
            </w:r>
          </w:p>
        </w:tc>
        <w:tc>
          <w:tcPr>
            <w:tcW w:w="4560" w:type="dxa"/>
            <w:shd w:val="clear" w:color="auto" w:fill="F2F2F2" w:themeFill="background1" w:themeFillShade="F2"/>
            <w:tcMar>
              <w:top w:w="60" w:type="dxa"/>
              <w:left w:w="100" w:type="dxa"/>
              <w:bottom w:w="60" w:type="dxa"/>
              <w:right w:w="100" w:type="dxa"/>
            </w:tcMar>
          </w:tcPr>
          <w:p w14:paraId="6CCAA2BA"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Tactical hedge vs ceasefire collapse</w:t>
            </w:r>
          </w:p>
        </w:tc>
      </w:tr>
      <w:tr w:rsidR="005C4BC6" w:rsidRPr="006803C7" w14:paraId="5589BD14" w14:textId="77777777" w:rsidTr="00310D05">
        <w:tc>
          <w:tcPr>
            <w:tcW w:w="1300" w:type="dxa"/>
            <w:shd w:val="clear" w:color="auto" w:fill="FFFFFF" w:themeFill="background1"/>
            <w:tcMar>
              <w:top w:w="60" w:type="dxa"/>
              <w:left w:w="100" w:type="dxa"/>
              <w:bottom w:w="60" w:type="dxa"/>
              <w:right w:w="100" w:type="dxa"/>
            </w:tcMar>
          </w:tcPr>
          <w:p w14:paraId="68A082D7"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shd w:val="clear" w:color="auto" w:fill="FFFFFF" w:themeFill="background1"/>
            <w:tcMar>
              <w:top w:w="60" w:type="dxa"/>
              <w:left w:w="100" w:type="dxa"/>
              <w:bottom w:w="60" w:type="dxa"/>
              <w:right w:w="100" w:type="dxa"/>
            </w:tcMar>
          </w:tcPr>
          <w:p w14:paraId="70C84E1D"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US financials</w:t>
            </w:r>
          </w:p>
        </w:tc>
        <w:tc>
          <w:tcPr>
            <w:tcW w:w="1000" w:type="dxa"/>
            <w:shd w:val="clear" w:color="auto" w:fill="FFFFFF" w:themeFill="background1"/>
            <w:tcMar>
              <w:top w:w="60" w:type="dxa"/>
              <w:left w:w="100" w:type="dxa"/>
              <w:bottom w:w="60" w:type="dxa"/>
              <w:right w:w="100" w:type="dxa"/>
            </w:tcMar>
          </w:tcPr>
          <w:p w14:paraId="4F69B0D6"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4%</w:t>
            </w:r>
          </w:p>
        </w:tc>
        <w:tc>
          <w:tcPr>
            <w:tcW w:w="4560" w:type="dxa"/>
            <w:shd w:val="clear" w:color="auto" w:fill="FFFFFF" w:themeFill="background1"/>
            <w:tcMar>
              <w:top w:w="60" w:type="dxa"/>
              <w:left w:w="100" w:type="dxa"/>
              <w:bottom w:w="60" w:type="dxa"/>
              <w:right w:w="100" w:type="dxa"/>
            </w:tcMar>
          </w:tcPr>
          <w:p w14:paraId="24B1D6CA"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Curve steepening supports margins</w:t>
            </w:r>
          </w:p>
        </w:tc>
      </w:tr>
      <w:tr w:rsidR="005C4BC6" w:rsidRPr="006803C7" w14:paraId="4ED37FE9" w14:textId="77777777" w:rsidTr="00310D05">
        <w:tc>
          <w:tcPr>
            <w:tcW w:w="1300" w:type="dxa"/>
            <w:tcBorders>
              <w:bottom w:val="single" w:sz="4" w:space="0" w:color="auto"/>
            </w:tcBorders>
            <w:shd w:val="clear" w:color="auto" w:fill="F2F2F2" w:themeFill="background1" w:themeFillShade="F2"/>
            <w:tcMar>
              <w:top w:w="60" w:type="dxa"/>
              <w:left w:w="100" w:type="dxa"/>
              <w:bottom w:w="60" w:type="dxa"/>
              <w:right w:w="100" w:type="dxa"/>
            </w:tcMar>
          </w:tcPr>
          <w:p w14:paraId="20277CDD"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Satellite</w:t>
            </w:r>
          </w:p>
        </w:tc>
        <w:tc>
          <w:tcPr>
            <w:tcW w:w="2500" w:type="dxa"/>
            <w:tcBorders>
              <w:bottom w:val="single" w:sz="4" w:space="0" w:color="auto"/>
            </w:tcBorders>
            <w:shd w:val="clear" w:color="auto" w:fill="F2F2F2" w:themeFill="background1" w:themeFillShade="F2"/>
            <w:tcMar>
              <w:top w:w="60" w:type="dxa"/>
              <w:left w:w="100" w:type="dxa"/>
              <w:bottom w:w="60" w:type="dxa"/>
              <w:right w:w="100" w:type="dxa"/>
            </w:tcMar>
          </w:tcPr>
          <w:p w14:paraId="25EDE089"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Rare earths / strategic metals</w:t>
            </w:r>
          </w:p>
        </w:tc>
        <w:tc>
          <w:tcPr>
            <w:tcW w:w="1000" w:type="dxa"/>
            <w:tcBorders>
              <w:bottom w:val="single" w:sz="4" w:space="0" w:color="auto"/>
            </w:tcBorders>
            <w:shd w:val="clear" w:color="auto" w:fill="F2F2F2" w:themeFill="background1" w:themeFillShade="F2"/>
            <w:tcMar>
              <w:top w:w="60" w:type="dxa"/>
              <w:left w:w="100" w:type="dxa"/>
              <w:bottom w:w="60" w:type="dxa"/>
              <w:right w:w="100" w:type="dxa"/>
            </w:tcMar>
          </w:tcPr>
          <w:p w14:paraId="31CBAEBA" w14:textId="77777777" w:rsidR="005C4BC6" w:rsidRPr="006803C7" w:rsidRDefault="00000000">
            <w:pPr>
              <w:jc w:val="center"/>
              <w:rPr>
                <w:rFonts w:ascii="Helvetica" w:hAnsi="Helvetica" w:cs="Bangla Sangam MN"/>
                <w:color w:val="000000" w:themeColor="text1"/>
              </w:rPr>
            </w:pPr>
            <w:r>
              <w:rPr>
                <w:rFonts w:ascii="Helvetica" w:hAnsi="Helvetica" w:cs="Bangla Sangam MN"/>
                <w:b/>
                <w:bCs/>
                <w:color w:val="000000" w:themeColor="text1"/>
                <w:sz w:val="16"/>
                <w:szCs w:val="16"/>
              </w:rPr>
              <w:t>3%</w:t>
            </w:r>
          </w:p>
        </w:tc>
        <w:tc>
          <w:tcPr>
            <w:tcW w:w="4560" w:type="dxa"/>
            <w:tcBorders>
              <w:bottom w:val="single" w:sz="4" w:space="0" w:color="auto"/>
            </w:tcBorders>
            <w:shd w:val="clear" w:color="auto" w:fill="F2F2F2" w:themeFill="background1" w:themeFillShade="F2"/>
            <w:tcMar>
              <w:top w:w="60" w:type="dxa"/>
              <w:left w:w="100" w:type="dxa"/>
              <w:bottom w:w="60" w:type="dxa"/>
              <w:right w:w="100" w:type="dxa"/>
            </w:tcMar>
          </w:tcPr>
          <w:p w14:paraId="6DFAEFEE" w14:textId="77777777" w:rsidR="005C4BC6" w:rsidRPr="006803C7" w:rsidRDefault="00000000">
            <w:pPr>
              <w:rPr>
                <w:rFonts w:ascii="Helvetica" w:hAnsi="Helvetica" w:cs="Bangla Sangam MN"/>
                <w:color w:val="000000" w:themeColor="text1"/>
              </w:rPr>
            </w:pPr>
            <w:r>
              <w:rPr>
                <w:rFonts w:ascii="Helvetica" w:hAnsi="Helvetica" w:cs="Bangla Sangam MN"/>
                <w:color w:val="000000" w:themeColor="text1"/>
                <w:sz w:val="16"/>
                <w:szCs w:val="16"/>
              </w:rPr>
              <w:t>Small thematic tilt; China caveat</w:t>
            </w:r>
          </w:p>
        </w:tc>
      </w:tr>
      <w:tr w:rsidR="00310D05" w:rsidRPr="006803C7" w14:paraId="3D98D1F3" w14:textId="77777777" w:rsidTr="00310D05">
        <w:tc>
          <w:tcPr>
            <w:tcW w:w="1300" w:type="dxa"/>
            <w:tcBorders>
              <w:top w:val="single" w:sz="4" w:space="0" w:color="auto"/>
            </w:tcBorders>
            <w:shd w:val="clear" w:color="auto" w:fill="FFFFFF" w:themeFill="background1"/>
            <w:tcMar>
              <w:top w:w="60" w:type="dxa"/>
              <w:left w:w="100" w:type="dxa"/>
              <w:bottom w:w="60" w:type="dxa"/>
              <w:right w:w="100" w:type="dxa"/>
            </w:tcMar>
          </w:tcPr>
          <w:p w14:paraId="22DEF0A0" w14:textId="29A98847" w:rsidR="00310D05" w:rsidRPr="006803C7" w:rsidRDefault="00310D05">
            <w:pPr>
              <w:rPr>
                <w:rFonts w:ascii="Helvetica" w:hAnsi="Helvetica" w:cs="Bangla Sangam MN"/>
                <w:color w:val="000000" w:themeColor="text1"/>
              </w:rPr>
            </w:pPr>
          </w:p>
        </w:tc>
        <w:tc>
          <w:tcPr>
            <w:tcW w:w="2500" w:type="dxa"/>
            <w:tcBorders>
              <w:top w:val="single" w:sz="4" w:space="0" w:color="auto"/>
            </w:tcBorders>
            <w:shd w:val="clear" w:color="auto" w:fill="FFFFFF" w:themeFill="background1"/>
            <w:tcMar>
              <w:top w:w="60" w:type="dxa"/>
              <w:left w:w="100" w:type="dxa"/>
              <w:bottom w:w="60" w:type="dxa"/>
              <w:right w:w="100" w:type="dxa"/>
            </w:tcMar>
          </w:tcPr>
          <w:p w14:paraId="5DC201F1" w14:textId="77777777" w:rsidR="00310D05" w:rsidRPr="006803C7" w:rsidRDefault="00310D05">
            <w:pPr>
              <w:rPr>
                <w:rFonts w:ascii="Helvetica" w:hAnsi="Helvetica" w:cs="Bangla Sangam MN"/>
                <w:color w:val="000000" w:themeColor="text1"/>
              </w:rPr>
            </w:pPr>
          </w:p>
        </w:tc>
        <w:tc>
          <w:tcPr>
            <w:tcW w:w="1000" w:type="dxa"/>
            <w:tcBorders>
              <w:top w:val="single" w:sz="4" w:space="0" w:color="auto"/>
            </w:tcBorders>
            <w:shd w:val="clear" w:color="auto" w:fill="FFFFFF" w:themeFill="background1"/>
            <w:tcMar>
              <w:top w:w="60" w:type="dxa"/>
              <w:left w:w="100" w:type="dxa"/>
              <w:bottom w:w="60" w:type="dxa"/>
              <w:right w:w="100" w:type="dxa"/>
            </w:tcMar>
          </w:tcPr>
          <w:p w14:paraId="76D14FE4" w14:textId="64ABB0C6" w:rsidR="00310D05" w:rsidRPr="006803C7" w:rsidRDefault="00310D05">
            <w:pPr>
              <w:jc w:val="center"/>
              <w:rPr>
                <w:rFonts w:ascii="Helvetica" w:hAnsi="Helvetica" w:cs="Bangla Sangam MN"/>
                <w:color w:val="000000" w:themeColor="text1"/>
              </w:rPr>
            </w:pPr>
          </w:p>
        </w:tc>
        <w:tc>
          <w:tcPr>
            <w:tcW w:w="4560" w:type="dxa"/>
            <w:tcBorders>
              <w:top w:val="single" w:sz="4" w:space="0" w:color="auto"/>
            </w:tcBorders>
            <w:shd w:val="clear" w:color="auto" w:fill="FFFFFF" w:themeFill="background1"/>
            <w:tcMar>
              <w:top w:w="60" w:type="dxa"/>
              <w:left w:w="100" w:type="dxa"/>
              <w:bottom w:w="60" w:type="dxa"/>
              <w:right w:w="100" w:type="dxa"/>
            </w:tcMar>
          </w:tcPr>
          <w:p w14:paraId="56F2D9C2" w14:textId="77777777" w:rsidR="00310D05" w:rsidRPr="006803C7" w:rsidRDefault="00310D05">
            <w:pPr>
              <w:rPr>
                <w:rFonts w:ascii="Helvetica" w:hAnsi="Helvetica" w:cs="Bangla Sangam MN"/>
                <w:color w:val="000000" w:themeColor="text1"/>
              </w:rPr>
            </w:pPr>
          </w:p>
        </w:tc>
      </w:tr>
    </w:tbl>
    <w:p w14:paraId="2ABB3564" w14:textId="4D0D6057" w:rsidR="005C4BC6" w:rsidRPr="00532F88" w:rsidRDefault="005C4BC6" w:rsidP="00310D05">
      <w:pPr>
        <w:spacing w:before="60" w:after="20"/>
        <w:rPr>
          <w:rFonts w:ascii="Helvetica" w:hAnsi="Helvetica" w:cs="Bangla Sangam MN"/>
        </w:rPr>
      </w:pPr>
    </w:p>
    <w:p w14:paraId="4192563B" w14:textId="77777777" w:rsidR="006803C7" w:rsidRPr="006803C7" w:rsidRDefault="006803C7" w:rsidP="006803C7">
      <w:pPr>
        <w:spacing w:before="60" w:after="20"/>
        <w:rPr>
          <w:rFonts w:ascii="Helvetica" w:hAnsi="Helvetica" w:cs="Bangla Sangam MN"/>
        </w:rPr>
      </w:pPr>
    </w:p>
    <w:p w14:paraId="50FA62E5" w14:textId="2602F98A" w:rsidR="006803C7" w:rsidRDefault="006803C7" w:rsidP="006803C7">
      <w:pPr>
        <w:spacing w:before="60" w:after="20"/>
        <w:rPr>
          <w:rFonts w:ascii="Helvetica" w:hAnsi="Helvetica" w:cs="Bangla Sangam MN"/>
        </w:rPr>
      </w:pPr>
      <w:r>
        <w:rPr>
          <w:rFonts w:ascii="Helvetica" w:hAnsi="Helvetica" w:cs="Bangla Sangam MN"/>
          <w:noProof/>
        </w:rPr>
        <w:drawing>
          <wp:inline distT="0" distB="0" distL="0" distR="0" wp14:anchorId="61B13415" wp14:editId="7014E2AB">
            <wp:extent cx="5848350" cy="2979420"/>
            <wp:effectExtent l="0" t="0" r="0" b="5080"/>
            <wp:docPr id="84070239" name="Chart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8BCE664" w14:textId="77777777" w:rsidR="00532F88" w:rsidRPr="006803C7" w:rsidRDefault="00532F88" w:rsidP="006803C7">
      <w:pPr>
        <w:spacing w:before="60" w:after="20"/>
        <w:rPr>
          <w:rFonts w:ascii="Helvetica" w:hAnsi="Helvetica" w:cs="Bangla Sangam MN"/>
        </w:rPr>
      </w:pPr>
    </w:p>
    <w:p w14:paraId="6AFBF632" w14:textId="28A3B2DB" w:rsidR="005C4BC6" w:rsidRPr="006803C7" w:rsidRDefault="005C4BC6">
      <w:pPr>
        <w:spacing w:before="30" w:after="160"/>
        <w:jc w:val="center"/>
        <w:rPr>
          <w:rFonts w:ascii="Helvetica" w:hAnsi="Helvetica" w:cs="Bangla Sangam MN"/>
        </w:rPr>
      </w:pPr>
    </w:p>
    <w:p w14:paraId="5F20D732" w14:textId="77777777" w:rsidR="005C4BC6" w:rsidRPr="006803C7" w:rsidRDefault="00000000" w:rsidP="00310D05">
      <w:pPr>
        <w:spacing w:after="130" w:line="270" w:lineRule="auto"/>
        <w:jc w:val="both"/>
        <w:rPr>
          <w:rFonts w:ascii="Helvetica" w:hAnsi="Helvetica" w:cs="Bangla Sangam MN"/>
        </w:rPr>
      </w:pPr>
      <w:commentRangeStart w:id="7"/>
      <w:r>
        <w:rPr>
          <w:rFonts w:ascii="Helvetica" w:hAnsi="Helvetica" w:cs="Bangla Sangam MN"/>
        </w:rPr>
        <w:t xml:space="preserve">Banks-plus-financials (12% combined) is the largest active bet. Technology and real estate carry no satellite weight, held below benchmark via the core — the funding source for the overweights. Blended dividend yield sits well above a pure-US benchmark; beta is near 1 with a value/defensive tilt.</w:t>
      </w:r>
      <w:commentRangeEnd w:id="7"/>
      <w:r>
        <w:rPr>
          <w:rStyle w:val="CommentReference"/>
        </w:rPr>
        <w:commentReference w:id="7"/>
      </w:r>
    </w:p>
    <w:p w14:paraId="09EC7CBF" w14:textId="77777777" w:rsidR="005C4BC6" w:rsidRPr="00AB77DF" w:rsidRDefault="00000000">
      <w:pPr>
        <w:spacing w:before="70" w:after="130"/>
        <w:jc w:val="center"/>
        <w:rPr>
          <w:rFonts w:ascii="Helvetica" w:hAnsi="Helvetica" w:cs="Bangla Sangam MN"/>
          <w:lang w:val="de-DE"/>
        </w:rPr>
      </w:pPr>
      <w:r>
        <w:rPr>
          <w:rFonts w:ascii="Helvetica" w:hAnsi="Helvetica" w:cs="Bangla Sangam MN"/>
          <w:i/>
          <w:iCs/>
          <w:color w:val="333333"/>
          <w:sz w:val="24"/>
          <w:szCs w:val="24"/>
          <w:lang w:val="de-DE"/>
        </w:rPr>
        <w:t>E[R</w:t>
      </w:r>
      <w:r>
        <w:rPr>
          <w:rFonts w:ascii="Segoe UI Symbol" w:hAnsi="Segoe UI Symbol" w:cs="Segoe UI Symbol"/>
          <w:i/>
          <w:iCs/>
          <w:color w:val="333333"/>
          <w:sz w:val="24"/>
          <w:szCs w:val="24"/>
          <w:lang w:val="de-DE"/>
        </w:rPr>
        <w:t>ₚ</w:t>
      </w:r>
      <w:r>
        <w:rPr>
          <w:rFonts w:ascii="Helvetica" w:hAnsi="Helvetica" w:cs="Bangla Sangam MN"/>
          <w:i/>
          <w:iCs/>
          <w:color w:val="333333"/>
          <w:sz w:val="24"/>
          <w:szCs w:val="24"/>
          <w:lang w:val="de-DE"/>
        </w:rPr>
        <w:t xml:space="preserve">] = </w:t>
      </w:r>
      <w:r>
        <w:rPr>
          <w:rFonts w:ascii="Helvetica" w:hAnsi="Helvetica" w:cs="Cambria"/>
          <w:i/>
          <w:iCs/>
          <w:color w:val="333333"/>
          <w:sz w:val="24"/>
          <w:szCs w:val="24"/>
        </w:rPr>
        <w:t>Σ</w:t>
      </w:r>
      <w:r>
        <w:rPr>
          <w:rFonts w:ascii="Helvetica" w:hAnsi="Helvetica" w:cs="Bangla Sangam MN"/>
          <w:i/>
          <w:iCs/>
          <w:color w:val="333333"/>
          <w:sz w:val="24"/>
          <w:szCs w:val="24"/>
          <w:lang w:val="de-DE"/>
        </w:rPr>
        <w:t xml:space="preserve"> w</w:t>
      </w:r>
      <w:r>
        <w:rPr>
          <w:rFonts w:ascii="Helvetica" w:hAnsi="Helvetica" w:cs="Times New Roman"/>
          <w:i/>
          <w:iCs/>
          <w:color w:val="333333"/>
          <w:sz w:val="24"/>
          <w:szCs w:val="24"/>
        </w:rPr>
        <w:t>ᵢ</w:t>
      </w:r>
      <w:r>
        <w:rPr>
          <w:rFonts w:ascii="Helvetica" w:hAnsi="Helvetica" w:cs="Bangla Sangam MN"/>
          <w:i/>
          <w:iCs/>
          <w:color w:val="333333"/>
          <w:sz w:val="24"/>
          <w:szCs w:val="24"/>
          <w:lang w:val="de-DE"/>
        </w:rPr>
        <w:t xml:space="preserve"> </w:t>
      </w:r>
      <w:r>
        <w:rPr>
          <w:rFonts w:ascii="Helvetica" w:hAnsi="Helvetica" w:cs="Cambria"/>
          <w:i/>
          <w:iCs/>
          <w:color w:val="333333"/>
          <w:sz w:val="24"/>
          <w:szCs w:val="24"/>
          <w:lang w:val="de-DE"/>
        </w:rPr>
        <w:t>·</w:t>
      </w:r>
      <w:r>
        <w:rPr>
          <w:rFonts w:ascii="Helvetica" w:hAnsi="Helvetica" w:cs="Bangla Sangam MN"/>
          <w:i/>
          <w:iCs/>
          <w:color w:val="333333"/>
          <w:sz w:val="24"/>
          <w:szCs w:val="24"/>
          <w:lang w:val="de-DE"/>
        </w:rPr>
        <w:t xml:space="preserve"> E[R</w:t>
      </w:r>
      <w:r>
        <w:rPr>
          <w:rFonts w:ascii="Helvetica" w:hAnsi="Helvetica" w:cs="Times New Roman"/>
          <w:i/>
          <w:iCs/>
          <w:color w:val="333333"/>
          <w:sz w:val="24"/>
          <w:szCs w:val="24"/>
        </w:rPr>
        <w:t>ᵢ</w:t>
      </w:r>
      <w:r>
        <w:rPr>
          <w:rFonts w:ascii="Helvetica" w:hAnsi="Helvetica" w:cs="Bangla Sangam MN"/>
          <w:i/>
          <w:iCs/>
          <w:color w:val="333333"/>
          <w:sz w:val="24"/>
          <w:szCs w:val="24"/>
          <w:lang w:val="de-DE"/>
        </w:rPr>
        <w:t xml:space="preserve">] ,   with  </w:t>
      </w:r>
      <w:r>
        <w:rPr>
          <w:rFonts w:ascii="Helvetica" w:hAnsi="Helvetica" w:cs="Cambria"/>
          <w:i/>
          <w:iCs/>
          <w:color w:val="333333"/>
          <w:sz w:val="24"/>
          <w:szCs w:val="24"/>
        </w:rPr>
        <w:t>Σ</w:t>
      </w:r>
      <w:r>
        <w:rPr>
          <w:rFonts w:ascii="Helvetica" w:hAnsi="Helvetica" w:cs="Bangla Sangam MN"/>
          <w:i/>
          <w:iCs/>
          <w:color w:val="333333"/>
          <w:sz w:val="24"/>
          <w:szCs w:val="24"/>
          <w:lang w:val="de-DE"/>
        </w:rPr>
        <w:t xml:space="preserve"> w</w:t>
      </w:r>
      <w:r>
        <w:rPr>
          <w:rFonts w:ascii="Helvetica" w:hAnsi="Helvetica" w:cs="Times New Roman"/>
          <w:i/>
          <w:iCs/>
          <w:color w:val="333333"/>
          <w:sz w:val="24"/>
          <w:szCs w:val="24"/>
        </w:rPr>
        <w:t>ᵢ</w:t>
      </w:r>
      <w:r>
        <w:rPr>
          <w:rFonts w:ascii="Helvetica" w:hAnsi="Helvetica" w:cs="Bangla Sangam MN"/>
          <w:i/>
          <w:iCs/>
          <w:color w:val="333333"/>
          <w:sz w:val="24"/>
          <w:szCs w:val="24"/>
          <w:lang w:val="de-DE"/>
        </w:rPr>
        <w:t xml:space="preserve"> = 1</w:t>
      </w:r>
    </w:p>
    <w:p w14:paraId="507A6E39" w14:textId="77777777" w:rsidR="005C4BC6" w:rsidRPr="00AB77DF" w:rsidRDefault="00000000">
      <w:pPr>
        <w:rPr>
          <w:rFonts w:ascii="Helvetica" w:hAnsi="Helvetica" w:cs="Bangla Sangam MN"/>
          <w:lang w:val="de-DE"/>
        </w:rPr>
      </w:pPr>
      <w:r>
        <w:rPr>
          <w:rFonts w:ascii="Helvetica" w:hAnsi="Helvetica" w:cs="Bangla Sangam MN"/>
          <w:lang w:val="de-DE"/>
        </w:rPr>
        <w:br w:type="page"/>
      </w:r>
    </w:p>
    <w:p w14:paraId="03E35B73"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7. Instrument List (IBKR-Deployable UCITS Vehicles)</w:t>
      </w:r>
    </w:p>
    <w:p w14:paraId="4437FCFB" w14:textId="77777777" w:rsidR="005C4BC6" w:rsidRDefault="00000000" w:rsidP="00310D05">
      <w:pPr>
        <w:spacing w:after="130" w:line="270" w:lineRule="auto"/>
        <w:jc w:val="both"/>
        <w:rPr>
          <w:rFonts w:ascii="Helvetica" w:hAnsi="Helvetica" w:cs="Bangla Sangam MN"/>
        </w:rPr>
      </w:pPr>
      <w:r>
        <w:rPr>
          <w:rFonts w:ascii="Helvetica" w:hAnsi="Helvetica" w:cs="Bangla Sangam MN"/>
          <w:b/>
          <w:bCs/>
        </w:rPr>
        <w:t xml:space="preserve">Critical constraint: </w:t>
      </w:r>
      <w:r>
        <w:rPr>
          <w:rFonts w:ascii="Helvetica" w:hAnsi="Helvetica" w:cs="Bangla Sangam MN"/>
        </w:rPr>
        <w:t>under EU PRIIPs/KID rules, US-domiciled ETFs (XLE, XLK, ITA, REMX-US) are generally not purchasable by EU-resident clients on Interactive Brokers. The list uses UCITS equivalents. “Verified” rows were checked against fund-provider/exchange data; “confirm” rows exist but need exact ISIN/listing confirmed in IBKR on deployment day.</w:t>
      </w:r>
    </w:p>
    <w:p w14:paraId="4A1C3A3C" w14:textId="77777777" w:rsidR="00411601" w:rsidRPr="006803C7" w:rsidRDefault="00411601">
      <w:pPr>
        <w:spacing w:after="130" w:line="270" w:lineRule="auto"/>
        <w:rPr>
          <w:rFonts w:ascii="Helvetica" w:hAnsi="Helvetica" w:cs="Bangla Sangam MN"/>
        </w:rPr>
      </w:pPr>
    </w:p>
    <w:tbl>
      <w:tblPr>
        <w:tblW w:w="9360" w:type="dxa"/>
        <w:tblCellMar>
          <w:left w:w="10" w:type="dxa"/>
          <w:right w:w="10" w:type="dxa"/>
        </w:tblCellMar>
        <w:tblLook w:val="04A0" w:firstRow="1" w:lastRow="0" w:firstColumn="1" w:lastColumn="0" w:noHBand="0" w:noVBand="1"/>
      </w:tblPr>
      <w:tblGrid>
        <w:gridCol w:w="1300"/>
        <w:gridCol w:w="3060"/>
        <w:gridCol w:w="1000"/>
        <w:gridCol w:w="2000"/>
        <w:gridCol w:w="800"/>
        <w:gridCol w:w="1200"/>
      </w:tblGrid>
      <w:tr w:rsidR="005C4BC6" w:rsidRPr="006803C7" w14:paraId="47739C0C" w14:textId="77777777" w:rsidTr="00411601">
        <w:trPr>
          <w:tblHeader/>
        </w:trPr>
        <w:tc>
          <w:tcPr>
            <w:tcW w:w="1300" w:type="dxa"/>
            <w:shd w:val="clear" w:color="auto" w:fill="212D85"/>
            <w:tcMar>
              <w:top w:w="60" w:type="dxa"/>
              <w:left w:w="100" w:type="dxa"/>
              <w:bottom w:w="60" w:type="dxa"/>
              <w:right w:w="100" w:type="dxa"/>
            </w:tcMar>
          </w:tcPr>
          <w:p w14:paraId="32F0F77C" w14:textId="77777777" w:rsidR="005C4BC6" w:rsidRPr="006803C7" w:rsidRDefault="00000000">
            <w:pPr>
              <w:rPr>
                <w:rFonts w:ascii="Helvetica" w:hAnsi="Helvetica" w:cs="Bangla Sangam MN"/>
              </w:rPr>
            </w:pPr>
            <w:r>
              <w:rPr>
                <w:rFonts w:ascii="Helvetica" w:hAnsi="Helvetica" w:cs="Bangla Sangam MN"/>
                <w:b/>
                <w:bCs/>
                <w:color w:val="FFFFFF"/>
                <w:sz w:val="16"/>
                <w:szCs w:val="16"/>
              </w:rPr>
              <w:t>Sleeve</w:t>
            </w:r>
          </w:p>
        </w:tc>
        <w:tc>
          <w:tcPr>
            <w:tcW w:w="3060" w:type="dxa"/>
            <w:shd w:val="clear" w:color="auto" w:fill="212D85"/>
            <w:tcMar>
              <w:top w:w="60" w:type="dxa"/>
              <w:left w:w="100" w:type="dxa"/>
              <w:bottom w:w="60" w:type="dxa"/>
              <w:right w:w="100" w:type="dxa"/>
            </w:tcMar>
          </w:tcPr>
          <w:p w14:paraId="615322C4" w14:textId="77777777" w:rsidR="005C4BC6" w:rsidRPr="006803C7" w:rsidRDefault="00000000">
            <w:pPr>
              <w:rPr>
                <w:rFonts w:ascii="Helvetica" w:hAnsi="Helvetica" w:cs="Bangla Sangam MN"/>
              </w:rPr>
            </w:pPr>
            <w:r>
              <w:rPr>
                <w:rFonts w:ascii="Helvetica" w:hAnsi="Helvetica" w:cs="Bangla Sangam MN"/>
                <w:b/>
                <w:bCs/>
                <w:color w:val="FFFFFF"/>
                <w:sz w:val="16"/>
                <w:szCs w:val="16"/>
              </w:rPr>
              <w:t>Fund</w:t>
            </w:r>
          </w:p>
        </w:tc>
        <w:tc>
          <w:tcPr>
            <w:tcW w:w="1000" w:type="dxa"/>
            <w:shd w:val="clear" w:color="auto" w:fill="212D85"/>
            <w:tcMar>
              <w:top w:w="60" w:type="dxa"/>
              <w:left w:w="100" w:type="dxa"/>
              <w:bottom w:w="60" w:type="dxa"/>
              <w:right w:w="100" w:type="dxa"/>
            </w:tcMar>
          </w:tcPr>
          <w:p w14:paraId="4D69A76C" w14:textId="77777777" w:rsidR="005C4BC6" w:rsidRPr="006803C7" w:rsidRDefault="00000000">
            <w:pPr>
              <w:rPr>
                <w:rFonts w:ascii="Helvetica" w:hAnsi="Helvetica" w:cs="Bangla Sangam MN"/>
              </w:rPr>
            </w:pPr>
            <w:r>
              <w:rPr>
                <w:rFonts w:ascii="Helvetica" w:hAnsi="Helvetica" w:cs="Bangla Sangam MN"/>
                <w:b/>
                <w:bCs/>
                <w:color w:val="FFFFFF"/>
                <w:sz w:val="16"/>
                <w:szCs w:val="16"/>
              </w:rPr>
              <w:t>Ticker</w:t>
            </w:r>
          </w:p>
        </w:tc>
        <w:tc>
          <w:tcPr>
            <w:tcW w:w="2000" w:type="dxa"/>
            <w:shd w:val="clear" w:color="auto" w:fill="212D85"/>
            <w:tcMar>
              <w:top w:w="60" w:type="dxa"/>
              <w:left w:w="100" w:type="dxa"/>
              <w:bottom w:w="60" w:type="dxa"/>
              <w:right w:w="100" w:type="dxa"/>
            </w:tcMar>
          </w:tcPr>
          <w:p w14:paraId="6948BB7D" w14:textId="77777777" w:rsidR="005C4BC6" w:rsidRPr="006803C7" w:rsidRDefault="00000000">
            <w:pPr>
              <w:rPr>
                <w:rFonts w:ascii="Helvetica" w:hAnsi="Helvetica" w:cs="Bangla Sangam MN"/>
              </w:rPr>
            </w:pPr>
            <w:r>
              <w:rPr>
                <w:rFonts w:ascii="Helvetica" w:hAnsi="Helvetica" w:cs="Bangla Sangam MN"/>
                <w:b/>
                <w:bCs/>
                <w:color w:val="FFFFFF"/>
                <w:sz w:val="16"/>
                <w:szCs w:val="16"/>
              </w:rPr>
              <w:t>ISIN</w:t>
            </w:r>
          </w:p>
        </w:tc>
        <w:tc>
          <w:tcPr>
            <w:tcW w:w="800" w:type="dxa"/>
            <w:shd w:val="clear" w:color="auto" w:fill="212D85"/>
            <w:tcMar>
              <w:top w:w="60" w:type="dxa"/>
              <w:left w:w="100" w:type="dxa"/>
              <w:bottom w:w="60" w:type="dxa"/>
              <w:right w:w="100" w:type="dxa"/>
            </w:tcMar>
          </w:tcPr>
          <w:p w14:paraId="264DA1C6" w14:textId="77777777" w:rsidR="005C4BC6" w:rsidRPr="006803C7" w:rsidRDefault="00000000">
            <w:pPr>
              <w:rPr>
                <w:rFonts w:ascii="Helvetica" w:hAnsi="Helvetica" w:cs="Bangla Sangam MN"/>
              </w:rPr>
            </w:pPr>
            <w:r>
              <w:rPr>
                <w:rFonts w:ascii="Helvetica" w:hAnsi="Helvetica" w:cs="Bangla Sangam MN"/>
                <w:b/>
                <w:bCs/>
                <w:color w:val="FFFFFF"/>
                <w:sz w:val="16"/>
                <w:szCs w:val="16"/>
              </w:rPr>
              <w:t>TER</w:t>
            </w:r>
          </w:p>
        </w:tc>
        <w:tc>
          <w:tcPr>
            <w:tcW w:w="1200" w:type="dxa"/>
            <w:shd w:val="clear" w:color="auto" w:fill="212D85"/>
            <w:tcMar>
              <w:top w:w="60" w:type="dxa"/>
              <w:left w:w="100" w:type="dxa"/>
              <w:bottom w:w="60" w:type="dxa"/>
              <w:right w:w="100" w:type="dxa"/>
            </w:tcMar>
          </w:tcPr>
          <w:p w14:paraId="0B43E9F9" w14:textId="77777777" w:rsidR="005C4BC6" w:rsidRPr="006803C7" w:rsidRDefault="00000000">
            <w:pPr>
              <w:rPr>
                <w:rFonts w:ascii="Helvetica" w:hAnsi="Helvetica" w:cs="Bangla Sangam MN"/>
              </w:rPr>
            </w:pPr>
            <w:r>
              <w:rPr>
                <w:rFonts w:ascii="Helvetica" w:hAnsi="Helvetica" w:cs="Bangla Sangam MN"/>
                <w:b/>
                <w:bCs/>
                <w:color w:val="FFFFFF"/>
                <w:sz w:val="16"/>
                <w:szCs w:val="16"/>
              </w:rPr>
              <w:t>Status</w:t>
            </w:r>
          </w:p>
        </w:tc>
      </w:tr>
      <w:tr w:rsidR="005C4BC6" w:rsidRPr="006803C7" w14:paraId="37869B3D" w14:textId="77777777" w:rsidTr="00411601">
        <w:tc>
          <w:tcPr>
            <w:tcW w:w="1300" w:type="dxa"/>
            <w:shd w:val="clear" w:color="auto" w:fill="F2F2F2" w:themeFill="background1" w:themeFillShade="F2"/>
            <w:tcMar>
              <w:top w:w="60" w:type="dxa"/>
              <w:left w:w="100" w:type="dxa"/>
              <w:bottom w:w="60" w:type="dxa"/>
              <w:right w:w="100" w:type="dxa"/>
            </w:tcMar>
          </w:tcPr>
          <w:p w14:paraId="393640BE" w14:textId="77777777" w:rsidR="005C4BC6" w:rsidRPr="006803C7" w:rsidRDefault="00000000" w:rsidP="00411601">
            <w:pPr>
              <w:rPr>
                <w:rFonts w:ascii="Helvetica" w:hAnsi="Helvetica" w:cs="Bangla Sangam MN"/>
              </w:rPr>
            </w:pPr>
            <w:r>
              <w:rPr>
                <w:rFonts w:ascii="Helvetica" w:hAnsi="Helvetica" w:cs="Bangla Sangam MN"/>
                <w:sz w:val="16"/>
                <w:szCs w:val="16"/>
              </w:rPr>
              <w:t>US core</w:t>
            </w:r>
          </w:p>
        </w:tc>
        <w:tc>
          <w:tcPr>
            <w:tcW w:w="3060" w:type="dxa"/>
            <w:shd w:val="clear" w:color="auto" w:fill="F2F2F2" w:themeFill="background1" w:themeFillShade="F2"/>
            <w:tcMar>
              <w:top w:w="60" w:type="dxa"/>
              <w:left w:w="100" w:type="dxa"/>
              <w:bottom w:w="60" w:type="dxa"/>
              <w:right w:w="100" w:type="dxa"/>
            </w:tcMar>
          </w:tcPr>
          <w:p w14:paraId="715E7E54" w14:textId="77777777" w:rsidR="005C4BC6" w:rsidRPr="006803C7" w:rsidRDefault="00000000" w:rsidP="00411601">
            <w:pPr>
              <w:rPr>
                <w:rFonts w:ascii="Helvetica" w:hAnsi="Helvetica" w:cs="Bangla Sangam MN"/>
              </w:rPr>
            </w:pPr>
            <w:r>
              <w:rPr>
                <w:rFonts w:ascii="Helvetica" w:hAnsi="Helvetica" w:cs="Bangla Sangam MN"/>
                <w:sz w:val="16"/>
                <w:szCs w:val="16"/>
              </w:rPr>
              <w:t>iShares Core S&amp;P 500 UCITS ETF (Acc)</w:t>
            </w:r>
          </w:p>
        </w:tc>
        <w:tc>
          <w:tcPr>
            <w:tcW w:w="1000" w:type="dxa"/>
            <w:shd w:val="clear" w:color="auto" w:fill="F2F2F2" w:themeFill="background1" w:themeFillShade="F2"/>
            <w:tcMar>
              <w:top w:w="60" w:type="dxa"/>
              <w:left w:w="100" w:type="dxa"/>
              <w:bottom w:w="60" w:type="dxa"/>
              <w:right w:w="100" w:type="dxa"/>
            </w:tcMar>
          </w:tcPr>
          <w:p w14:paraId="51215D64" w14:textId="77777777" w:rsidR="005C4BC6" w:rsidRPr="006803C7" w:rsidRDefault="00000000" w:rsidP="00411601">
            <w:pPr>
              <w:rPr>
                <w:rFonts w:ascii="Helvetica" w:hAnsi="Helvetica" w:cs="Bangla Sangam MN"/>
              </w:rPr>
            </w:pPr>
            <w:r>
              <w:rPr>
                <w:rFonts w:ascii="Helvetica" w:hAnsi="Helvetica" w:cs="Bangla Sangam MN"/>
                <w:sz w:val="16"/>
                <w:szCs w:val="16"/>
              </w:rPr>
              <w:t>CSPX</w:t>
            </w:r>
          </w:p>
        </w:tc>
        <w:tc>
          <w:tcPr>
            <w:tcW w:w="2000" w:type="dxa"/>
            <w:shd w:val="clear" w:color="auto" w:fill="F2F2F2" w:themeFill="background1" w:themeFillShade="F2"/>
            <w:tcMar>
              <w:top w:w="60" w:type="dxa"/>
              <w:left w:w="100" w:type="dxa"/>
              <w:bottom w:w="60" w:type="dxa"/>
              <w:right w:w="100" w:type="dxa"/>
            </w:tcMar>
          </w:tcPr>
          <w:p w14:paraId="0808AF5B" w14:textId="77777777" w:rsidR="005C4BC6" w:rsidRPr="006803C7" w:rsidRDefault="00000000" w:rsidP="00411601">
            <w:pPr>
              <w:rPr>
                <w:rFonts w:ascii="Helvetica" w:hAnsi="Helvetica" w:cs="Bangla Sangam MN"/>
              </w:rPr>
            </w:pPr>
            <w:r>
              <w:rPr>
                <w:rFonts w:ascii="Helvetica" w:hAnsi="Helvetica" w:cs="Bangla Sangam MN"/>
                <w:sz w:val="16"/>
                <w:szCs w:val="16"/>
              </w:rPr>
              <w:t>IE00B5BMR087</w:t>
            </w:r>
          </w:p>
        </w:tc>
        <w:tc>
          <w:tcPr>
            <w:tcW w:w="800" w:type="dxa"/>
            <w:shd w:val="clear" w:color="auto" w:fill="F2F2F2" w:themeFill="background1" w:themeFillShade="F2"/>
            <w:tcMar>
              <w:top w:w="60" w:type="dxa"/>
              <w:left w:w="100" w:type="dxa"/>
              <w:bottom w:w="60" w:type="dxa"/>
              <w:right w:w="100" w:type="dxa"/>
            </w:tcMar>
          </w:tcPr>
          <w:p w14:paraId="503BEA5C" w14:textId="77777777" w:rsidR="005C4BC6" w:rsidRPr="006803C7" w:rsidRDefault="00000000" w:rsidP="00411601">
            <w:pPr>
              <w:rPr>
                <w:rFonts w:ascii="Helvetica" w:hAnsi="Helvetica" w:cs="Bangla Sangam MN"/>
              </w:rPr>
            </w:pPr>
            <w:r>
              <w:rPr>
                <w:rFonts w:ascii="Helvetica" w:hAnsi="Helvetica" w:cs="Bangla Sangam MN"/>
                <w:sz w:val="16"/>
                <w:szCs w:val="16"/>
              </w:rPr>
              <w:t>0.07%</w:t>
            </w:r>
          </w:p>
        </w:tc>
        <w:tc>
          <w:tcPr>
            <w:tcW w:w="1200" w:type="dxa"/>
            <w:shd w:val="clear" w:color="auto" w:fill="F2F2F2" w:themeFill="background1" w:themeFillShade="F2"/>
            <w:tcMar>
              <w:top w:w="60" w:type="dxa"/>
              <w:left w:w="100" w:type="dxa"/>
              <w:bottom w:w="60" w:type="dxa"/>
              <w:right w:w="100" w:type="dxa"/>
            </w:tcMar>
          </w:tcPr>
          <w:p w14:paraId="259A9D05" w14:textId="77777777" w:rsidR="005C4BC6" w:rsidRPr="006803C7" w:rsidRDefault="00000000" w:rsidP="00411601">
            <w:pPr>
              <w:rPr>
                <w:rFonts w:ascii="Helvetica" w:hAnsi="Helvetica" w:cs="Bangla Sangam MN"/>
              </w:rPr>
            </w:pPr>
            <w:r>
              <w:rPr>
                <w:rFonts w:ascii="Helvetica" w:hAnsi="Helvetica" w:cs="Bangla Sangam MN"/>
                <w:color w:val="1E7145"/>
                <w:sz w:val="16"/>
                <w:szCs w:val="16"/>
              </w:rPr>
              <w:t>verified</w:t>
            </w:r>
          </w:p>
        </w:tc>
      </w:tr>
      <w:tr w:rsidR="005C4BC6" w:rsidRPr="006803C7" w14:paraId="29205DAC" w14:textId="77777777" w:rsidTr="00411601">
        <w:tc>
          <w:tcPr>
            <w:tcW w:w="1300" w:type="dxa"/>
            <w:tcMar>
              <w:top w:w="60" w:type="dxa"/>
              <w:left w:w="100" w:type="dxa"/>
              <w:bottom w:w="60" w:type="dxa"/>
              <w:right w:w="100" w:type="dxa"/>
            </w:tcMar>
          </w:tcPr>
          <w:p w14:paraId="41FE4582" w14:textId="77777777" w:rsidR="005C4BC6" w:rsidRPr="006803C7" w:rsidRDefault="00000000" w:rsidP="00411601">
            <w:pPr>
              <w:rPr>
                <w:rFonts w:ascii="Helvetica" w:hAnsi="Helvetica" w:cs="Bangla Sangam MN"/>
              </w:rPr>
            </w:pPr>
            <w:r>
              <w:rPr>
                <w:rFonts w:ascii="Helvetica" w:hAnsi="Helvetica" w:cs="Bangla Sangam MN"/>
                <w:sz w:val="16"/>
                <w:szCs w:val="16"/>
              </w:rPr>
              <w:t>Europe core</w:t>
            </w:r>
          </w:p>
        </w:tc>
        <w:tc>
          <w:tcPr>
            <w:tcW w:w="3060" w:type="dxa"/>
            <w:tcMar>
              <w:top w:w="60" w:type="dxa"/>
              <w:left w:w="100" w:type="dxa"/>
              <w:bottom w:w="60" w:type="dxa"/>
              <w:right w:w="100" w:type="dxa"/>
            </w:tcMar>
          </w:tcPr>
          <w:p w14:paraId="52BD579B" w14:textId="77777777" w:rsidR="005C4BC6" w:rsidRPr="006803C7" w:rsidRDefault="00000000" w:rsidP="00411601">
            <w:pPr>
              <w:rPr>
                <w:rFonts w:ascii="Helvetica" w:hAnsi="Helvetica" w:cs="Bangla Sangam MN"/>
              </w:rPr>
            </w:pPr>
            <w:r>
              <w:rPr>
                <w:rFonts w:ascii="Helvetica" w:hAnsi="Helvetica" w:cs="Bangla Sangam MN"/>
                <w:sz w:val="16"/>
                <w:szCs w:val="16"/>
              </w:rPr>
              <w:t>iShares STOXX Europe 600 UCITS ETF (DE)</w:t>
            </w:r>
          </w:p>
        </w:tc>
        <w:tc>
          <w:tcPr>
            <w:tcW w:w="1000" w:type="dxa"/>
            <w:tcMar>
              <w:top w:w="60" w:type="dxa"/>
              <w:left w:w="100" w:type="dxa"/>
              <w:bottom w:w="60" w:type="dxa"/>
              <w:right w:w="100" w:type="dxa"/>
            </w:tcMar>
          </w:tcPr>
          <w:p w14:paraId="44D6A4CF" w14:textId="77777777" w:rsidR="005C4BC6" w:rsidRPr="006803C7" w:rsidRDefault="00000000" w:rsidP="00411601">
            <w:pPr>
              <w:rPr>
                <w:rFonts w:ascii="Helvetica" w:hAnsi="Helvetica" w:cs="Bangla Sangam MN"/>
              </w:rPr>
            </w:pPr>
            <w:r>
              <w:rPr>
                <w:rFonts w:ascii="Helvetica" w:hAnsi="Helvetica" w:cs="Bangla Sangam MN"/>
                <w:sz w:val="16"/>
                <w:szCs w:val="16"/>
              </w:rPr>
              <w:t>EXSA</w:t>
            </w:r>
          </w:p>
        </w:tc>
        <w:tc>
          <w:tcPr>
            <w:tcW w:w="2000" w:type="dxa"/>
            <w:tcMar>
              <w:top w:w="60" w:type="dxa"/>
              <w:left w:w="100" w:type="dxa"/>
              <w:bottom w:w="60" w:type="dxa"/>
              <w:right w:w="100" w:type="dxa"/>
            </w:tcMar>
          </w:tcPr>
          <w:p w14:paraId="797D6852" w14:textId="77777777" w:rsidR="005C4BC6" w:rsidRPr="006803C7" w:rsidRDefault="00000000" w:rsidP="00411601">
            <w:pPr>
              <w:rPr>
                <w:rFonts w:ascii="Helvetica" w:hAnsi="Helvetica" w:cs="Bangla Sangam MN"/>
              </w:rPr>
            </w:pPr>
            <w:r>
              <w:rPr>
                <w:rFonts w:ascii="Helvetica" w:hAnsi="Helvetica" w:cs="Bangla Sangam MN"/>
                <w:sz w:val="16"/>
                <w:szCs w:val="16"/>
              </w:rPr>
              <w:t>DE0002635307</w:t>
            </w:r>
          </w:p>
        </w:tc>
        <w:tc>
          <w:tcPr>
            <w:tcW w:w="800" w:type="dxa"/>
            <w:tcMar>
              <w:top w:w="60" w:type="dxa"/>
              <w:left w:w="100" w:type="dxa"/>
              <w:bottom w:w="60" w:type="dxa"/>
              <w:right w:w="100" w:type="dxa"/>
            </w:tcMar>
          </w:tcPr>
          <w:p w14:paraId="5B180ACC" w14:textId="77777777" w:rsidR="005C4BC6" w:rsidRPr="006803C7" w:rsidRDefault="00000000" w:rsidP="00411601">
            <w:pPr>
              <w:rPr>
                <w:rFonts w:ascii="Helvetica" w:hAnsi="Helvetica" w:cs="Bangla Sangam MN"/>
              </w:rPr>
            </w:pPr>
            <w:r>
              <w:rPr>
                <w:rFonts w:ascii="Helvetica" w:hAnsi="Helvetica" w:cs="Bangla Sangam MN"/>
                <w:sz w:val="16"/>
                <w:szCs w:val="16"/>
              </w:rPr>
              <w:t>0.20%</w:t>
            </w:r>
          </w:p>
        </w:tc>
        <w:tc>
          <w:tcPr>
            <w:tcW w:w="1200" w:type="dxa"/>
            <w:tcMar>
              <w:top w:w="60" w:type="dxa"/>
              <w:left w:w="100" w:type="dxa"/>
              <w:bottom w:w="60" w:type="dxa"/>
              <w:right w:w="100" w:type="dxa"/>
            </w:tcMar>
          </w:tcPr>
          <w:p w14:paraId="44631B6F" w14:textId="77777777" w:rsidR="005C4BC6" w:rsidRPr="006803C7" w:rsidRDefault="00000000" w:rsidP="00411601">
            <w:pPr>
              <w:rPr>
                <w:rFonts w:ascii="Helvetica" w:hAnsi="Helvetica" w:cs="Bangla Sangam MN"/>
              </w:rPr>
            </w:pPr>
            <w:r>
              <w:rPr>
                <w:rFonts w:ascii="Helvetica" w:hAnsi="Helvetica" w:cs="Bangla Sangam MN"/>
                <w:color w:val="1E7145"/>
                <w:sz w:val="16"/>
                <w:szCs w:val="16"/>
              </w:rPr>
              <w:t>verified</w:t>
            </w:r>
          </w:p>
        </w:tc>
      </w:tr>
      <w:tr w:rsidR="005C4BC6" w:rsidRPr="006803C7" w14:paraId="6BE83152" w14:textId="77777777" w:rsidTr="00411601">
        <w:tc>
          <w:tcPr>
            <w:tcW w:w="1300" w:type="dxa"/>
            <w:shd w:val="clear" w:color="auto" w:fill="F2F2F2" w:themeFill="background1" w:themeFillShade="F2"/>
            <w:tcMar>
              <w:top w:w="60" w:type="dxa"/>
              <w:left w:w="100" w:type="dxa"/>
              <w:bottom w:w="60" w:type="dxa"/>
              <w:right w:w="100" w:type="dxa"/>
            </w:tcMar>
          </w:tcPr>
          <w:p w14:paraId="59B65BFC" w14:textId="77777777" w:rsidR="005C4BC6" w:rsidRPr="006803C7" w:rsidRDefault="00000000" w:rsidP="00411601">
            <w:pPr>
              <w:rPr>
                <w:rFonts w:ascii="Helvetica" w:hAnsi="Helvetica" w:cs="Bangla Sangam MN"/>
              </w:rPr>
            </w:pPr>
            <w:r>
              <w:rPr>
                <w:rFonts w:ascii="Helvetica" w:hAnsi="Helvetica" w:cs="Bangla Sangam MN"/>
                <w:sz w:val="16"/>
                <w:szCs w:val="16"/>
              </w:rPr>
              <w:t>EU banks</w:t>
            </w:r>
          </w:p>
        </w:tc>
        <w:tc>
          <w:tcPr>
            <w:tcW w:w="3060" w:type="dxa"/>
            <w:shd w:val="clear" w:color="auto" w:fill="F2F2F2" w:themeFill="background1" w:themeFillShade="F2"/>
            <w:tcMar>
              <w:top w:w="60" w:type="dxa"/>
              <w:left w:w="100" w:type="dxa"/>
              <w:bottom w:w="60" w:type="dxa"/>
              <w:right w:w="100" w:type="dxa"/>
            </w:tcMar>
          </w:tcPr>
          <w:p w14:paraId="43F3BDD8" w14:textId="77777777" w:rsidR="005C4BC6" w:rsidRPr="006803C7" w:rsidRDefault="00000000" w:rsidP="00411601">
            <w:pPr>
              <w:rPr>
                <w:rFonts w:ascii="Helvetica" w:hAnsi="Helvetica" w:cs="Bangla Sangam MN"/>
              </w:rPr>
            </w:pPr>
            <w:r>
              <w:rPr>
                <w:rFonts w:ascii="Helvetica" w:hAnsi="Helvetica" w:cs="Bangla Sangam MN"/>
                <w:sz w:val="16"/>
                <w:szCs w:val="16"/>
              </w:rPr>
              <w:t>iShares STOXX Europe 600 Banks UCITS ETF (DE)</w:t>
            </w:r>
          </w:p>
        </w:tc>
        <w:tc>
          <w:tcPr>
            <w:tcW w:w="1000" w:type="dxa"/>
            <w:shd w:val="clear" w:color="auto" w:fill="F2F2F2" w:themeFill="background1" w:themeFillShade="F2"/>
            <w:tcMar>
              <w:top w:w="60" w:type="dxa"/>
              <w:left w:w="100" w:type="dxa"/>
              <w:bottom w:w="60" w:type="dxa"/>
              <w:right w:w="100" w:type="dxa"/>
            </w:tcMar>
          </w:tcPr>
          <w:p w14:paraId="78C6E580" w14:textId="77777777" w:rsidR="005C4BC6" w:rsidRPr="006803C7" w:rsidRDefault="00000000" w:rsidP="00411601">
            <w:pPr>
              <w:rPr>
                <w:rFonts w:ascii="Helvetica" w:hAnsi="Helvetica" w:cs="Bangla Sangam MN"/>
              </w:rPr>
            </w:pPr>
            <w:r>
              <w:rPr>
                <w:rFonts w:ascii="Helvetica" w:hAnsi="Helvetica" w:cs="Bangla Sangam MN"/>
                <w:sz w:val="16"/>
                <w:szCs w:val="16"/>
              </w:rPr>
              <w:t>EXV1</w:t>
            </w:r>
          </w:p>
        </w:tc>
        <w:tc>
          <w:tcPr>
            <w:tcW w:w="2000" w:type="dxa"/>
            <w:shd w:val="clear" w:color="auto" w:fill="F2F2F2" w:themeFill="background1" w:themeFillShade="F2"/>
            <w:tcMar>
              <w:top w:w="60" w:type="dxa"/>
              <w:left w:w="100" w:type="dxa"/>
              <w:bottom w:w="60" w:type="dxa"/>
              <w:right w:w="100" w:type="dxa"/>
            </w:tcMar>
          </w:tcPr>
          <w:p w14:paraId="015F5E22" w14:textId="77777777" w:rsidR="005C4BC6" w:rsidRPr="006803C7" w:rsidRDefault="00000000" w:rsidP="00411601">
            <w:pPr>
              <w:rPr>
                <w:rFonts w:ascii="Helvetica" w:hAnsi="Helvetica" w:cs="Bangla Sangam MN"/>
              </w:rPr>
            </w:pPr>
            <w:r>
              <w:rPr>
                <w:rFonts w:ascii="Helvetica" w:hAnsi="Helvetica" w:cs="Bangla Sangam MN"/>
                <w:sz w:val="16"/>
                <w:szCs w:val="16"/>
              </w:rPr>
              <w:t>DE000A0F5UJ7</w:t>
            </w:r>
          </w:p>
        </w:tc>
        <w:tc>
          <w:tcPr>
            <w:tcW w:w="800" w:type="dxa"/>
            <w:shd w:val="clear" w:color="auto" w:fill="F2F2F2" w:themeFill="background1" w:themeFillShade="F2"/>
            <w:tcMar>
              <w:top w:w="60" w:type="dxa"/>
              <w:left w:w="100" w:type="dxa"/>
              <w:bottom w:w="60" w:type="dxa"/>
              <w:right w:w="100" w:type="dxa"/>
            </w:tcMar>
          </w:tcPr>
          <w:p w14:paraId="42AAF0C7" w14:textId="77777777" w:rsidR="005C4BC6" w:rsidRPr="006803C7" w:rsidRDefault="00000000" w:rsidP="00411601">
            <w:pPr>
              <w:rPr>
                <w:rFonts w:ascii="Helvetica" w:hAnsi="Helvetica" w:cs="Bangla Sangam MN"/>
              </w:rPr>
            </w:pPr>
            <w:r>
              <w:rPr>
                <w:rFonts w:ascii="Helvetica" w:hAnsi="Helvetica" w:cs="Bangla Sangam MN"/>
                <w:sz w:val="16"/>
                <w:szCs w:val="16"/>
              </w:rPr>
              <w:t>0.47%</w:t>
            </w:r>
          </w:p>
        </w:tc>
        <w:tc>
          <w:tcPr>
            <w:tcW w:w="1200" w:type="dxa"/>
            <w:shd w:val="clear" w:color="auto" w:fill="F2F2F2" w:themeFill="background1" w:themeFillShade="F2"/>
            <w:tcMar>
              <w:top w:w="60" w:type="dxa"/>
              <w:left w:w="100" w:type="dxa"/>
              <w:bottom w:w="60" w:type="dxa"/>
              <w:right w:w="100" w:type="dxa"/>
            </w:tcMar>
          </w:tcPr>
          <w:p w14:paraId="32E3E580" w14:textId="77777777" w:rsidR="005C4BC6" w:rsidRPr="006803C7" w:rsidRDefault="00000000" w:rsidP="00411601">
            <w:pPr>
              <w:rPr>
                <w:rFonts w:ascii="Helvetica" w:hAnsi="Helvetica" w:cs="Bangla Sangam MN"/>
              </w:rPr>
            </w:pPr>
            <w:r>
              <w:rPr>
                <w:rFonts w:ascii="Helvetica" w:hAnsi="Helvetica" w:cs="Bangla Sangam MN"/>
                <w:color w:val="1E7145"/>
                <w:sz w:val="16"/>
                <w:szCs w:val="16"/>
              </w:rPr>
              <w:t>verified</w:t>
            </w:r>
          </w:p>
        </w:tc>
      </w:tr>
      <w:tr w:rsidR="005C4BC6" w:rsidRPr="006803C7" w14:paraId="6107B6AD" w14:textId="77777777" w:rsidTr="00411601">
        <w:tc>
          <w:tcPr>
            <w:tcW w:w="1300" w:type="dxa"/>
            <w:tcMar>
              <w:top w:w="60" w:type="dxa"/>
              <w:left w:w="100" w:type="dxa"/>
              <w:bottom w:w="60" w:type="dxa"/>
              <w:right w:w="100" w:type="dxa"/>
            </w:tcMar>
          </w:tcPr>
          <w:p w14:paraId="45B8FE1D" w14:textId="77777777" w:rsidR="005C4BC6" w:rsidRPr="006803C7" w:rsidRDefault="00000000" w:rsidP="00411601">
            <w:pPr>
              <w:rPr>
                <w:rFonts w:ascii="Helvetica" w:hAnsi="Helvetica" w:cs="Bangla Sangam MN"/>
              </w:rPr>
            </w:pPr>
            <w:r>
              <w:rPr>
                <w:rFonts w:ascii="Helvetica" w:hAnsi="Helvetica" w:cs="Bangla Sangam MN"/>
                <w:sz w:val="16"/>
                <w:szCs w:val="16"/>
              </w:rPr>
              <w:t>Defense</w:t>
            </w:r>
          </w:p>
        </w:tc>
        <w:tc>
          <w:tcPr>
            <w:tcW w:w="3060" w:type="dxa"/>
            <w:tcMar>
              <w:top w:w="60" w:type="dxa"/>
              <w:left w:w="100" w:type="dxa"/>
              <w:bottom w:w="60" w:type="dxa"/>
              <w:right w:w="100" w:type="dxa"/>
            </w:tcMar>
          </w:tcPr>
          <w:p w14:paraId="64F98AF4" w14:textId="77777777" w:rsidR="005C4BC6" w:rsidRPr="006803C7" w:rsidRDefault="00000000" w:rsidP="00411601">
            <w:pPr>
              <w:rPr>
                <w:rFonts w:ascii="Helvetica" w:hAnsi="Helvetica" w:cs="Bangla Sangam MN"/>
              </w:rPr>
            </w:pPr>
            <w:r>
              <w:rPr>
                <w:rFonts w:ascii="Helvetica" w:hAnsi="Helvetica" w:cs="Bangla Sangam MN"/>
                <w:sz w:val="16"/>
                <w:szCs w:val="16"/>
              </w:rPr>
              <w:t xml:space="preserve">HANetf Future of Defence UCITS ETF (Acc)</w:t>
            </w:r>
          </w:p>
        </w:tc>
        <w:tc>
          <w:tcPr>
            <w:tcW w:w="1000" w:type="dxa"/>
            <w:tcMar>
              <w:top w:w="60" w:type="dxa"/>
              <w:left w:w="100" w:type="dxa"/>
              <w:bottom w:w="60" w:type="dxa"/>
              <w:right w:w="100" w:type="dxa"/>
            </w:tcMar>
          </w:tcPr>
          <w:p w14:paraId="5454AC79" w14:textId="77777777" w:rsidR="005C4BC6" w:rsidRPr="006803C7" w:rsidRDefault="00000000" w:rsidP="00411601">
            <w:pPr>
              <w:rPr>
                <w:rFonts w:ascii="Helvetica" w:hAnsi="Helvetica" w:cs="Bangla Sangam MN"/>
              </w:rPr>
            </w:pPr>
            <w:r>
              <w:rPr>
                <w:rFonts w:ascii="Helvetica" w:hAnsi="Helvetica" w:cs="Bangla Sangam MN"/>
                <w:sz w:val="16"/>
                <w:szCs w:val="16"/>
              </w:rPr>
              <w:t>NATO</w:t>
            </w:r>
          </w:p>
        </w:tc>
        <w:tc>
          <w:tcPr>
            <w:tcW w:w="2000" w:type="dxa"/>
            <w:tcMar>
              <w:top w:w="60" w:type="dxa"/>
              <w:left w:w="100" w:type="dxa"/>
              <w:bottom w:w="60" w:type="dxa"/>
              <w:right w:w="100" w:type="dxa"/>
            </w:tcMar>
          </w:tcPr>
          <w:p w14:paraId="4F698522" w14:textId="77777777" w:rsidR="005C4BC6" w:rsidRPr="006803C7" w:rsidRDefault="00000000" w:rsidP="00411601">
            <w:pPr>
              <w:rPr>
                <w:rFonts w:ascii="Helvetica" w:hAnsi="Helvetica" w:cs="Bangla Sangam MN"/>
              </w:rPr>
            </w:pPr>
            <w:r>
              <w:rPr>
                <w:rFonts w:ascii="Helvetica" w:hAnsi="Helvetica" w:cs="Bangla Sangam MN"/>
                <w:sz w:val="16"/>
                <w:szCs w:val="16"/>
              </w:rPr>
              <w:t>IE000OJ5TQP4</w:t>
            </w:r>
          </w:p>
        </w:tc>
        <w:tc>
          <w:tcPr>
            <w:tcW w:w="800" w:type="dxa"/>
            <w:tcMar>
              <w:top w:w="60" w:type="dxa"/>
              <w:left w:w="100" w:type="dxa"/>
              <w:bottom w:w="60" w:type="dxa"/>
              <w:right w:w="100" w:type="dxa"/>
            </w:tcMar>
          </w:tcPr>
          <w:p w14:paraId="1E2547C3" w14:textId="77777777" w:rsidR="005C4BC6" w:rsidRPr="006803C7" w:rsidRDefault="00000000" w:rsidP="00411601">
            <w:pPr>
              <w:rPr>
                <w:rFonts w:ascii="Helvetica" w:hAnsi="Helvetica" w:cs="Bangla Sangam MN"/>
              </w:rPr>
            </w:pPr>
            <w:r>
              <w:rPr>
                <w:rFonts w:ascii="Helvetica" w:hAnsi="Helvetica" w:cs="Bangla Sangam MN"/>
                <w:sz w:val="16"/>
                <w:szCs w:val="16"/>
              </w:rPr>
              <w:t>0.49%</w:t>
            </w:r>
          </w:p>
        </w:tc>
        <w:tc>
          <w:tcPr>
            <w:tcW w:w="1200" w:type="dxa"/>
            <w:tcMar>
              <w:top w:w="60" w:type="dxa"/>
              <w:left w:w="100" w:type="dxa"/>
              <w:bottom w:w="60" w:type="dxa"/>
              <w:right w:w="100" w:type="dxa"/>
            </w:tcMar>
          </w:tcPr>
          <w:p w14:paraId="173ED896" w14:textId="77777777" w:rsidR="005C4BC6" w:rsidRPr="006803C7" w:rsidRDefault="00000000" w:rsidP="00411601">
            <w:pPr>
              <w:rPr>
                <w:rFonts w:ascii="Helvetica" w:hAnsi="Helvetica" w:cs="Bangla Sangam MN"/>
              </w:rPr>
            </w:pPr>
            <w:r>
              <w:rPr>
                <w:rFonts w:ascii="Helvetica" w:hAnsi="Helvetica" w:cs="Bangla Sangam MN"/>
                <w:color w:val="1E7145"/>
                <w:sz w:val="16"/>
                <w:szCs w:val="16"/>
              </w:rPr>
              <w:t>verified</w:t>
            </w:r>
          </w:p>
        </w:tc>
      </w:tr>
      <w:tr w:rsidR="005C4BC6" w:rsidRPr="006803C7" w14:paraId="426FF49A" w14:textId="77777777" w:rsidTr="00411601">
        <w:tc>
          <w:tcPr>
            <w:tcW w:w="1300" w:type="dxa"/>
            <w:shd w:val="clear" w:color="auto" w:fill="F2F2F2" w:themeFill="background1" w:themeFillShade="F2"/>
            <w:tcMar>
              <w:top w:w="60" w:type="dxa"/>
              <w:left w:w="100" w:type="dxa"/>
              <w:bottom w:w="60" w:type="dxa"/>
              <w:right w:w="100" w:type="dxa"/>
            </w:tcMar>
          </w:tcPr>
          <w:p w14:paraId="7FF7EFEC" w14:textId="77777777" w:rsidR="005C4BC6" w:rsidRPr="006803C7" w:rsidRDefault="00000000" w:rsidP="00411601">
            <w:pPr>
              <w:rPr>
                <w:rFonts w:ascii="Helvetica" w:hAnsi="Helvetica" w:cs="Bangla Sangam MN"/>
              </w:rPr>
            </w:pPr>
            <w:r>
              <w:rPr>
                <w:rFonts w:ascii="Helvetica" w:hAnsi="Helvetica" w:cs="Bangla Sangam MN"/>
                <w:sz w:val="16"/>
                <w:szCs w:val="16"/>
              </w:rPr>
              <w:t>Rare earths</w:t>
            </w:r>
          </w:p>
        </w:tc>
        <w:tc>
          <w:tcPr>
            <w:tcW w:w="3060" w:type="dxa"/>
            <w:shd w:val="clear" w:color="auto" w:fill="F2F2F2" w:themeFill="background1" w:themeFillShade="F2"/>
            <w:tcMar>
              <w:top w:w="60" w:type="dxa"/>
              <w:left w:w="100" w:type="dxa"/>
              <w:bottom w:w="60" w:type="dxa"/>
              <w:right w:w="100" w:type="dxa"/>
            </w:tcMar>
          </w:tcPr>
          <w:p w14:paraId="65BC3235" w14:textId="77777777" w:rsidR="005C4BC6" w:rsidRPr="006803C7" w:rsidRDefault="00000000" w:rsidP="00411601">
            <w:pPr>
              <w:rPr>
                <w:rFonts w:ascii="Helvetica" w:hAnsi="Helvetica" w:cs="Bangla Sangam MN"/>
              </w:rPr>
            </w:pPr>
            <w:r>
              <w:rPr>
                <w:rFonts w:ascii="Helvetica" w:hAnsi="Helvetica" w:cs="Bangla Sangam MN"/>
                <w:sz w:val="16"/>
                <w:szCs w:val="16"/>
              </w:rPr>
              <w:t>VanEck Rare Earth &amp; Strategic Metals UCITS</w:t>
            </w:r>
          </w:p>
        </w:tc>
        <w:tc>
          <w:tcPr>
            <w:tcW w:w="1000" w:type="dxa"/>
            <w:shd w:val="clear" w:color="auto" w:fill="F2F2F2" w:themeFill="background1" w:themeFillShade="F2"/>
            <w:tcMar>
              <w:top w:w="60" w:type="dxa"/>
              <w:left w:w="100" w:type="dxa"/>
              <w:bottom w:w="60" w:type="dxa"/>
              <w:right w:w="100" w:type="dxa"/>
            </w:tcMar>
          </w:tcPr>
          <w:p w14:paraId="7FDF16A8" w14:textId="77777777" w:rsidR="005C4BC6" w:rsidRPr="006803C7" w:rsidRDefault="00000000" w:rsidP="00411601">
            <w:pPr>
              <w:rPr>
                <w:rFonts w:ascii="Helvetica" w:hAnsi="Helvetica" w:cs="Bangla Sangam MN"/>
              </w:rPr>
            </w:pPr>
            <w:r>
              <w:rPr>
                <w:rFonts w:ascii="Helvetica" w:hAnsi="Helvetica" w:cs="Bangla Sangam MN"/>
                <w:sz w:val="16"/>
                <w:szCs w:val="16"/>
              </w:rPr>
              <w:t>VVMX</w:t>
            </w:r>
          </w:p>
        </w:tc>
        <w:tc>
          <w:tcPr>
            <w:tcW w:w="2000" w:type="dxa"/>
            <w:shd w:val="clear" w:color="auto" w:fill="F2F2F2" w:themeFill="background1" w:themeFillShade="F2"/>
            <w:tcMar>
              <w:top w:w="60" w:type="dxa"/>
              <w:left w:w="100" w:type="dxa"/>
              <w:bottom w:w="60" w:type="dxa"/>
              <w:right w:w="100" w:type="dxa"/>
            </w:tcMar>
          </w:tcPr>
          <w:p w14:paraId="2C753174" w14:textId="77777777" w:rsidR="005C4BC6" w:rsidRPr="006803C7" w:rsidRDefault="00000000" w:rsidP="00411601">
            <w:pPr>
              <w:rPr>
                <w:rFonts w:ascii="Helvetica" w:hAnsi="Helvetica" w:cs="Bangla Sangam MN"/>
              </w:rPr>
            </w:pPr>
            <w:r>
              <w:rPr>
                <w:rFonts w:ascii="Helvetica" w:hAnsi="Helvetica" w:cs="Bangla Sangam MN"/>
                <w:sz w:val="16"/>
                <w:szCs w:val="16"/>
              </w:rPr>
              <w:t>IE0002PG6CA6</w:t>
            </w:r>
          </w:p>
        </w:tc>
        <w:tc>
          <w:tcPr>
            <w:tcW w:w="800" w:type="dxa"/>
            <w:shd w:val="clear" w:color="auto" w:fill="F2F2F2" w:themeFill="background1" w:themeFillShade="F2"/>
            <w:tcMar>
              <w:top w:w="60" w:type="dxa"/>
              <w:left w:w="100" w:type="dxa"/>
              <w:bottom w:w="60" w:type="dxa"/>
              <w:right w:w="100" w:type="dxa"/>
            </w:tcMar>
          </w:tcPr>
          <w:p w14:paraId="26F703BD" w14:textId="77777777" w:rsidR="005C4BC6" w:rsidRPr="006803C7" w:rsidRDefault="00000000" w:rsidP="00411601">
            <w:pPr>
              <w:rPr>
                <w:rFonts w:ascii="Helvetica" w:hAnsi="Helvetica" w:cs="Bangla Sangam MN"/>
              </w:rPr>
            </w:pPr>
            <w:r>
              <w:rPr>
                <w:rFonts w:ascii="Helvetica" w:hAnsi="Helvetica" w:cs="Bangla Sangam MN"/>
                <w:sz w:val="16"/>
                <w:szCs w:val="16"/>
              </w:rPr>
              <w:t>0.59%</w:t>
            </w:r>
          </w:p>
        </w:tc>
        <w:tc>
          <w:tcPr>
            <w:tcW w:w="1200" w:type="dxa"/>
            <w:shd w:val="clear" w:color="auto" w:fill="F2F2F2" w:themeFill="background1" w:themeFillShade="F2"/>
            <w:tcMar>
              <w:top w:w="60" w:type="dxa"/>
              <w:left w:w="100" w:type="dxa"/>
              <w:bottom w:w="60" w:type="dxa"/>
              <w:right w:w="100" w:type="dxa"/>
            </w:tcMar>
          </w:tcPr>
          <w:p w14:paraId="6D571FE8" w14:textId="77777777" w:rsidR="005C4BC6" w:rsidRPr="006803C7" w:rsidRDefault="00000000" w:rsidP="00411601">
            <w:pPr>
              <w:rPr>
                <w:rFonts w:ascii="Helvetica" w:hAnsi="Helvetica" w:cs="Bangla Sangam MN"/>
              </w:rPr>
            </w:pPr>
            <w:r>
              <w:rPr>
                <w:rFonts w:ascii="Helvetica" w:hAnsi="Helvetica" w:cs="Bangla Sangam MN"/>
                <w:color w:val="1E7145"/>
                <w:sz w:val="16"/>
                <w:szCs w:val="16"/>
              </w:rPr>
              <w:t>verified</w:t>
            </w:r>
          </w:p>
        </w:tc>
      </w:tr>
      <w:tr w:rsidR="005C4BC6" w:rsidRPr="006803C7" w14:paraId="1116961D" w14:textId="77777777" w:rsidTr="00411601">
        <w:tc>
          <w:tcPr>
            <w:tcW w:w="1300" w:type="dxa"/>
            <w:tcMar>
              <w:top w:w="60" w:type="dxa"/>
              <w:left w:w="100" w:type="dxa"/>
              <w:bottom w:w="60" w:type="dxa"/>
              <w:right w:w="100" w:type="dxa"/>
            </w:tcMar>
          </w:tcPr>
          <w:p w14:paraId="5C079262" w14:textId="77777777" w:rsidR="005C4BC6" w:rsidRPr="006803C7" w:rsidRDefault="00000000" w:rsidP="00411601">
            <w:pPr>
              <w:rPr>
                <w:rFonts w:ascii="Helvetica" w:hAnsi="Helvetica" w:cs="Bangla Sangam MN"/>
              </w:rPr>
            </w:pPr>
            <w:r>
              <w:rPr>
                <w:rFonts w:ascii="Helvetica" w:hAnsi="Helvetica" w:cs="Bangla Sangam MN"/>
                <w:sz w:val="16"/>
                <w:szCs w:val="16"/>
              </w:rPr>
              <w:t>Health care</w:t>
            </w:r>
          </w:p>
        </w:tc>
        <w:tc>
          <w:tcPr>
            <w:tcW w:w="3060" w:type="dxa"/>
            <w:tcMar>
              <w:top w:w="60" w:type="dxa"/>
              <w:left w:w="100" w:type="dxa"/>
              <w:bottom w:w="60" w:type="dxa"/>
              <w:right w:w="100" w:type="dxa"/>
            </w:tcMar>
          </w:tcPr>
          <w:p w14:paraId="29879CA9" w14:textId="77777777" w:rsidR="005C4BC6" w:rsidRPr="006803C7" w:rsidRDefault="00000000" w:rsidP="00411601">
            <w:pPr>
              <w:rPr>
                <w:rFonts w:ascii="Helvetica" w:hAnsi="Helvetica" w:cs="Bangla Sangam MN"/>
              </w:rPr>
            </w:pPr>
            <w:r>
              <w:rPr>
                <w:rFonts w:ascii="Helvetica" w:hAnsi="Helvetica" w:cs="Bangla Sangam MN"/>
                <w:sz w:val="16"/>
                <w:szCs w:val="16"/>
              </w:rPr>
              <w:t>iShares STOXX Europe 600 Health Care UCITS (DE)</w:t>
            </w:r>
          </w:p>
        </w:tc>
        <w:tc>
          <w:tcPr>
            <w:tcW w:w="1000" w:type="dxa"/>
            <w:tcMar>
              <w:top w:w="60" w:type="dxa"/>
              <w:left w:w="100" w:type="dxa"/>
              <w:bottom w:w="60" w:type="dxa"/>
              <w:right w:w="100" w:type="dxa"/>
            </w:tcMar>
          </w:tcPr>
          <w:p w14:paraId="5291B7D1" w14:textId="77777777" w:rsidR="005C4BC6" w:rsidRPr="006803C7" w:rsidRDefault="00000000" w:rsidP="00411601">
            <w:pPr>
              <w:rPr>
                <w:rFonts w:ascii="Helvetica" w:hAnsi="Helvetica" w:cs="Bangla Sangam MN"/>
              </w:rPr>
            </w:pPr>
            <w:r>
              <w:rPr>
                <w:rFonts w:ascii="Helvetica" w:hAnsi="Helvetica" w:cs="Bangla Sangam MN"/>
                <w:sz w:val="16"/>
                <w:szCs w:val="16"/>
              </w:rPr>
              <w:t>EXV4</w:t>
            </w:r>
          </w:p>
        </w:tc>
        <w:tc>
          <w:tcPr>
            <w:tcW w:w="2000" w:type="dxa"/>
            <w:tcMar>
              <w:top w:w="60" w:type="dxa"/>
              <w:left w:w="100" w:type="dxa"/>
              <w:bottom w:w="60" w:type="dxa"/>
              <w:right w:w="100" w:type="dxa"/>
            </w:tcMar>
          </w:tcPr>
          <w:p w14:paraId="3B459E26"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800" w:type="dxa"/>
            <w:tcMar>
              <w:top w:w="60" w:type="dxa"/>
              <w:left w:w="100" w:type="dxa"/>
              <w:bottom w:w="60" w:type="dxa"/>
              <w:right w:w="100" w:type="dxa"/>
            </w:tcMar>
          </w:tcPr>
          <w:p w14:paraId="78D0EDBF" w14:textId="77777777" w:rsidR="005C4BC6" w:rsidRPr="006803C7" w:rsidRDefault="00000000" w:rsidP="00411601">
            <w:pPr>
              <w:rPr>
                <w:rFonts w:ascii="Helvetica" w:hAnsi="Helvetica" w:cs="Bangla Sangam MN"/>
              </w:rPr>
            </w:pPr>
            <w:r>
              <w:rPr>
                <w:rFonts w:ascii="Helvetica" w:hAnsi="Helvetica" w:cs="Bangla Sangam MN"/>
                <w:sz w:val="16"/>
                <w:szCs w:val="16"/>
              </w:rPr>
              <w:t>~0.46%</w:t>
            </w:r>
          </w:p>
        </w:tc>
        <w:tc>
          <w:tcPr>
            <w:tcW w:w="1200" w:type="dxa"/>
            <w:tcMar>
              <w:top w:w="60" w:type="dxa"/>
              <w:left w:w="100" w:type="dxa"/>
              <w:bottom w:w="60" w:type="dxa"/>
              <w:right w:w="100" w:type="dxa"/>
            </w:tcMar>
          </w:tcPr>
          <w:p w14:paraId="023D9F58" w14:textId="77777777" w:rsidR="005C4BC6" w:rsidRPr="006803C7" w:rsidRDefault="00000000" w:rsidP="00411601">
            <w:pPr>
              <w:rPr>
                <w:rFonts w:ascii="Helvetica" w:hAnsi="Helvetica" w:cs="Bangla Sangam MN"/>
              </w:rPr>
            </w:pPr>
            <w:r>
              <w:rPr>
                <w:rFonts w:ascii="Helvetica" w:hAnsi="Helvetica" w:cs="Bangla Sangam MN"/>
                <w:color w:val="B45309"/>
                <w:sz w:val="16"/>
                <w:szCs w:val="16"/>
              </w:rPr>
              <w:t>confirm</w:t>
            </w:r>
          </w:p>
        </w:tc>
      </w:tr>
      <w:tr w:rsidR="005C4BC6" w:rsidRPr="006803C7" w14:paraId="23BE5981" w14:textId="77777777" w:rsidTr="00411601">
        <w:tc>
          <w:tcPr>
            <w:tcW w:w="1300" w:type="dxa"/>
            <w:shd w:val="clear" w:color="auto" w:fill="F2F2F2" w:themeFill="background1" w:themeFillShade="F2"/>
            <w:tcMar>
              <w:top w:w="60" w:type="dxa"/>
              <w:left w:w="100" w:type="dxa"/>
              <w:bottom w:w="60" w:type="dxa"/>
              <w:right w:w="100" w:type="dxa"/>
            </w:tcMar>
          </w:tcPr>
          <w:p w14:paraId="2A899148" w14:textId="77777777" w:rsidR="005C4BC6" w:rsidRPr="006803C7" w:rsidRDefault="00000000" w:rsidP="00411601">
            <w:pPr>
              <w:rPr>
                <w:rFonts w:ascii="Helvetica" w:hAnsi="Helvetica" w:cs="Bangla Sangam MN"/>
              </w:rPr>
            </w:pPr>
            <w:r>
              <w:rPr>
                <w:rFonts w:ascii="Helvetica" w:hAnsi="Helvetica" w:cs="Bangla Sangam MN"/>
                <w:sz w:val="16"/>
                <w:szCs w:val="16"/>
              </w:rPr>
              <w:t>Energy</w:t>
            </w:r>
          </w:p>
        </w:tc>
        <w:tc>
          <w:tcPr>
            <w:tcW w:w="3060" w:type="dxa"/>
            <w:shd w:val="clear" w:color="auto" w:fill="F2F2F2" w:themeFill="background1" w:themeFillShade="F2"/>
            <w:tcMar>
              <w:top w:w="60" w:type="dxa"/>
              <w:left w:w="100" w:type="dxa"/>
              <w:bottom w:w="60" w:type="dxa"/>
              <w:right w:w="100" w:type="dxa"/>
            </w:tcMar>
          </w:tcPr>
          <w:p w14:paraId="7A975138" w14:textId="77777777" w:rsidR="005C4BC6" w:rsidRPr="006803C7" w:rsidRDefault="00000000" w:rsidP="00411601">
            <w:pPr>
              <w:rPr>
                <w:rFonts w:ascii="Helvetica" w:hAnsi="Helvetica" w:cs="Bangla Sangam MN"/>
              </w:rPr>
            </w:pPr>
            <w:r>
              <w:rPr>
                <w:rFonts w:ascii="Helvetica" w:hAnsi="Helvetica" w:cs="Bangla Sangam MN"/>
                <w:sz w:val="16"/>
                <w:szCs w:val="16"/>
              </w:rPr>
              <w:t>iShares STOXX Europe 600 Oil &amp; Gas UCITS (DE)</w:t>
            </w:r>
          </w:p>
        </w:tc>
        <w:tc>
          <w:tcPr>
            <w:tcW w:w="1000" w:type="dxa"/>
            <w:shd w:val="clear" w:color="auto" w:fill="F2F2F2" w:themeFill="background1" w:themeFillShade="F2"/>
            <w:tcMar>
              <w:top w:w="60" w:type="dxa"/>
              <w:left w:w="100" w:type="dxa"/>
              <w:bottom w:w="60" w:type="dxa"/>
              <w:right w:w="100" w:type="dxa"/>
            </w:tcMar>
          </w:tcPr>
          <w:p w14:paraId="1A13B7EC" w14:textId="77777777" w:rsidR="005C4BC6" w:rsidRPr="006803C7" w:rsidRDefault="00000000" w:rsidP="00411601">
            <w:pPr>
              <w:rPr>
                <w:rFonts w:ascii="Helvetica" w:hAnsi="Helvetica" w:cs="Bangla Sangam MN"/>
              </w:rPr>
            </w:pPr>
            <w:r>
              <w:rPr>
                <w:rFonts w:ascii="Helvetica" w:hAnsi="Helvetica" w:cs="Bangla Sangam MN"/>
                <w:sz w:val="16"/>
                <w:szCs w:val="16"/>
              </w:rPr>
              <w:t>EXH1</w:t>
            </w:r>
          </w:p>
        </w:tc>
        <w:tc>
          <w:tcPr>
            <w:tcW w:w="2000" w:type="dxa"/>
            <w:shd w:val="clear" w:color="auto" w:fill="F2F2F2" w:themeFill="background1" w:themeFillShade="F2"/>
            <w:tcMar>
              <w:top w:w="60" w:type="dxa"/>
              <w:left w:w="100" w:type="dxa"/>
              <w:bottom w:w="60" w:type="dxa"/>
              <w:right w:w="100" w:type="dxa"/>
            </w:tcMar>
          </w:tcPr>
          <w:p w14:paraId="0183A5D7"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800" w:type="dxa"/>
            <w:shd w:val="clear" w:color="auto" w:fill="F2F2F2" w:themeFill="background1" w:themeFillShade="F2"/>
            <w:tcMar>
              <w:top w:w="60" w:type="dxa"/>
              <w:left w:w="100" w:type="dxa"/>
              <w:bottom w:w="60" w:type="dxa"/>
              <w:right w:w="100" w:type="dxa"/>
            </w:tcMar>
          </w:tcPr>
          <w:p w14:paraId="327DD910" w14:textId="77777777" w:rsidR="005C4BC6" w:rsidRPr="006803C7" w:rsidRDefault="00000000" w:rsidP="00411601">
            <w:pPr>
              <w:rPr>
                <w:rFonts w:ascii="Helvetica" w:hAnsi="Helvetica" w:cs="Bangla Sangam MN"/>
              </w:rPr>
            </w:pPr>
            <w:r>
              <w:rPr>
                <w:rFonts w:ascii="Helvetica" w:hAnsi="Helvetica" w:cs="Bangla Sangam MN"/>
                <w:sz w:val="16"/>
                <w:szCs w:val="16"/>
              </w:rPr>
              <w:t>~0.47%</w:t>
            </w:r>
          </w:p>
        </w:tc>
        <w:tc>
          <w:tcPr>
            <w:tcW w:w="1200" w:type="dxa"/>
            <w:shd w:val="clear" w:color="auto" w:fill="F2F2F2" w:themeFill="background1" w:themeFillShade="F2"/>
            <w:tcMar>
              <w:top w:w="60" w:type="dxa"/>
              <w:left w:w="100" w:type="dxa"/>
              <w:bottom w:w="60" w:type="dxa"/>
              <w:right w:w="100" w:type="dxa"/>
            </w:tcMar>
          </w:tcPr>
          <w:p w14:paraId="20FCF7E2" w14:textId="77777777" w:rsidR="005C4BC6" w:rsidRPr="006803C7" w:rsidRDefault="00000000" w:rsidP="00411601">
            <w:pPr>
              <w:rPr>
                <w:rFonts w:ascii="Helvetica" w:hAnsi="Helvetica" w:cs="Bangla Sangam MN"/>
              </w:rPr>
            </w:pPr>
            <w:r>
              <w:rPr>
                <w:rFonts w:ascii="Helvetica" w:hAnsi="Helvetica" w:cs="Bangla Sangam MN"/>
                <w:color w:val="B45309"/>
                <w:sz w:val="16"/>
                <w:szCs w:val="16"/>
              </w:rPr>
              <w:t>confirm</w:t>
            </w:r>
          </w:p>
        </w:tc>
      </w:tr>
      <w:tr w:rsidR="005C4BC6" w:rsidRPr="006803C7" w14:paraId="578E9277" w14:textId="77777777" w:rsidTr="00310D05">
        <w:tc>
          <w:tcPr>
            <w:tcW w:w="1300" w:type="dxa"/>
            <w:tcMar>
              <w:top w:w="60" w:type="dxa"/>
              <w:left w:w="100" w:type="dxa"/>
              <w:bottom w:w="60" w:type="dxa"/>
              <w:right w:w="100" w:type="dxa"/>
            </w:tcMar>
          </w:tcPr>
          <w:p w14:paraId="587C7521" w14:textId="77777777" w:rsidR="005C4BC6" w:rsidRPr="006803C7" w:rsidRDefault="00000000" w:rsidP="00411601">
            <w:pPr>
              <w:rPr>
                <w:rFonts w:ascii="Helvetica" w:hAnsi="Helvetica" w:cs="Bangla Sangam MN"/>
              </w:rPr>
            </w:pPr>
            <w:r>
              <w:rPr>
                <w:rFonts w:ascii="Helvetica" w:hAnsi="Helvetica" w:cs="Bangla Sangam MN"/>
                <w:sz w:val="16"/>
                <w:szCs w:val="16"/>
              </w:rPr>
              <w:t>Staples / food</w:t>
            </w:r>
          </w:p>
        </w:tc>
        <w:tc>
          <w:tcPr>
            <w:tcW w:w="3060" w:type="dxa"/>
            <w:tcMar>
              <w:top w:w="60" w:type="dxa"/>
              <w:left w:w="100" w:type="dxa"/>
              <w:bottom w:w="60" w:type="dxa"/>
              <w:right w:w="100" w:type="dxa"/>
            </w:tcMar>
          </w:tcPr>
          <w:p w14:paraId="39A64B38" w14:textId="77777777" w:rsidR="005C4BC6" w:rsidRPr="006803C7" w:rsidRDefault="00000000" w:rsidP="00411601">
            <w:pPr>
              <w:rPr>
                <w:rFonts w:ascii="Helvetica" w:hAnsi="Helvetica" w:cs="Bangla Sangam MN"/>
              </w:rPr>
            </w:pPr>
            <w:r>
              <w:rPr>
                <w:rFonts w:ascii="Helvetica" w:hAnsi="Helvetica" w:cs="Bangla Sangam MN"/>
                <w:sz w:val="16"/>
                <w:szCs w:val="16"/>
              </w:rPr>
              <w:t>iShares STOXX Europe 600 Food &amp; Beverage (DE)</w:t>
            </w:r>
          </w:p>
        </w:tc>
        <w:tc>
          <w:tcPr>
            <w:tcW w:w="1000" w:type="dxa"/>
            <w:tcMar>
              <w:top w:w="60" w:type="dxa"/>
              <w:left w:w="100" w:type="dxa"/>
              <w:bottom w:w="60" w:type="dxa"/>
              <w:right w:w="100" w:type="dxa"/>
            </w:tcMar>
          </w:tcPr>
          <w:p w14:paraId="3BA06582"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2000" w:type="dxa"/>
            <w:tcMar>
              <w:top w:w="60" w:type="dxa"/>
              <w:left w:w="100" w:type="dxa"/>
              <w:bottom w:w="60" w:type="dxa"/>
              <w:right w:w="100" w:type="dxa"/>
            </w:tcMar>
          </w:tcPr>
          <w:p w14:paraId="1362EE9E"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800" w:type="dxa"/>
            <w:tcMar>
              <w:top w:w="60" w:type="dxa"/>
              <w:left w:w="100" w:type="dxa"/>
              <w:bottom w:w="60" w:type="dxa"/>
              <w:right w:w="100" w:type="dxa"/>
            </w:tcMar>
          </w:tcPr>
          <w:p w14:paraId="5568D453" w14:textId="77777777" w:rsidR="005C4BC6" w:rsidRPr="006803C7" w:rsidRDefault="00000000" w:rsidP="00411601">
            <w:pPr>
              <w:rPr>
                <w:rFonts w:ascii="Helvetica" w:hAnsi="Helvetica" w:cs="Bangla Sangam MN"/>
              </w:rPr>
            </w:pPr>
            <w:r>
              <w:rPr>
                <w:rFonts w:ascii="Helvetica" w:hAnsi="Helvetica" w:cs="Bangla Sangam MN"/>
                <w:sz w:val="16"/>
                <w:szCs w:val="16"/>
              </w:rPr>
              <w:t>~0.47%</w:t>
            </w:r>
          </w:p>
        </w:tc>
        <w:tc>
          <w:tcPr>
            <w:tcW w:w="1200" w:type="dxa"/>
            <w:tcMar>
              <w:top w:w="60" w:type="dxa"/>
              <w:left w:w="100" w:type="dxa"/>
              <w:bottom w:w="60" w:type="dxa"/>
              <w:right w:w="100" w:type="dxa"/>
            </w:tcMar>
          </w:tcPr>
          <w:p w14:paraId="31A66572" w14:textId="77777777" w:rsidR="005C4BC6" w:rsidRPr="006803C7" w:rsidRDefault="00000000" w:rsidP="00411601">
            <w:pPr>
              <w:rPr>
                <w:rFonts w:ascii="Helvetica" w:hAnsi="Helvetica" w:cs="Bangla Sangam MN"/>
              </w:rPr>
            </w:pPr>
            <w:r>
              <w:rPr>
                <w:rFonts w:ascii="Helvetica" w:hAnsi="Helvetica" w:cs="Bangla Sangam MN"/>
                <w:color w:val="B45309"/>
                <w:sz w:val="16"/>
                <w:szCs w:val="16"/>
              </w:rPr>
              <w:t>confirm</w:t>
            </w:r>
          </w:p>
        </w:tc>
      </w:tr>
      <w:tr w:rsidR="005C4BC6" w:rsidRPr="006803C7" w14:paraId="225317E4" w14:textId="77777777" w:rsidTr="00310D05">
        <w:tc>
          <w:tcPr>
            <w:tcW w:w="1300" w:type="dxa"/>
            <w:tcBorders>
              <w:bottom w:val="single" w:sz="4" w:space="0" w:color="auto"/>
            </w:tcBorders>
            <w:shd w:val="clear" w:color="auto" w:fill="F2F2F2" w:themeFill="background1" w:themeFillShade="F2"/>
            <w:tcMar>
              <w:top w:w="60" w:type="dxa"/>
              <w:left w:w="100" w:type="dxa"/>
              <w:bottom w:w="60" w:type="dxa"/>
              <w:right w:w="100" w:type="dxa"/>
            </w:tcMar>
          </w:tcPr>
          <w:p w14:paraId="1395C716" w14:textId="77777777" w:rsidR="005C4BC6" w:rsidRPr="006803C7" w:rsidRDefault="00000000" w:rsidP="00411601">
            <w:pPr>
              <w:rPr>
                <w:rFonts w:ascii="Helvetica" w:hAnsi="Helvetica" w:cs="Bangla Sangam MN"/>
              </w:rPr>
            </w:pPr>
            <w:r>
              <w:rPr>
                <w:rFonts w:ascii="Helvetica" w:hAnsi="Helvetica" w:cs="Bangla Sangam MN"/>
                <w:sz w:val="16"/>
                <w:szCs w:val="16"/>
              </w:rPr>
              <w:t>US financials</w:t>
            </w:r>
          </w:p>
        </w:tc>
        <w:tc>
          <w:tcPr>
            <w:tcW w:w="3060" w:type="dxa"/>
            <w:tcBorders>
              <w:bottom w:val="single" w:sz="4" w:space="0" w:color="auto"/>
            </w:tcBorders>
            <w:shd w:val="clear" w:color="auto" w:fill="F2F2F2" w:themeFill="background1" w:themeFillShade="F2"/>
            <w:tcMar>
              <w:top w:w="60" w:type="dxa"/>
              <w:left w:w="100" w:type="dxa"/>
              <w:bottom w:w="60" w:type="dxa"/>
              <w:right w:w="100" w:type="dxa"/>
            </w:tcMar>
          </w:tcPr>
          <w:p w14:paraId="74034106" w14:textId="77777777" w:rsidR="005C4BC6" w:rsidRPr="006803C7" w:rsidRDefault="00000000" w:rsidP="00411601">
            <w:pPr>
              <w:rPr>
                <w:rFonts w:ascii="Helvetica" w:hAnsi="Helvetica" w:cs="Bangla Sangam MN"/>
              </w:rPr>
            </w:pPr>
            <w:r>
              <w:rPr>
                <w:rFonts w:ascii="Helvetica" w:hAnsi="Helvetica" w:cs="Bangla Sangam MN"/>
                <w:sz w:val="16"/>
                <w:szCs w:val="16"/>
              </w:rPr>
              <w:t>iShares S&amp;P 500 Financials Sector UCITS ETF</w:t>
            </w:r>
          </w:p>
        </w:tc>
        <w:tc>
          <w:tcPr>
            <w:tcW w:w="1000" w:type="dxa"/>
            <w:tcBorders>
              <w:bottom w:val="single" w:sz="4" w:space="0" w:color="auto"/>
            </w:tcBorders>
            <w:shd w:val="clear" w:color="auto" w:fill="F2F2F2" w:themeFill="background1" w:themeFillShade="F2"/>
            <w:tcMar>
              <w:top w:w="60" w:type="dxa"/>
              <w:left w:w="100" w:type="dxa"/>
              <w:bottom w:w="60" w:type="dxa"/>
              <w:right w:w="100" w:type="dxa"/>
            </w:tcMar>
          </w:tcPr>
          <w:p w14:paraId="3BE27F90"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2000" w:type="dxa"/>
            <w:tcBorders>
              <w:bottom w:val="single" w:sz="4" w:space="0" w:color="auto"/>
            </w:tcBorders>
            <w:shd w:val="clear" w:color="auto" w:fill="F2F2F2" w:themeFill="background1" w:themeFillShade="F2"/>
            <w:tcMar>
              <w:top w:w="60" w:type="dxa"/>
              <w:left w:w="100" w:type="dxa"/>
              <w:bottom w:w="60" w:type="dxa"/>
              <w:right w:w="100" w:type="dxa"/>
            </w:tcMar>
          </w:tcPr>
          <w:p w14:paraId="7B447EDE" w14:textId="77777777" w:rsidR="005C4BC6" w:rsidRPr="006803C7" w:rsidRDefault="00000000" w:rsidP="00411601">
            <w:pPr>
              <w:rPr>
                <w:rFonts w:ascii="Helvetica" w:hAnsi="Helvetica" w:cs="Bangla Sangam MN"/>
              </w:rPr>
            </w:pPr>
            <w:r>
              <w:rPr>
                <w:rFonts w:ascii="Helvetica" w:hAnsi="Helvetica" w:cs="Bangla Sangam MN"/>
                <w:sz w:val="16"/>
                <w:szCs w:val="16"/>
              </w:rPr>
              <w:t>confirm</w:t>
            </w:r>
          </w:p>
        </w:tc>
        <w:tc>
          <w:tcPr>
            <w:tcW w:w="800" w:type="dxa"/>
            <w:tcBorders>
              <w:bottom w:val="single" w:sz="4" w:space="0" w:color="auto"/>
            </w:tcBorders>
            <w:shd w:val="clear" w:color="auto" w:fill="F2F2F2" w:themeFill="background1" w:themeFillShade="F2"/>
            <w:tcMar>
              <w:top w:w="60" w:type="dxa"/>
              <w:left w:w="100" w:type="dxa"/>
              <w:bottom w:w="60" w:type="dxa"/>
              <w:right w:w="100" w:type="dxa"/>
            </w:tcMar>
          </w:tcPr>
          <w:p w14:paraId="0DC3F666" w14:textId="77777777" w:rsidR="005C4BC6" w:rsidRPr="006803C7" w:rsidRDefault="00000000" w:rsidP="00411601">
            <w:pPr>
              <w:rPr>
                <w:rFonts w:ascii="Helvetica" w:hAnsi="Helvetica" w:cs="Bangla Sangam MN"/>
              </w:rPr>
            </w:pPr>
            <w:r>
              <w:rPr>
                <w:rFonts w:ascii="Helvetica" w:hAnsi="Helvetica" w:cs="Bangla Sangam MN"/>
                <w:sz w:val="16"/>
                <w:szCs w:val="16"/>
              </w:rPr>
              <w:t>~0.15%</w:t>
            </w:r>
          </w:p>
        </w:tc>
        <w:tc>
          <w:tcPr>
            <w:tcW w:w="1200" w:type="dxa"/>
            <w:tcBorders>
              <w:bottom w:val="single" w:sz="4" w:space="0" w:color="auto"/>
            </w:tcBorders>
            <w:shd w:val="clear" w:color="auto" w:fill="F2F2F2" w:themeFill="background1" w:themeFillShade="F2"/>
            <w:tcMar>
              <w:top w:w="60" w:type="dxa"/>
              <w:left w:w="100" w:type="dxa"/>
              <w:bottom w:w="60" w:type="dxa"/>
              <w:right w:w="100" w:type="dxa"/>
            </w:tcMar>
          </w:tcPr>
          <w:p w14:paraId="31D0622D" w14:textId="77777777" w:rsidR="005C4BC6" w:rsidRPr="006803C7" w:rsidRDefault="00000000" w:rsidP="00411601">
            <w:pPr>
              <w:rPr>
                <w:rFonts w:ascii="Helvetica" w:hAnsi="Helvetica" w:cs="Bangla Sangam MN"/>
              </w:rPr>
            </w:pPr>
            <w:r>
              <w:rPr>
                <w:rFonts w:ascii="Helvetica" w:hAnsi="Helvetica" w:cs="Bangla Sangam MN"/>
                <w:color w:val="B45309"/>
                <w:sz w:val="16"/>
                <w:szCs w:val="16"/>
              </w:rPr>
              <w:t>confirm</w:t>
            </w:r>
          </w:p>
        </w:tc>
      </w:tr>
    </w:tbl>
    <w:p w14:paraId="7D0B231B" w14:textId="77777777" w:rsidR="00411601" w:rsidRPr="00532F88" w:rsidRDefault="00411601" w:rsidP="00411601">
      <w:pPr>
        <w:spacing w:after="110"/>
        <w:rPr>
          <w:rFonts w:ascii="Helvetica" w:hAnsi="Helvetica" w:cs="Bangla Sangam MN"/>
          <w:lang w:val="ru-RU"/>
        </w:rPr>
      </w:pPr>
    </w:p>
    <w:p w14:paraId="647934F0"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Liquidity / cost: </w:t>
      </w:r>
      <w:r>
        <w:rPr>
          <w:rFonts w:ascii="Helvetica" w:hAnsi="Helvetica" w:cs="Bangla Sangam MN"/>
        </w:rPr>
        <w:t>the verified core/bank/defense lines are large, liquid funds with tight spreads; the sector-sleeve and rare-earth lines are thinner — use limit orders and check spreads before sizing. Choose accumulating vs distributing share classes per the fund's tax preference (German- vs Irish-domiciled funds differ on withholding).</w:t>
      </w:r>
    </w:p>
    <w:p w14:paraId="18F0BF5F" w14:textId="77777777" w:rsidR="005C4BC6" w:rsidRPr="006803C7" w:rsidRDefault="00000000">
      <w:pPr>
        <w:rPr>
          <w:rFonts w:ascii="Helvetica" w:hAnsi="Helvetica" w:cs="Bangla Sangam MN"/>
        </w:rPr>
      </w:pPr>
      <w:r>
        <w:rPr>
          <w:rFonts w:ascii="Helvetica" w:hAnsi="Helvetica" w:cs="Bangla Sangam MN"/>
        </w:rPr>
        <w:br w:type="page"/>
      </w:r>
    </w:p>
    <w:p w14:paraId="66EA4D5E"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8. Risk Assessment</w:t>
      </w:r>
    </w:p>
    <w:p w14:paraId="45A6EF48" w14:textId="77777777" w:rsidR="005C4BC6" w:rsidRPr="00C534C1" w:rsidRDefault="00000000" w:rsidP="00310D05">
      <w:pPr>
        <w:pStyle w:val="Heading2"/>
        <w:jc w:val="both"/>
        <w:rPr>
          <w:rFonts w:ascii="Helvetica" w:hAnsi="Helvetica" w:cs="Bangla Sangam MN"/>
          <w:color w:val="000000" w:themeColor="text1"/>
        </w:rPr>
      </w:pPr>
      <w:r>
        <w:rPr>
          <w:rFonts w:ascii="Helvetica" w:hAnsi="Helvetica" w:cs="Bangla Sangam MN"/>
          <w:color w:val="000000" w:themeColor="text1"/>
        </w:rPr>
        <w:t>8.1 The central scenario: the peace path</w:t>
      </w:r>
    </w:p>
    <w:p w14:paraId="303678B8"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The portfolio's largest active exposures make it, in net effect, a bet against a durable, rapid peace settlement — a conscious, stated position, not an accident of sector selection.</w:t>
      </w:r>
    </w:p>
    <w:p w14:paraId="34C20356"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Scenario A — ceasefire holds (base case, but less certain after the 20–21 June Hormuz dispute). </w:t>
      </w:r>
      <w:r>
        <w:rPr>
          <w:rFonts w:ascii="Helvetica" w:hAnsi="Helvetica" w:cs="Bangla Sangam MN"/>
        </w:rPr>
        <w:t>Oil settles into the $70s, inflation resumes its decline, the path reopens to easing. Energy and (less so) defense premiums compress; rate-sensitive underweights reverse and drag. This is what the portfolio is most exposed to. Mitigants: energy already cut to 5% and framed as a hedge; defense rests on backlog; the 60% core participates in any tech/RE recovery.</w:t>
      </w:r>
    </w:p>
    <w:p w14:paraId="1206C194"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Scenario B — ceasefire collapses, Hormuz re-escalation. </w:t>
      </w:r>
      <w:r>
        <w:rPr>
          <w:rFonts w:ascii="Helvetica" w:hAnsi="Helvetica" w:cs="Bangla Sangam MN"/>
        </w:rPr>
        <w:t>Oil spikes back, inflation re-accelerates, central banks move from holding into tightening. Energy and defense rip, banks benefit from higher-for-longer, underweights vindicated — the portfolio outperforms.</w:t>
      </w:r>
    </w:p>
    <w:p w14:paraId="283CFB3F"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rPr>
        <w:t>Directional sensitivity: with energy ~5% and underweights via the core, a sustained $10–15 Brent move is meaningful but not dominant — sized so the portfolio tilts toward Scenario B rather than betting the book on it.</w:t>
      </w:r>
    </w:p>
    <w:p w14:paraId="467F675E" w14:textId="77777777" w:rsidR="005C4BC6" w:rsidRPr="00C534C1" w:rsidRDefault="00000000" w:rsidP="00310D05">
      <w:pPr>
        <w:pStyle w:val="Heading2"/>
        <w:jc w:val="both"/>
        <w:rPr>
          <w:rFonts w:ascii="Helvetica" w:hAnsi="Helvetica" w:cs="Bangla Sangam MN"/>
          <w:color w:val="000000" w:themeColor="text1"/>
        </w:rPr>
      </w:pPr>
      <w:r>
        <w:rPr>
          <w:rFonts w:ascii="Helvetica" w:hAnsi="Helvetica" w:cs="Bangla Sangam MN"/>
          <w:color w:val="000000" w:themeColor="text1"/>
        </w:rPr>
        <w:t>8.2 Secondary risks</w:t>
      </w:r>
    </w:p>
    <w:p w14:paraId="20AD65EE"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Hawkish Fed surprise </w:t>
      </w:r>
      <w:r>
        <w:rPr>
          <w:rFonts w:ascii="Helvetica" w:hAnsi="Helvetica" w:cs="Bangla Sangam MN"/>
        </w:rPr>
        <w:t>— supports financials but pressures the core; offset by the value/defensive tilt.</w:t>
      </w:r>
    </w:p>
    <w:p w14:paraId="372C1AB4"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Deeper European recession </w:t>
      </w:r>
      <w:r>
        <w:rPr>
          <w:rFonts w:ascii="Helvetica" w:hAnsi="Helvetica" w:cs="Bangla Sangam MN"/>
        </w:rPr>
        <w:t>— the genuine stagflation risk; hurts EU banks and the EU core; cushioned by the discount and dividend.</w:t>
      </w:r>
    </w:p>
    <w:p w14:paraId="32092A8E"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Defense budget delay </w:t>
      </w:r>
      <w:r>
        <w:rPr>
          <w:rFonts w:ascii="Helvetica" w:hAnsi="Helvetica" w:cs="Bangla Sangam MN"/>
        </w:rPr>
        <w:t xml:space="preserve">— backlog is multi-year but order timing can slip; sized at 8% to avoid single-point failure.</w:t>
      </w:r>
    </w:p>
    <w:p w14:paraId="24B26826"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Dollar strength </w:t>
      </w:r>
      <w:r>
        <w:rPr>
          <w:rFonts w:ascii="Helvetica" w:hAnsi="Helvetica" w:cs="Bangla Sangam MN"/>
        </w:rPr>
        <w:t>— hurts rare-earths/commodity exposure; but continued dollar weakness helps EUR returns, so two-sided.</w:t>
      </w:r>
    </w:p>
    <w:p w14:paraId="6B52361F" w14:textId="77777777" w:rsidR="005C4BC6" w:rsidRPr="006803C7" w:rsidRDefault="00000000" w:rsidP="00310D05">
      <w:pPr>
        <w:pStyle w:val="ListParagraph"/>
        <w:numPr>
          <w:ilvl w:val="0"/>
          <w:numId w:val="2"/>
        </w:numPr>
        <w:spacing w:after="80" w:line="268" w:lineRule="auto"/>
        <w:jc w:val="both"/>
        <w:rPr>
          <w:rFonts w:ascii="Helvetica" w:hAnsi="Helvetica" w:cs="Bangla Sangam MN"/>
        </w:rPr>
      </w:pPr>
      <w:r>
        <w:rPr>
          <w:rFonts w:ascii="Helvetica" w:hAnsi="Helvetica" w:cs="Bangla Sangam MN"/>
          <w:b/>
          <w:bCs/>
        </w:rPr>
        <w:t xml:space="preserve">Rare-earths China concentration </w:t>
      </w:r>
      <w:r>
        <w:rPr>
          <w:rFonts w:ascii="Helvetica" w:hAnsi="Helvetica" w:cs="Bangla Sangam MN"/>
        </w:rPr>
        <w:t>— a China shock hits the vehicle; mitigated by the small 3% size.</w:t>
      </w:r>
    </w:p>
    <w:p w14:paraId="4BF32591" w14:textId="77777777" w:rsidR="005C4BC6" w:rsidRPr="00C534C1" w:rsidRDefault="00000000" w:rsidP="00310D05">
      <w:pPr>
        <w:pStyle w:val="Heading2"/>
        <w:jc w:val="both"/>
        <w:rPr>
          <w:rFonts w:ascii="Helvetica" w:hAnsi="Helvetica" w:cs="Bangla Sangam MN"/>
          <w:color w:val="000000" w:themeColor="text1"/>
        </w:rPr>
      </w:pPr>
      <w:r>
        <w:rPr>
          <w:rFonts w:ascii="Helvetica" w:hAnsi="Helvetica" w:cs="Bangla Sangam MN"/>
          <w:color w:val="000000" w:themeColor="text1"/>
        </w:rPr>
        <w:t>8.3 What would make us wrong</w:t>
      </w:r>
    </w:p>
    <w:p w14:paraId="49F51181" w14:textId="22408D27" w:rsidR="005C4BC6" w:rsidRDefault="00000000" w:rsidP="00310D05">
      <w:pPr>
        <w:spacing w:after="130" w:line="270" w:lineRule="auto"/>
        <w:jc w:val="both"/>
        <w:rPr>
          <w:rFonts w:ascii="Helvetica" w:hAnsi="Helvetica" w:cs="Bangla Sangam MN"/>
        </w:rPr>
      </w:pPr>
      <w:r>
        <w:rPr>
          <w:rFonts w:ascii="Helvetica" w:hAnsi="Helvetica" w:cs="Bangla Sangam MN"/>
        </w:rPr>
        <w:t xml:space="preserve">A permanent, verified peace agreement (not just the 60-day interim), Hormuz fully reopened, and oil stabilizing in the $70s or lower. In that world the regime thesis weakens, and the portfolio should rotate toward the rate-sensitive sectors we currently underweight. The December rebalancing — or an earlier trigger — is the decisive point.</w:t>
      </w:r>
    </w:p>
    <w:p w14:paraId="184F96AD" w14:textId="77777777" w:rsidR="00C534C1" w:rsidRDefault="00C534C1">
      <w:pPr>
        <w:spacing w:after="130" w:line="270" w:lineRule="auto"/>
        <w:rPr>
          <w:rFonts w:ascii="Helvetica" w:hAnsi="Helvetica" w:cs="Bangla Sangam MN"/>
        </w:rPr>
      </w:pPr>
    </w:p>
    <w:p w14:paraId="77191C71" w14:textId="77777777" w:rsidR="00C534C1" w:rsidRDefault="00C534C1">
      <w:pPr>
        <w:spacing w:after="130" w:line="270" w:lineRule="auto"/>
        <w:rPr>
          <w:rFonts w:ascii="Helvetica" w:hAnsi="Helvetica" w:cs="Bangla Sangam MN"/>
        </w:rPr>
      </w:pPr>
    </w:p>
    <w:p w14:paraId="54273D24" w14:textId="77777777" w:rsidR="00C534C1" w:rsidRDefault="00C534C1">
      <w:pPr>
        <w:spacing w:after="130" w:line="270" w:lineRule="auto"/>
        <w:rPr>
          <w:rFonts w:ascii="Helvetica" w:hAnsi="Helvetica" w:cs="Bangla Sangam MN"/>
        </w:rPr>
      </w:pPr>
    </w:p>
    <w:p w14:paraId="32586581" w14:textId="77777777" w:rsidR="00C534C1" w:rsidRDefault="00C534C1">
      <w:pPr>
        <w:spacing w:after="130" w:line="270" w:lineRule="auto"/>
        <w:rPr>
          <w:rFonts w:ascii="Helvetica" w:hAnsi="Helvetica" w:cs="Bangla Sangam MN"/>
        </w:rPr>
      </w:pPr>
    </w:p>
    <w:p w14:paraId="5EB69E34" w14:textId="77777777" w:rsidR="00C534C1" w:rsidRDefault="00C534C1">
      <w:pPr>
        <w:spacing w:after="130" w:line="270" w:lineRule="auto"/>
        <w:rPr>
          <w:rFonts w:ascii="Helvetica" w:hAnsi="Helvetica" w:cs="Bangla Sangam MN"/>
        </w:rPr>
      </w:pPr>
    </w:p>
    <w:p w14:paraId="1375E034" w14:textId="77777777" w:rsidR="00C534C1" w:rsidRDefault="00C534C1">
      <w:pPr>
        <w:spacing w:after="130" w:line="270" w:lineRule="auto"/>
        <w:rPr>
          <w:rFonts w:ascii="Helvetica" w:hAnsi="Helvetica" w:cs="Bangla Sangam MN"/>
        </w:rPr>
      </w:pPr>
    </w:p>
    <w:p w14:paraId="6CDC8EE9" w14:textId="77777777" w:rsidR="00C534C1" w:rsidRDefault="00C534C1">
      <w:pPr>
        <w:spacing w:after="130" w:line="270" w:lineRule="auto"/>
        <w:rPr>
          <w:rFonts w:ascii="Helvetica" w:hAnsi="Helvetica" w:cs="Bangla Sangam MN"/>
        </w:rPr>
      </w:pPr>
    </w:p>
    <w:p w14:paraId="7E34D29D" w14:textId="77777777" w:rsidR="0040648E" w:rsidRPr="006803C7" w:rsidRDefault="0040648E">
      <w:pPr>
        <w:spacing w:after="130" w:line="270" w:lineRule="auto"/>
        <w:rPr>
          <w:rFonts w:ascii="Helvetica" w:hAnsi="Helvetica" w:cs="Bangla Sangam MN"/>
        </w:rPr>
      </w:pPr>
    </w:p>
    <w:p w14:paraId="59AD55EE" w14:textId="77777777" w:rsidR="005C4BC6" w:rsidRPr="00C534C1" w:rsidRDefault="00000000">
      <w:pPr>
        <w:pStyle w:val="Heading1"/>
        <w:rPr>
          <w:rFonts w:ascii="Helvetica" w:hAnsi="Helvetica" w:cs="Bangla Sangam MN"/>
          <w:color w:val="212D85"/>
        </w:rPr>
      </w:pPr>
      <w:r>
        <w:rPr>
          <w:rFonts w:ascii="Helvetica" w:hAnsi="Helvetica" w:cs="Bangla Sangam MN"/>
          <w:color w:val="212D85"/>
        </w:rPr>
        <w:lastRenderedPageBreak/>
        <w:t>9. Monitoring Plan and Conclusion</w:t>
      </w:r>
    </w:p>
    <w:p w14:paraId="69C68405" w14:textId="77777777"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Weekly watch items: </w:t>
      </w:r>
      <w:r>
        <w:rPr>
          <w:rFonts w:ascii="Helvetica" w:hAnsi="Helvetica" w:cs="Bangla Sangam MN"/>
        </w:rPr>
        <w:t xml:space="preserve">Brent and US-Iran talks status; ECB/Fed communications and hike-expectation shifts (CME FedWatch, ECB-Watch); EUR/USD as a return driver; defense-budget news; satellite-ETF spreads/liquidity before resizing.</w:t>
      </w:r>
    </w:p>
    <w:p w14:paraId="7FC3979E" w14:textId="63B20530" w:rsidR="005C4BC6" w:rsidRPr="006803C7" w:rsidRDefault="00000000" w:rsidP="00310D05">
      <w:pPr>
        <w:spacing w:after="130" w:line="270" w:lineRule="auto"/>
        <w:jc w:val="both"/>
        <w:rPr>
          <w:rFonts w:ascii="Helvetica" w:hAnsi="Helvetica" w:cs="Bangla Sangam MN"/>
        </w:rPr>
      </w:pPr>
      <w:r>
        <w:rPr>
          <w:rFonts w:ascii="Helvetica" w:hAnsi="Helvetica" w:cs="Bangla Sangam MN"/>
          <w:b/>
          <w:bCs/>
        </w:rPr>
        <w:t xml:space="preserve">Pre-deployment checklist: </w:t>
      </w:r>
      <w:r>
        <w:rPr>
          <w:rFonts w:ascii="Helvetica" w:hAnsi="Helvetica" w:cs="Bangla Sangam MN"/>
        </w:rPr>
        <w:t xml:space="preserve">(1) re-pull live oil price and ceasefire status on deployment morning; (2) approve the “confirm” instrument ISINs in IBKR; (3) refresh live forward-P/E and dividend figures and rescale weights to exactly 100%; (4) confirm accumulating vs distributing share-class preference.</w:t>
      </w:r>
    </w:p>
    <w:p w14:paraId="76BC8364" w14:textId="2AA85EB9" w:rsidR="00411601" w:rsidRPr="006803C7" w:rsidRDefault="0027148A" w:rsidP="00310D05">
      <w:pPr>
        <w:spacing w:after="130" w:line="270" w:lineRule="auto"/>
        <w:jc w:val="both"/>
        <w:rPr>
          <w:rFonts w:ascii="Helvetica" w:hAnsi="Helvetica" w:cs="Bangla Sangam MN"/>
        </w:rPr>
      </w:pPr>
      <w:r>
        <w:rPr>
          <w:rFonts w:ascii="Helvetica" w:hAnsi="Helvetica" w:cs="Bangla Sangam MN"/>
        </w:rPr>
        <w:t xml:space="preserve">To summarize the position: the portfolio holds a value- and defensive-tilted global equity sleeve, supported by income and built around a passive core. The satellites express a coherent late-cycle, higher-for-longer thesis through targeted, liquid UCITS instruments. Their sizing reflects a deliberate choice to lean into the regime without concentrating risk on a single outcome. That restraint is warranted. The defining variable of mid-2026 is still unwinding, and the balance of probabilities could shift materially in either direction before December.</w:t>
      </w:r>
    </w:p>
    <w:p w14:paraId="73CACAB8" w14:textId="77777777" w:rsidR="005C4BC6" w:rsidRPr="00411601" w:rsidRDefault="00000000" w:rsidP="00310D05">
      <w:pPr>
        <w:pStyle w:val="Heading2"/>
        <w:jc w:val="both"/>
        <w:rPr>
          <w:rFonts w:ascii="Helvetica" w:hAnsi="Helvetica" w:cs="Bangla Sangam MN"/>
          <w:i/>
          <w:iCs/>
          <w:color w:val="000000" w:themeColor="text1"/>
        </w:rPr>
      </w:pPr>
      <w:r>
        <w:rPr>
          <w:rFonts w:ascii="Helvetica" w:hAnsi="Helvetica" w:cs="Bangla Sangam MN"/>
          <w:i/>
          <w:iCs/>
          <w:color w:val="000000" w:themeColor="text1"/>
        </w:rPr>
        <w:t>Limitations</w:t>
      </w:r>
    </w:p>
    <w:p w14:paraId="45CFDAD2" w14:textId="77777777" w:rsidR="005C4BC6" w:rsidRDefault="00000000" w:rsidP="00310D05">
      <w:pPr>
        <w:spacing w:after="130" w:line="270" w:lineRule="auto"/>
        <w:jc w:val="both"/>
        <w:rPr>
          <w:rFonts w:ascii="Helvetica" w:hAnsi="Helvetica" w:cs="Bangla Sangam MN"/>
          <w:i/>
          <w:iCs/>
        </w:rPr>
      </w:pPr>
      <w:r>
        <w:rPr>
          <w:rFonts w:ascii="Helvetica" w:hAnsi="Helvetica" w:cs="Bangla Sangam MN"/>
          <w:i/>
          <w:iCs/>
        </w:rPr>
        <w:t>Macro figures are verified to the date of writing, but oil and the ceasefire move daily — re-check both at deployment. The four “confirm” instrument rows need exact ISINs verified in IBKR. Valuation and yield figures should be refreshed to live data on the start date rather than carried from the June-11 source snapshots.</w:t>
      </w:r>
    </w:p>
    <w:p w14:paraId="7F3206FB" w14:textId="77777777" w:rsidR="00247BC1" w:rsidRPr="00411601" w:rsidRDefault="00247BC1" w:rsidP="00310D05">
      <w:pPr>
        <w:spacing w:after="130" w:line="270" w:lineRule="auto"/>
        <w:jc w:val="both"/>
        <w:rPr>
          <w:rFonts w:ascii="Helvetica" w:hAnsi="Helvetica" w:cs="Bangla Sangam MN"/>
          <w:i/>
          <w:iCs/>
        </w:rPr>
      </w:pPr>
    </w:p>
    <w:p w14:paraId="79B7E96E" w14:textId="0ADE6596" w:rsidR="005C4BC6" w:rsidRDefault="005C4BC6" w:rsidP="00310D05">
      <w:pPr>
        <w:spacing w:after="130" w:line="270" w:lineRule="auto"/>
        <w:jc w:val="both"/>
        <w:rPr>
          <w:i/>
          <w:iCs/>
        </w:rPr>
      </w:pPr>
    </w:p>
    <w:p w14:paraId="4345E83B" w14:textId="77777777" w:rsidR="0027148A" w:rsidRDefault="0027148A" w:rsidP="00310D05">
      <w:pPr>
        <w:spacing w:after="130" w:line="270" w:lineRule="auto"/>
        <w:jc w:val="both"/>
        <w:rPr>
          <w:i/>
          <w:iCs/>
        </w:rPr>
      </w:pPr>
    </w:p>
    <w:p w14:paraId="4F491ED8" w14:textId="77777777" w:rsidR="0027148A" w:rsidRDefault="0027148A" w:rsidP="00310D05">
      <w:pPr>
        <w:spacing w:after="130" w:line="270" w:lineRule="auto"/>
        <w:jc w:val="both"/>
        <w:rPr>
          <w:i/>
          <w:iCs/>
        </w:rPr>
      </w:pPr>
    </w:p>
    <w:p w14:paraId="5097F506" w14:textId="77777777" w:rsidR="0027148A" w:rsidRDefault="0027148A" w:rsidP="00310D05">
      <w:pPr>
        <w:spacing w:after="130" w:line="270" w:lineRule="auto"/>
        <w:jc w:val="both"/>
        <w:rPr>
          <w:i/>
          <w:iCs/>
        </w:rPr>
      </w:pPr>
    </w:p>
    <w:p w14:paraId="3B5AF2E3" w14:textId="77777777" w:rsidR="0027148A" w:rsidRDefault="0027148A" w:rsidP="00310D05">
      <w:pPr>
        <w:spacing w:after="130" w:line="270" w:lineRule="auto"/>
        <w:jc w:val="both"/>
        <w:rPr>
          <w:i/>
          <w:iCs/>
        </w:rPr>
      </w:pPr>
    </w:p>
    <w:p w14:paraId="3B1441CE" w14:textId="77777777" w:rsidR="0027148A" w:rsidRDefault="0027148A" w:rsidP="00310D05">
      <w:pPr>
        <w:spacing w:after="130" w:line="270" w:lineRule="auto"/>
        <w:jc w:val="both"/>
        <w:rPr>
          <w:i/>
          <w:iCs/>
        </w:rPr>
      </w:pPr>
    </w:p>
    <w:p w14:paraId="4BD26FD0" w14:textId="77777777" w:rsidR="0027148A" w:rsidRDefault="0027148A" w:rsidP="00310D05">
      <w:pPr>
        <w:spacing w:after="130" w:line="270" w:lineRule="auto"/>
        <w:jc w:val="both"/>
        <w:rPr>
          <w:i/>
          <w:iCs/>
        </w:rPr>
      </w:pPr>
    </w:p>
    <w:p w14:paraId="3B06966E" w14:textId="77777777" w:rsidR="0027148A" w:rsidRDefault="0027148A" w:rsidP="00310D05">
      <w:pPr>
        <w:spacing w:after="130" w:line="270" w:lineRule="auto"/>
        <w:jc w:val="both"/>
        <w:rPr>
          <w:i/>
          <w:iCs/>
        </w:rPr>
      </w:pPr>
    </w:p>
    <w:p w14:paraId="6F8063F3" w14:textId="77777777" w:rsidR="0027148A" w:rsidRDefault="0027148A" w:rsidP="00310D05">
      <w:pPr>
        <w:spacing w:after="130" w:line="270" w:lineRule="auto"/>
        <w:jc w:val="both"/>
        <w:rPr>
          <w:i/>
          <w:iCs/>
        </w:rPr>
      </w:pPr>
    </w:p>
    <w:p w14:paraId="03E17B5D" w14:textId="77777777" w:rsidR="0027148A" w:rsidRDefault="0027148A" w:rsidP="00310D05">
      <w:pPr>
        <w:spacing w:after="130" w:line="270" w:lineRule="auto"/>
        <w:jc w:val="both"/>
        <w:rPr>
          <w:i/>
          <w:iCs/>
        </w:rPr>
      </w:pPr>
    </w:p>
    <w:p w14:paraId="3366A823" w14:textId="77777777" w:rsidR="0027148A" w:rsidRDefault="0027148A" w:rsidP="00310D05">
      <w:pPr>
        <w:spacing w:after="130" w:line="270" w:lineRule="auto"/>
        <w:jc w:val="both"/>
        <w:rPr>
          <w:i/>
          <w:iCs/>
        </w:rPr>
      </w:pPr>
    </w:p>
    <w:p w14:paraId="1EE96D9F" w14:textId="77777777" w:rsidR="0027148A" w:rsidRDefault="0027148A" w:rsidP="00310D05">
      <w:pPr>
        <w:spacing w:after="130" w:line="270" w:lineRule="auto"/>
        <w:jc w:val="both"/>
        <w:rPr>
          <w:i/>
          <w:iCs/>
        </w:rPr>
      </w:pPr>
    </w:p>
    <w:p w14:paraId="52FC009F" w14:textId="77777777" w:rsidR="0027148A" w:rsidRDefault="0027148A" w:rsidP="00310D05">
      <w:pPr>
        <w:spacing w:after="130" w:line="270" w:lineRule="auto"/>
        <w:jc w:val="both"/>
        <w:rPr>
          <w:i/>
          <w:iCs/>
        </w:rPr>
      </w:pPr>
    </w:p>
    <w:p w14:paraId="1F22E60C" w14:textId="77777777" w:rsidR="0027148A" w:rsidRDefault="0027148A" w:rsidP="00310D05">
      <w:pPr>
        <w:spacing w:after="130" w:line="270" w:lineRule="auto"/>
        <w:jc w:val="both"/>
        <w:rPr>
          <w:i/>
          <w:iCs/>
        </w:rPr>
      </w:pPr>
    </w:p>
    <w:p w14:paraId="69D27622" w14:textId="77777777" w:rsidR="0027148A" w:rsidRDefault="0027148A" w:rsidP="00310D05">
      <w:pPr>
        <w:spacing w:after="130" w:line="270" w:lineRule="auto"/>
        <w:jc w:val="both"/>
        <w:rPr>
          <w:i/>
          <w:iCs/>
        </w:rPr>
      </w:pPr>
    </w:p>
    <w:p w14:paraId="1CFB6CCD" w14:textId="77777777" w:rsidR="0027148A" w:rsidRDefault="0027148A" w:rsidP="00310D05">
      <w:pPr>
        <w:spacing w:after="130" w:line="270" w:lineRule="auto"/>
        <w:jc w:val="both"/>
        <w:rPr>
          <w:i/>
          <w:iCs/>
        </w:rPr>
      </w:pPr>
    </w:p>
    <w:p w14:paraId="62A3486D" w14:textId="77777777" w:rsidR="0027148A" w:rsidRDefault="0027148A" w:rsidP="00310D05">
      <w:pPr>
        <w:spacing w:after="130" w:line="270" w:lineRule="auto"/>
        <w:jc w:val="both"/>
        <w:rPr>
          <w:i/>
          <w:iCs/>
        </w:rPr>
      </w:pPr>
    </w:p>
    <w:p w14:paraId="49C09CA3" w14:textId="77777777" w:rsidR="007F687C" w:rsidRPr="0045207B" w:rsidRDefault="007F687C" w:rsidP="007F687C">
      <w:pPr>
        <w:spacing w:line="271" w:lineRule="auto"/>
        <w:rPr>
          <w:rFonts w:ascii="Helvetica" w:hAnsi="Helvetica"/>
          <w:color w:val="212D85"/>
        </w:rPr>
      </w:pPr>
      <w:r>
        <w:rPr>
          <w:rFonts w:ascii="Helvetica" w:hAnsi="Helvetica"/>
          <w:b/>
          <w:bCs/>
          <w:color w:val="212D85"/>
          <w:sz w:val="32"/>
          <w:szCs w:val="32"/>
        </w:rPr>
        <w:lastRenderedPageBreak/>
        <w:t>Key Sources</w:t>
      </w:r>
    </w:p>
    <w:p w14:paraId="7D45EA95" w14:textId="77777777" w:rsidR="007F687C" w:rsidRPr="0045207B" w:rsidRDefault="007F687C" w:rsidP="007F687C">
      <w:pPr>
        <w:spacing w:line="271" w:lineRule="auto"/>
        <w:rPr>
          <w:rFonts w:ascii="Helvetica" w:hAnsi="Helvetica"/>
        </w:rPr>
      </w:pPr>
    </w:p>
    <w:p w14:paraId="7E45605E" w14:textId="77777777" w:rsidR="007F687C" w:rsidRPr="0045207B" w:rsidRDefault="007F687C" w:rsidP="007F687C">
      <w:pPr>
        <w:spacing w:after="130" w:line="271" w:lineRule="auto"/>
        <w:jc w:val="both"/>
        <w:rPr>
          <w:rFonts w:ascii="Helvetica" w:hAnsi="Helvetica"/>
          <w:b/>
          <w:bCs/>
        </w:rPr>
      </w:pPr>
      <w:r>
        <w:rPr>
          <w:rFonts w:ascii="Helvetica" w:hAnsi="Helvetica"/>
          <w:b/>
          <w:bCs/>
        </w:rPr>
        <w:t>Central Bank Policy</w:t>
      </w:r>
    </w:p>
    <w:p w14:paraId="468EFB4C" w14:textId="77777777" w:rsidR="007F687C" w:rsidRPr="0045207B" w:rsidRDefault="007F687C" w:rsidP="007F687C">
      <w:pPr>
        <w:spacing w:after="130" w:line="271" w:lineRule="auto"/>
        <w:jc w:val="both"/>
        <w:rPr>
          <w:rFonts w:ascii="Helvetica" w:hAnsi="Helvetica"/>
        </w:rPr>
      </w:pPr>
      <w:r>
        <w:rPr>
          <w:rFonts w:ascii="Helvetica" w:hAnsi="Helvetica"/>
        </w:rPr>
        <w:t xml:space="preserve">European Central Bank — Policy decisions and staff projections, 11 June 2026  </w:t>
      </w:r>
      <w:hyperlink r:id="rId17" w:history="1">
        <w:r>
          <w:rPr>
            <w:rStyle w:val="Hyperlink"/>
            <w:rFonts w:ascii="Helvetica" w:hAnsi="Helvetica"/>
          </w:rPr>
          <w:t>https://www.ecb.europa.eu</w:t>
        </w:r>
      </w:hyperlink>
    </w:p>
    <w:p w14:paraId="764B63E7" w14:textId="77777777" w:rsidR="007F687C" w:rsidRPr="0045207B" w:rsidRDefault="007F687C" w:rsidP="007F687C">
      <w:pPr>
        <w:spacing w:after="130" w:line="271" w:lineRule="auto"/>
        <w:jc w:val="both"/>
        <w:rPr>
          <w:rFonts w:ascii="Helvetica" w:hAnsi="Helvetica"/>
        </w:rPr>
      </w:pPr>
      <w:r>
        <w:rPr>
          <w:rFonts w:ascii="Helvetica" w:hAnsi="Helvetica"/>
        </w:rPr>
        <w:t xml:space="preserve">Federal Reserve — FOMC statement and Summary of Economic Projections, 17 June 2026  </w:t>
      </w:r>
      <w:hyperlink r:id="rId18" w:history="1">
        <w:r>
          <w:rPr>
            <w:rStyle w:val="Hyperlink"/>
            <w:rFonts w:ascii="Helvetica" w:hAnsi="Helvetica"/>
          </w:rPr>
          <w:t>https://www.federalreserve.gov</w:t>
        </w:r>
      </w:hyperlink>
    </w:p>
    <w:p w14:paraId="45449831" w14:textId="77777777" w:rsidR="007F687C" w:rsidRPr="0045207B" w:rsidRDefault="007F687C" w:rsidP="007F687C">
      <w:pPr>
        <w:spacing w:after="130" w:line="271" w:lineRule="auto"/>
        <w:jc w:val="both"/>
        <w:rPr>
          <w:rFonts w:ascii="Helvetica" w:hAnsi="Helvetica"/>
        </w:rPr>
      </w:pPr>
      <w:r>
        <w:rPr>
          <w:rFonts w:ascii="Helvetica" w:hAnsi="Helvetica"/>
        </w:rPr>
        <w:t xml:space="preserve">Bank of England — Monetary Policy Committee communications, June 2026  </w:t>
      </w:r>
      <w:hyperlink r:id="rId19" w:history="1">
        <w:r>
          <w:rPr>
            <w:rStyle w:val="Hyperlink"/>
            <w:rFonts w:ascii="Helvetica" w:hAnsi="Helvetica"/>
          </w:rPr>
          <w:t>https://www.bankofengland.co.uk</w:t>
        </w:r>
      </w:hyperlink>
    </w:p>
    <w:p w14:paraId="738F72A1" w14:textId="77777777" w:rsidR="007F687C" w:rsidRPr="0045207B" w:rsidRDefault="007F687C" w:rsidP="007F687C">
      <w:pPr>
        <w:spacing w:after="130" w:line="271" w:lineRule="auto"/>
        <w:jc w:val="both"/>
        <w:rPr>
          <w:rFonts w:ascii="Helvetica" w:hAnsi="Helvetica"/>
        </w:rPr>
      </w:pPr>
      <w:r>
        <w:rPr>
          <w:rFonts w:ascii="Helvetica" w:hAnsi="Helvetica"/>
        </w:rPr>
        <w:t xml:space="preserve">Bank of Japan — Statement on Monetary Policy, 16 June 2026  </w:t>
      </w:r>
      <w:hyperlink r:id="rId20" w:history="1">
        <w:r>
          <w:rPr>
            <w:rStyle w:val="Hyperlink"/>
            <w:rFonts w:ascii="Helvetica" w:hAnsi="Helvetica"/>
          </w:rPr>
          <w:t>https://www.boj.or.jp/en</w:t>
        </w:r>
      </w:hyperlink>
    </w:p>
    <w:p w14:paraId="612D7ABB" w14:textId="77777777" w:rsidR="007F687C" w:rsidRPr="0045207B" w:rsidRDefault="007F687C" w:rsidP="007F687C">
      <w:pPr>
        <w:spacing w:after="130" w:line="271" w:lineRule="auto"/>
        <w:jc w:val="both"/>
        <w:rPr>
          <w:rFonts w:ascii="Helvetica" w:hAnsi="Helvetica"/>
        </w:rPr>
      </w:pPr>
    </w:p>
    <w:p w14:paraId="28CA3585" w14:textId="77777777" w:rsidR="007F687C" w:rsidRPr="0045207B" w:rsidRDefault="007F687C" w:rsidP="007F687C">
      <w:pPr>
        <w:spacing w:after="130" w:line="271" w:lineRule="auto"/>
        <w:jc w:val="both"/>
        <w:rPr>
          <w:rFonts w:ascii="Helvetica" w:hAnsi="Helvetica"/>
          <w:b/>
          <w:bCs/>
        </w:rPr>
      </w:pPr>
      <w:r>
        <w:rPr>
          <w:rFonts w:ascii="Helvetica" w:hAnsi="Helvetica"/>
          <w:b/>
          <w:bCs/>
        </w:rPr>
        <w:t>Energy &amp; Commodity Prices</w:t>
      </w:r>
    </w:p>
    <w:p w14:paraId="70740422" w14:textId="77777777" w:rsidR="007F687C" w:rsidRPr="0045207B" w:rsidRDefault="007F687C" w:rsidP="007F687C">
      <w:pPr>
        <w:spacing w:after="130" w:line="271" w:lineRule="auto"/>
        <w:jc w:val="both"/>
        <w:rPr>
          <w:rFonts w:ascii="Helvetica" w:hAnsi="Helvetica"/>
        </w:rPr>
      </w:pPr>
      <w:r>
        <w:rPr>
          <w:rFonts w:ascii="Helvetica" w:hAnsi="Helvetica"/>
        </w:rPr>
        <w:t xml:space="preserve">EIA / FRED — Brent crude spot price, Federal Reserve Bank of St. Louis  </w:t>
      </w:r>
      <w:hyperlink r:id="rId21" w:history="1">
        <w:r>
          <w:rPr>
            <w:rStyle w:val="Hyperlink"/>
            <w:rFonts w:ascii="Helvetica" w:hAnsi="Helvetica"/>
          </w:rPr>
          <w:t>https://fred.stlouisfed.org</w:t>
        </w:r>
      </w:hyperlink>
    </w:p>
    <w:p w14:paraId="2DCF7DDF" w14:textId="77777777" w:rsidR="007F687C" w:rsidRPr="0045207B" w:rsidRDefault="007F687C" w:rsidP="007F687C">
      <w:pPr>
        <w:spacing w:after="130" w:line="271" w:lineRule="auto"/>
        <w:jc w:val="both"/>
        <w:rPr>
          <w:rFonts w:ascii="Helvetica" w:hAnsi="Helvetica"/>
        </w:rPr>
      </w:pPr>
      <w:r>
        <w:rPr>
          <w:rFonts w:ascii="Helvetica" w:hAnsi="Helvetica"/>
        </w:rPr>
        <w:t xml:space="preserve">ICE / Investing.com — Front-month futures data  </w:t>
      </w:r>
      <w:hyperlink r:id="rId22" w:history="1">
        <w:r>
          <w:rPr>
            <w:rStyle w:val="Hyperlink"/>
            <w:rFonts w:ascii="Helvetica" w:hAnsi="Helvetica"/>
          </w:rPr>
          <w:t>https://www.investing.com</w:t>
        </w:r>
      </w:hyperlink>
    </w:p>
    <w:p w14:paraId="0C1C8EAF" w14:textId="77777777" w:rsidR="007F687C" w:rsidRPr="0045207B" w:rsidRDefault="007F687C" w:rsidP="007F687C">
      <w:pPr>
        <w:spacing w:after="130" w:line="271" w:lineRule="auto"/>
        <w:jc w:val="both"/>
        <w:rPr>
          <w:rFonts w:ascii="Helvetica" w:hAnsi="Helvetica"/>
        </w:rPr>
      </w:pPr>
    </w:p>
    <w:p w14:paraId="3E9A8BAB" w14:textId="77777777" w:rsidR="007F687C" w:rsidRPr="0045207B" w:rsidRDefault="007F687C" w:rsidP="007F687C">
      <w:pPr>
        <w:spacing w:after="130" w:line="271" w:lineRule="auto"/>
        <w:jc w:val="both"/>
        <w:rPr>
          <w:rFonts w:ascii="Helvetica" w:hAnsi="Helvetica"/>
          <w:b/>
          <w:bCs/>
        </w:rPr>
      </w:pPr>
      <w:r>
        <w:rPr>
          <w:rFonts w:ascii="Helvetica" w:hAnsi="Helvetica"/>
          <w:b/>
          <w:bCs/>
        </w:rPr>
        <w:t>Market &amp; Instrument Data</w:t>
      </w:r>
    </w:p>
    <w:p w14:paraId="49ECEC86" w14:textId="77777777" w:rsidR="007F687C" w:rsidRPr="0045207B" w:rsidRDefault="007F687C" w:rsidP="007F687C">
      <w:pPr>
        <w:spacing w:after="130" w:line="271" w:lineRule="auto"/>
        <w:jc w:val="both"/>
        <w:rPr>
          <w:rFonts w:ascii="Helvetica" w:hAnsi="Helvetica"/>
        </w:rPr>
      </w:pPr>
      <w:r>
        <w:rPr>
          <w:rFonts w:ascii="Helvetica" w:hAnsi="Helvetica"/>
        </w:rPr>
        <w:t xml:space="preserve">Trading Economics — Macroeconomic indicators and market data  </w:t>
      </w:r>
      <w:hyperlink r:id="rId23" w:history="1">
        <w:r>
          <w:rPr>
            <w:rStyle w:val="Hyperlink"/>
            <w:rFonts w:ascii="Helvetica" w:hAnsi="Helvetica"/>
          </w:rPr>
          <w:t>https://tradingeconomics.com</w:t>
        </w:r>
      </w:hyperlink>
    </w:p>
    <w:p w14:paraId="213A9C82" w14:textId="77777777" w:rsidR="007F687C" w:rsidRPr="0045207B" w:rsidRDefault="007F687C" w:rsidP="007F687C">
      <w:pPr>
        <w:spacing w:after="130" w:line="271" w:lineRule="auto"/>
        <w:jc w:val="both"/>
        <w:rPr>
          <w:rFonts w:ascii="Helvetica" w:hAnsi="Helvetica"/>
        </w:rPr>
      </w:pPr>
      <w:r>
        <w:rPr>
          <w:rFonts w:ascii="Helvetica" w:hAnsi="Helvetica"/>
        </w:rPr>
        <w:t xml:space="preserve">Barchart — Commodity and equity price data  </w:t>
      </w:r>
      <w:hyperlink r:id="rId24" w:history="1">
        <w:r>
          <w:rPr>
            <w:rStyle w:val="Hyperlink"/>
            <w:rFonts w:ascii="Helvetica" w:hAnsi="Helvetica"/>
          </w:rPr>
          <w:t>https://www.barchart.com</w:t>
        </w:r>
      </w:hyperlink>
    </w:p>
    <w:p w14:paraId="6092FA2C" w14:textId="77777777" w:rsidR="007F687C" w:rsidRPr="0045207B" w:rsidRDefault="007F687C" w:rsidP="007F687C">
      <w:pPr>
        <w:spacing w:after="130" w:line="271" w:lineRule="auto"/>
        <w:jc w:val="both"/>
        <w:rPr>
          <w:rFonts w:ascii="Helvetica" w:hAnsi="Helvetica"/>
        </w:rPr>
      </w:pPr>
      <w:r>
        <w:rPr>
          <w:rFonts w:ascii="Helvetica" w:hAnsi="Helvetica"/>
        </w:rPr>
        <w:t xml:space="preserve">Reuters — Financial news and market data  </w:t>
      </w:r>
      <w:hyperlink r:id="rId25" w:history="1">
        <w:r>
          <w:rPr>
            <w:rStyle w:val="Hyperlink"/>
            <w:rFonts w:ascii="Helvetica" w:hAnsi="Helvetica"/>
          </w:rPr>
          <w:t>https://www.reuters.com</w:t>
        </w:r>
      </w:hyperlink>
    </w:p>
    <w:p w14:paraId="019446C0" w14:textId="77777777" w:rsidR="007F687C" w:rsidRPr="0045207B" w:rsidRDefault="007F687C" w:rsidP="007F687C">
      <w:pPr>
        <w:spacing w:after="130" w:line="271" w:lineRule="auto"/>
        <w:jc w:val="both"/>
        <w:rPr>
          <w:rFonts w:ascii="Helvetica" w:hAnsi="Helvetica"/>
        </w:rPr>
      </w:pPr>
      <w:r>
        <w:rPr>
          <w:rFonts w:ascii="Helvetica" w:hAnsi="Helvetica"/>
        </w:rPr>
        <w:t xml:space="preserve">Fortune — Business and financial news  </w:t>
      </w:r>
      <w:hyperlink r:id="rId26" w:history="1">
        <w:r>
          <w:rPr>
            <w:rStyle w:val="Hyperlink"/>
            <w:rFonts w:ascii="Helvetica" w:hAnsi="Helvetica"/>
          </w:rPr>
          <w:t>https://fortune.com</w:t>
        </w:r>
      </w:hyperlink>
    </w:p>
    <w:p w14:paraId="306AE248" w14:textId="77777777" w:rsidR="007F687C" w:rsidRPr="0045207B" w:rsidRDefault="007F687C" w:rsidP="007F687C">
      <w:pPr>
        <w:spacing w:after="130" w:line="271" w:lineRule="auto"/>
        <w:jc w:val="both"/>
        <w:rPr>
          <w:rFonts w:ascii="Helvetica" w:hAnsi="Helvetica"/>
        </w:rPr>
      </w:pPr>
      <w:r>
        <w:rPr>
          <w:rFonts w:ascii="Helvetica" w:hAnsi="Helvetica"/>
        </w:rPr>
        <w:t xml:space="preserve">CNBC — Financial news and market commentary  </w:t>
      </w:r>
      <w:hyperlink r:id="rId27" w:history="1">
        <w:r>
          <w:rPr>
            <w:rStyle w:val="Hyperlink"/>
            <w:rFonts w:ascii="Helvetica" w:hAnsi="Helvetica"/>
          </w:rPr>
          <w:t>https://www.cnbc.com</w:t>
        </w:r>
      </w:hyperlink>
    </w:p>
    <w:p w14:paraId="0F77B648" w14:textId="77777777" w:rsidR="007F687C" w:rsidRPr="0045207B" w:rsidRDefault="007F687C" w:rsidP="007F687C">
      <w:pPr>
        <w:spacing w:after="130" w:line="271" w:lineRule="auto"/>
        <w:jc w:val="both"/>
        <w:rPr>
          <w:rFonts w:ascii="Helvetica" w:hAnsi="Helvetica"/>
        </w:rPr>
      </w:pPr>
      <w:r>
        <w:rPr>
          <w:rFonts w:ascii="Helvetica" w:hAnsi="Helvetica"/>
        </w:rPr>
        <w:t xml:space="preserve">Fox Business — Financial news and market commentary  </w:t>
      </w:r>
      <w:hyperlink r:id="rId28" w:history="1">
        <w:r>
          <w:rPr>
            <w:rStyle w:val="Hyperlink"/>
            <w:rFonts w:ascii="Helvetica" w:hAnsi="Helvetica"/>
          </w:rPr>
          <w:t>https://www.foxbusiness.com</w:t>
        </w:r>
      </w:hyperlink>
    </w:p>
    <w:p w14:paraId="7E98AA21" w14:textId="77777777" w:rsidR="007F687C" w:rsidRPr="0045207B" w:rsidRDefault="007F687C" w:rsidP="007F687C">
      <w:pPr>
        <w:spacing w:after="130" w:line="271" w:lineRule="auto"/>
        <w:jc w:val="both"/>
        <w:rPr>
          <w:rFonts w:ascii="Helvetica" w:hAnsi="Helvetica"/>
        </w:rPr>
      </w:pPr>
      <w:r>
        <w:rPr>
          <w:rFonts w:ascii="Helvetica" w:hAnsi="Helvetica"/>
        </w:rPr>
        <w:t xml:space="preserve">Advisor Perspectives — Investment research and market analysis  </w:t>
      </w:r>
      <w:hyperlink r:id="rId29" w:history="1">
        <w:r>
          <w:rPr>
            <w:rStyle w:val="Hyperlink"/>
            <w:rFonts w:ascii="Helvetica" w:hAnsi="Helvetica"/>
          </w:rPr>
          <w:t>https://www.advisorperspectives.com</w:t>
        </w:r>
      </w:hyperlink>
    </w:p>
    <w:p w14:paraId="41C39E80" w14:textId="77777777" w:rsidR="007F687C" w:rsidRPr="0045207B" w:rsidRDefault="007F687C" w:rsidP="007F687C">
      <w:pPr>
        <w:spacing w:after="130" w:line="271" w:lineRule="auto"/>
        <w:jc w:val="both"/>
        <w:rPr>
          <w:rFonts w:ascii="Helvetica" w:hAnsi="Helvetica"/>
        </w:rPr>
      </w:pPr>
      <w:r>
        <w:rPr>
          <w:rFonts w:ascii="Helvetica" w:hAnsi="Helvetica"/>
        </w:rPr>
        <w:t xml:space="preserve">Capital Economics — Independent macroeconomic research  </w:t>
      </w:r>
      <w:hyperlink r:id="rId30" w:history="1">
        <w:r>
          <w:rPr>
            <w:rStyle w:val="Hyperlink"/>
            <w:rFonts w:ascii="Helvetica" w:hAnsi="Helvetica"/>
          </w:rPr>
          <w:t>https://www.capitaleconomics.com</w:t>
        </w:r>
      </w:hyperlink>
    </w:p>
    <w:p w14:paraId="08A462F4" w14:textId="77777777" w:rsidR="007F687C" w:rsidRPr="0045207B" w:rsidRDefault="007F687C" w:rsidP="007F687C">
      <w:pPr>
        <w:spacing w:after="130" w:line="271" w:lineRule="auto"/>
        <w:jc w:val="both"/>
        <w:rPr>
          <w:rFonts w:ascii="Helvetica" w:hAnsi="Helvetica"/>
        </w:rPr>
      </w:pPr>
      <w:r>
        <w:rPr>
          <w:rFonts w:ascii="Helvetica" w:hAnsi="Helvetica"/>
        </w:rPr>
        <w:t xml:space="preserve">InvestingBrokers — Broker and instrument data  </w:t>
      </w:r>
      <w:hyperlink r:id="rId31" w:history="1">
        <w:r>
          <w:rPr>
            <w:rStyle w:val="Hyperlink"/>
            <w:rFonts w:ascii="Helvetica" w:hAnsi="Helvetica"/>
          </w:rPr>
          <w:t>https://www.investingbrokers.com</w:t>
        </w:r>
      </w:hyperlink>
    </w:p>
    <w:p w14:paraId="2574E4F0" w14:textId="77777777" w:rsidR="007F687C" w:rsidRPr="0045207B" w:rsidRDefault="007F687C" w:rsidP="007F687C">
      <w:pPr>
        <w:spacing w:after="130" w:line="271" w:lineRule="auto"/>
        <w:jc w:val="both"/>
        <w:rPr>
          <w:rFonts w:ascii="Helvetica" w:hAnsi="Helvetica"/>
        </w:rPr>
      </w:pPr>
      <w:r>
        <w:rPr>
          <w:rFonts w:ascii="Helvetica" w:hAnsi="Helvetica"/>
        </w:rPr>
        <w:t xml:space="preserve">eupersonalfinance.eu — European retail investment and ETF data  </w:t>
      </w:r>
      <w:hyperlink r:id="rId32" w:history="1">
        <w:r>
          <w:rPr>
            <w:rStyle w:val="Hyperlink"/>
            <w:rFonts w:ascii="Helvetica" w:hAnsi="Helvetica"/>
          </w:rPr>
          <w:t>https://www.eupersonalfinance.eu</w:t>
        </w:r>
      </w:hyperlink>
    </w:p>
    <w:p w14:paraId="107F8ACE" w14:textId="77777777" w:rsidR="007F687C" w:rsidRPr="0045207B" w:rsidRDefault="007F687C" w:rsidP="007F687C">
      <w:pPr>
        <w:spacing w:after="130" w:line="271" w:lineRule="auto"/>
        <w:jc w:val="both"/>
        <w:rPr>
          <w:rFonts w:ascii="Helvetica" w:hAnsi="Helvetica"/>
        </w:rPr>
      </w:pPr>
      <w:r>
        <w:rPr>
          <w:rFonts w:ascii="Helvetica" w:hAnsi="Helvetica"/>
        </w:rPr>
        <w:t xml:space="preserve">justETF — European ETF screener and fund data  </w:t>
      </w:r>
      <w:hyperlink r:id="rId33" w:history="1">
        <w:r>
          <w:rPr>
            <w:rStyle w:val="Hyperlink"/>
            <w:rFonts w:ascii="Helvetica" w:hAnsi="Helvetica"/>
          </w:rPr>
          <w:t>https://www.justetf.com</w:t>
        </w:r>
      </w:hyperlink>
    </w:p>
    <w:p w14:paraId="07FCBC7C" w14:textId="77777777" w:rsidR="007F687C" w:rsidRPr="0045207B" w:rsidRDefault="007F687C" w:rsidP="007F687C">
      <w:pPr>
        <w:spacing w:after="130" w:line="271" w:lineRule="auto"/>
        <w:jc w:val="both"/>
        <w:rPr>
          <w:rFonts w:ascii="Helvetica" w:hAnsi="Helvetica"/>
        </w:rPr>
      </w:pPr>
      <w:r>
        <w:rPr>
          <w:rFonts w:ascii="Helvetica" w:hAnsi="Helvetica"/>
        </w:rPr>
        <w:t xml:space="preserve">Cbonds — Fixed income and bond market data  </w:t>
      </w:r>
      <w:hyperlink r:id="rId34" w:history="1">
        <w:r>
          <w:rPr>
            <w:rStyle w:val="Hyperlink"/>
            <w:rFonts w:ascii="Helvetica" w:hAnsi="Helvetica"/>
          </w:rPr>
          <w:t>https://cbonds.com</w:t>
        </w:r>
      </w:hyperlink>
    </w:p>
    <w:p w14:paraId="05D784A4" w14:textId="77777777" w:rsidR="007F687C" w:rsidRPr="0045207B" w:rsidRDefault="007F687C" w:rsidP="007F687C">
      <w:pPr>
        <w:spacing w:after="130" w:line="271" w:lineRule="auto"/>
        <w:jc w:val="both"/>
        <w:rPr>
          <w:rFonts w:ascii="Helvetica" w:hAnsi="Helvetica"/>
        </w:rPr>
      </w:pPr>
      <w:r>
        <w:rPr>
          <w:rFonts w:ascii="Helvetica" w:hAnsi="Helvetica"/>
        </w:rPr>
        <w:t xml:space="preserve">London Stock Exchange — Exchange listings and instrument data  </w:t>
      </w:r>
      <w:hyperlink r:id="rId35" w:history="1">
        <w:r>
          <w:rPr>
            <w:rStyle w:val="Hyperlink"/>
            <w:rFonts w:ascii="Helvetica" w:hAnsi="Helvetica"/>
          </w:rPr>
          <w:t>https://www.londonstockexchange.com</w:t>
        </w:r>
      </w:hyperlink>
    </w:p>
    <w:p w14:paraId="380845C5" w14:textId="77777777" w:rsidR="007F687C" w:rsidRPr="0045207B" w:rsidRDefault="007F687C" w:rsidP="007F687C">
      <w:pPr>
        <w:spacing w:after="130" w:line="271" w:lineRule="auto"/>
        <w:jc w:val="both"/>
        <w:rPr>
          <w:rFonts w:ascii="Helvetica" w:hAnsi="Helvetica"/>
        </w:rPr>
      </w:pPr>
      <w:r>
        <w:rPr>
          <w:rFonts w:ascii="Helvetica" w:hAnsi="Helvetica"/>
        </w:rPr>
        <w:t xml:space="preserve">iShares / BlackRock — ETF product data and fund documentation  </w:t>
      </w:r>
      <w:hyperlink r:id="rId36" w:history="1">
        <w:r>
          <w:rPr>
            <w:rStyle w:val="Hyperlink"/>
            <w:rFonts w:ascii="Helvetica" w:hAnsi="Helvetica"/>
          </w:rPr>
          <w:t>https://www.ishares.com</w:t>
        </w:r>
      </w:hyperlink>
    </w:p>
    <w:p w14:paraId="30696744" w14:textId="77777777" w:rsidR="007F687C" w:rsidRPr="0045207B" w:rsidRDefault="007F687C" w:rsidP="007F687C">
      <w:pPr>
        <w:spacing w:after="130" w:line="271" w:lineRule="auto"/>
        <w:jc w:val="both"/>
        <w:rPr>
          <w:rFonts w:ascii="Helvetica" w:hAnsi="Helvetica"/>
        </w:rPr>
      </w:pPr>
      <w:r>
        <w:rPr>
          <w:rFonts w:ascii="Helvetica" w:hAnsi="Helvetica"/>
        </w:rPr>
        <w:t xml:space="preserve">HANetf — Thematic and specialist ETF data  </w:t>
      </w:r>
      <w:hyperlink r:id="rId37" w:history="1">
        <w:r>
          <w:rPr>
            <w:rStyle w:val="Hyperlink"/>
            <w:rFonts w:ascii="Helvetica" w:hAnsi="Helvetica"/>
          </w:rPr>
          <w:t>https://www.hanetf.com</w:t>
        </w:r>
      </w:hyperlink>
    </w:p>
    <w:p w14:paraId="2B415A22" w14:textId="42656BC9" w:rsidR="00253767" w:rsidRPr="007F687C" w:rsidRDefault="007F687C" w:rsidP="007F687C">
      <w:pPr>
        <w:spacing w:after="130" w:line="271" w:lineRule="auto"/>
        <w:jc w:val="both"/>
        <w:rPr>
          <w:rFonts w:ascii="Helvetica" w:hAnsi="Helvetica"/>
        </w:rPr>
      </w:pPr>
      <w:r>
        <w:rPr>
          <w:rFonts w:ascii="Helvetica" w:hAnsi="Helvetica"/>
        </w:rPr>
        <w:t xml:space="preserve">VanEck — ETF product data and fund documentation  </w:t>
      </w:r>
      <w:hyperlink r:id="rId38" w:history="1">
        <w:r>
          <w:rPr>
            <w:rStyle w:val="Hyperlink"/>
            <w:rFonts w:ascii="Helvetica" w:hAnsi="Helvetica"/>
          </w:rPr>
          <w:t>https://www.vaneck.com</w:t>
        </w:r>
      </w:hyperlink>
    </w:p>
    <w:p w14:paraId="74A0307B" w14:textId="77777777" w:rsidR="00253767" w:rsidRDefault="00253767" w:rsidP="00253767">
      <w:pPr>
        <w:pStyle w:val="section-title"/>
        <w:spacing w:line="271" w:lineRule="auto"/>
        <w:rPr>
          <w:rFonts w:ascii="Helvetica" w:hAnsi="Helvetica" w:cs="Arial"/>
          <w:color w:val="0B0B0B"/>
          <w:spacing w:val="34"/>
          <w:sz w:val="20"/>
          <w:szCs w:val="20"/>
        </w:rPr>
      </w:pPr>
    </w:p>
    <w:sectPr w:rsidR="00253767">
      <w:footerReference w:type="default" r:id="rId3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esco di Fano &amp; Claude" w:date="2026-07-10T23:11:16Z" w:initials="FC">
    <w:p w14:paraId="59E423CB" w14:textId="77777777">
      <w:r>
        <w:rPr>
          <w:rStyle w:val="CommentReference"/>
        </w:rPr>
        <w:annotationRef/>
      </w:r>
      <w:r>
        <w:rPr>
          <w:color w:val="000000"/>
          <w:sz w:val="20"/>
          <w:szCs w:val="20"/>
        </w:rPr>
        <w:t xml:space="preserve">OVERALL ASSESSMENT (Francesco di Fano &amp; Claude). Facts I checked hold up: Fed hold at 3.50-3.75% under Warsh, ECB +25bp to 2.25%, BoJ to 1.00%, ISM 54.0 and payrolls +172k, the US inflation prints, the ~20% Europe valuation discount and roughly double dividend yield, and the oil levels. The regime call (late-cycle reflation, favour cheap and cash-generative) is sound and the paper is complete: risk, monitoring, limitations, sources. RECOMMENDATION: Approve, with items to close before publication: (1) reconcile the two European allocations (the 4.5 sub-sleeve vs the Section 5/6 combined list); (2) bridge the analysis-to-vehicle mismatch, US-screened sector convictions implemented via European sector ETFs; (3) correct the Fed-cut magnitude (~175bp) and the oil spot-vs-futures explanation; (4) quantify the asserted beta and blended yield. Positions and instruments are verified and can proceed; these are coherence and wording fixes.</w:t>
      </w:r>
    </w:p>
  </w:comment>
  <w:comment w:id="1" w:author="Francesco di Fano &amp; Claude" w:date="2026-07-10T23:11:16Z" w:initials="FC">
    <w:p w14:paraId="77F197EC" w14:textId="77777777">
      <w:r>
        <w:rPr>
          <w:rStyle w:val="CommentReference"/>
        </w:rPr>
        <w:annotationRef/>
      </w:r>
      <w:r>
        <w:rPr>
          <w:color w:val="000000"/>
          <w:sz w:val="20"/>
          <w:szCs w:val="20"/>
        </w:rPr>
        <w:t xml:space="preserve">Credit: the source audit is current. Warsh as Fed chair checks out (sworn in 22 May 2026, so 17 June was his first meeting), and the 20-21 June Hormuz re-closure is right too. Being this up to date on the macro is a real strength.</w:t>
      </w:r>
    </w:p>
  </w:comment>
  <w:comment w:id="2" w:author="Francesco di Fano &amp; Claude" w:date="2026-07-10T23:11:16Z" w:initials="FC">
    <w:p w14:paraId="632B7B59" w14:textId="77777777">
      <w:r>
        <w:rPr>
          <w:rStyle w:val="CommentReference"/>
        </w:rPr>
        <w:annotationRef/>
      </w:r>
      <w:r>
        <w:rPr>
          <w:color w:val="000000"/>
          <w:sz w:val="20"/>
          <w:szCs w:val="20"/>
        </w:rPr>
        <w:t xml:space="preserve">The numbers are roughly right (Brent was mid-$90s around 9-11 June and ~$80 by 19 June), but the logic does not follow: these two figures are eight days apart, so the ~$13 gap is a price decline over that week as the ceasefire firmed, not a spot-versus-futures lag. A spot-versus-futures point would need the two quoted on the same date. Fix the interpretation, not the numbers.</w:t>
      </w:r>
    </w:p>
  </w:comment>
  <w:comment w:id="3" w:author="Francesco di Fano &amp; Claude" w:date="2026-07-10T23:11:16Z" w:initials="FC">
    <w:p w14:paraId="059478AF" w14:textId="77777777">
      <w:r>
        <w:rPr>
          <w:rStyle w:val="CommentReference"/>
        </w:rPr>
        <w:annotationRef/>
      </w:r>
      <w:r>
        <w:rPr>
          <w:color w:val="000000"/>
          <w:sz w:val="20"/>
          <w:szCs w:val="20"/>
        </w:rPr>
        <w:t xml:space="preserve">Credit: the US inflation figures are correctly disaggregated and all check out, core PCE 3.3% (April), headline PCE 3.8%, headline CPI 4.2% (May). Keeping core PCE, headline PCE and CPI separate, rather than blurring them, is done right here.</w:t>
      </w:r>
    </w:p>
  </w:comment>
  <w:comment w:id="4" w:author="Francesco di Fano &amp; Claude" w:date="2026-07-10T23:11:16Z" w:initials="FC">
    <w:p w14:paraId="68D825B1" w14:textId="77777777">
      <w:r>
        <w:rPr>
          <w:rStyle w:val="CommentReference"/>
        </w:rPr>
        <w:annotationRef/>
      </w:r>
      <w:r>
        <w:rPr>
          <w:color w:val="000000"/>
          <w:sz w:val="20"/>
          <w:szCs w:val="20"/>
        </w:rPr>
        <w:t xml:space="preserve">Magnitude looks off. From the 5.25-5.50% peak in 2024 to the 3.50-3.75% you cite, the Fed cut about 175bp, not three-quarters of a point, and this also differs from the cuts near 1% figure in 3.1. Reconcile the two and correct to about 175bp.</w:t>
      </w:r>
    </w:p>
  </w:comment>
  <w:comment w:id="5" w:author="Francesco di Fano &amp; Claude" w:date="2026-07-10T23:11:16Z" w:initials="FC">
    <w:p w14:paraId="56D928DE" w14:textId="77777777">
      <w:r>
        <w:rPr>
          <w:rStyle w:val="CommentReference"/>
        </w:rPr>
        <w:annotationRef/>
      </w:r>
      <w:r>
        <w:rPr>
          <w:color w:val="000000"/>
          <w:sz w:val="20"/>
          <w:szCs w:val="20"/>
        </w:rPr>
        <w:t xml:space="preserve">This European sub-sleeve lists different funds (STOXX Europe 50, MSCI Europe Energy, iShares Europe Defence) than the combined portfolio that actually governs in Section 5/6 (EXSA, EXH1 for energy, HANetf NATO for defense, and no STOXX Europe 50). Reconcile the two; the Section 6 list is the one that ships.</w:t>
      </w:r>
    </w:p>
  </w:comment>
  <w:comment w:id="6" w:author="Francesco di Fano &amp; Claude" w:date="2026-07-10T23:11:16Z" w:initials="FC">
    <w:p w14:paraId="42CA1B1E" w14:textId="77777777">
      <w:r>
        <w:rPr>
          <w:rStyle w:val="CommentReference"/>
        </w:rPr>
        <w:annotationRef/>
      </w:r>
      <w:r>
        <w:rPr>
          <w:color w:val="000000"/>
          <w:sz w:val="20"/>
          <w:szCs w:val="20"/>
        </w:rPr>
        <w:t xml:space="preserve">The substantive one. These convictions are built on US sector screens, but in Section 6 they are implemented through European sector ETFs, health via EXV4, energy via EXH1, staples via EXH3; only US financials (IUFS) uses a US vehicle. So the bet placed is European health care and European energy, not the US sectors ranked here. Either re-anchor the conviction on European sectors (your 4.4 analysis could carry it) or implement with US-exposure vehicles, and state which.</w:t>
      </w:r>
    </w:p>
  </w:comment>
  <w:comment w:id="7" w:author="Francesco di Fano &amp; Claude" w:date="2026-07-10T23:11:16Z" w:initials="FC">
    <w:p w14:paraId="663DAFBD" w14:textId="77777777">
      <w:r>
        <w:rPr>
          <w:rStyle w:val="CommentReference"/>
        </w:rPr>
        <w:annotationRef/>
      </w:r>
      <w:r>
        <w:rPr>
          <w:color w:val="000000"/>
          <w:sz w:val="20"/>
          <w:szCs w:val="20"/>
        </w:rPr>
        <w:t xml:space="preserve">Both are asserted, not shown. Give the blended dividend yield figure and a computed portfolio beta (weighted from the holdings); otherwise 'well above a pure-US benchmark' and 'beta near 1' are claims a reader cannot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423CB" w15:done="0"/>
  <w15:commentEx w15:paraId="77F197EC" w15:done="0"/>
  <w15:commentEx w15:paraId="632B7B59" w15:done="0"/>
  <w15:commentEx w15:paraId="059478AF" w15:done="0"/>
  <w15:commentEx w15:paraId="68D825B1" w15:done="0"/>
  <w15:commentEx w15:paraId="56D928DE" w15:done="0"/>
  <w15:commentEx w15:paraId="42CA1B1E" w15:done="0"/>
  <w15:commentEx w15:paraId="663DAF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A3B32EE" w16cex:dateUtc="2026-07-10T23:11:16Z"/>
  <w16cex:commentExtensible w16cex:durableId="2431F52E" w16cex:dateUtc="2026-07-10T23:11:16Z"/>
  <w16cex:commentExtensible w16cex:durableId="752E441D" w16cex:dateUtc="2026-07-10T23:11:16Z"/>
  <w16cex:commentExtensible w16cex:durableId="6B79E229" w16cex:dateUtc="2026-07-10T23:11:16Z"/>
  <w16cex:commentExtensible w16cex:durableId="4127C498" w16cex:dateUtc="2026-07-10T23:11:16Z"/>
  <w16cex:commentExtensible w16cex:durableId="3A214644" w16cex:dateUtc="2026-07-10T23:11:16Z"/>
  <w16cex:commentExtensible w16cex:durableId="3E83FF47" w16cex:dateUtc="2026-07-10T23:11:16Z"/>
  <w16cex:commentExtensible w16cex:durableId="4B3652C2" w16cex:dateUtc="2026-07-10T23:11: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423CB" w16cid:durableId="1A3B32EE"/>
  <w16cid:commentId w16cid:paraId="77F197EC" w16cid:durableId="2431F52E"/>
  <w16cid:commentId w16cid:paraId="632B7B59" w16cid:durableId="752E441D"/>
  <w16cid:commentId w16cid:paraId="059478AF" w16cid:durableId="6B79E229"/>
  <w16cid:commentId w16cid:paraId="68D825B1" w16cid:durableId="4127C498"/>
  <w16cid:commentId w16cid:paraId="56D928DE" w16cid:durableId="3A214644"/>
  <w16cid:commentId w16cid:paraId="42CA1B1E" w16cid:durableId="3E83FF47"/>
  <w16cid:commentId w16cid:paraId="663DAFBD" w16cid:durableId="4B3652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640CF" w14:textId="77777777" w:rsidR="00A52D0F" w:rsidRDefault="00A52D0F">
      <w:r>
        <w:separator/>
      </w:r>
    </w:p>
  </w:endnote>
  <w:endnote w:type="continuationSeparator" w:id="0">
    <w:p w14:paraId="359C6F0F" w14:textId="77777777" w:rsidR="00A52D0F" w:rsidRDefault="00A52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Bangla Sangam MN">
    <w:panose1 w:val="02000000000000000000"/>
    <w:charset w:val="00"/>
    <w:family w:val="auto"/>
    <w:pitch w:val="variable"/>
    <w:sig w:usb0="8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F7F4F" w14:textId="4D9529B5" w:rsidR="005C4BC6" w:rsidRDefault="005C4BC6">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DC3DD" w14:textId="77777777" w:rsidR="00A52D0F" w:rsidRDefault="00A52D0F">
      <w:r>
        <w:separator/>
      </w:r>
    </w:p>
  </w:footnote>
  <w:footnote w:type="continuationSeparator" w:id="0">
    <w:p w14:paraId="100A2B92" w14:textId="77777777" w:rsidR="00A52D0F" w:rsidRDefault="00A52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482A49"/>
    <w:multiLevelType w:val="hybridMultilevel"/>
    <w:tmpl w:val="F79CD9C2"/>
    <w:lvl w:ilvl="0" w:tplc="A786490E">
      <w:start w:val="1"/>
      <w:numFmt w:val="bullet"/>
      <w:lvlText w:val="•"/>
      <w:lvlJc w:val="left"/>
      <w:pPr>
        <w:ind w:left="500" w:hanging="240"/>
      </w:pPr>
    </w:lvl>
    <w:lvl w:ilvl="1" w:tplc="017E9822">
      <w:numFmt w:val="decimal"/>
      <w:lvlText w:val=""/>
      <w:lvlJc w:val="left"/>
    </w:lvl>
    <w:lvl w:ilvl="2" w:tplc="B826129C">
      <w:numFmt w:val="decimal"/>
      <w:lvlText w:val=""/>
      <w:lvlJc w:val="left"/>
    </w:lvl>
    <w:lvl w:ilvl="3" w:tplc="3CD8BE28">
      <w:numFmt w:val="decimal"/>
      <w:lvlText w:val=""/>
      <w:lvlJc w:val="left"/>
    </w:lvl>
    <w:lvl w:ilvl="4" w:tplc="74A8D2AA">
      <w:numFmt w:val="decimal"/>
      <w:lvlText w:val=""/>
      <w:lvlJc w:val="left"/>
    </w:lvl>
    <w:lvl w:ilvl="5" w:tplc="68D2DB92">
      <w:numFmt w:val="decimal"/>
      <w:lvlText w:val=""/>
      <w:lvlJc w:val="left"/>
    </w:lvl>
    <w:lvl w:ilvl="6" w:tplc="07F831E8">
      <w:numFmt w:val="decimal"/>
      <w:lvlText w:val=""/>
      <w:lvlJc w:val="left"/>
    </w:lvl>
    <w:lvl w:ilvl="7" w:tplc="1C786E34">
      <w:numFmt w:val="decimal"/>
      <w:lvlText w:val=""/>
      <w:lvlJc w:val="left"/>
    </w:lvl>
    <w:lvl w:ilvl="8" w:tplc="214CDA72">
      <w:numFmt w:val="decimal"/>
      <w:lvlText w:val=""/>
      <w:lvlJc w:val="left"/>
    </w:lvl>
  </w:abstractNum>
  <w:abstractNum w:abstractNumId="1" w15:restartNumberingAfterBreak="0">
    <w:nsid w:val="52170166"/>
    <w:multiLevelType w:val="hybridMultilevel"/>
    <w:tmpl w:val="B4B408A8"/>
    <w:lvl w:ilvl="0" w:tplc="976A6210">
      <w:start w:val="1"/>
      <w:numFmt w:val="bullet"/>
      <w:lvlText w:val="●"/>
      <w:lvlJc w:val="left"/>
      <w:pPr>
        <w:ind w:left="720" w:hanging="360"/>
      </w:pPr>
    </w:lvl>
    <w:lvl w:ilvl="1" w:tplc="96907D7E">
      <w:start w:val="1"/>
      <w:numFmt w:val="bullet"/>
      <w:lvlText w:val="○"/>
      <w:lvlJc w:val="left"/>
      <w:pPr>
        <w:ind w:left="1440" w:hanging="360"/>
      </w:pPr>
    </w:lvl>
    <w:lvl w:ilvl="2" w:tplc="B142C5FC">
      <w:start w:val="1"/>
      <w:numFmt w:val="bullet"/>
      <w:lvlText w:val="■"/>
      <w:lvlJc w:val="left"/>
      <w:pPr>
        <w:ind w:left="2160" w:hanging="360"/>
      </w:pPr>
    </w:lvl>
    <w:lvl w:ilvl="3" w:tplc="08609592">
      <w:start w:val="1"/>
      <w:numFmt w:val="bullet"/>
      <w:lvlText w:val="●"/>
      <w:lvlJc w:val="left"/>
      <w:pPr>
        <w:ind w:left="2880" w:hanging="360"/>
      </w:pPr>
    </w:lvl>
    <w:lvl w:ilvl="4" w:tplc="6E5EA58A">
      <w:start w:val="1"/>
      <w:numFmt w:val="bullet"/>
      <w:lvlText w:val="○"/>
      <w:lvlJc w:val="left"/>
      <w:pPr>
        <w:ind w:left="3600" w:hanging="360"/>
      </w:pPr>
    </w:lvl>
    <w:lvl w:ilvl="5" w:tplc="21A05ADC">
      <w:start w:val="1"/>
      <w:numFmt w:val="bullet"/>
      <w:lvlText w:val="■"/>
      <w:lvlJc w:val="left"/>
      <w:pPr>
        <w:ind w:left="4320" w:hanging="360"/>
      </w:pPr>
    </w:lvl>
    <w:lvl w:ilvl="6" w:tplc="441098B2">
      <w:start w:val="1"/>
      <w:numFmt w:val="bullet"/>
      <w:lvlText w:val="●"/>
      <w:lvlJc w:val="left"/>
      <w:pPr>
        <w:ind w:left="5040" w:hanging="360"/>
      </w:pPr>
    </w:lvl>
    <w:lvl w:ilvl="7" w:tplc="5C661C2E">
      <w:start w:val="1"/>
      <w:numFmt w:val="bullet"/>
      <w:lvlText w:val="●"/>
      <w:lvlJc w:val="left"/>
      <w:pPr>
        <w:ind w:left="5760" w:hanging="360"/>
      </w:pPr>
    </w:lvl>
    <w:lvl w:ilvl="8" w:tplc="674AFBFE">
      <w:start w:val="1"/>
      <w:numFmt w:val="bullet"/>
      <w:lvlText w:val="●"/>
      <w:lvlJc w:val="left"/>
      <w:pPr>
        <w:ind w:left="6480" w:hanging="360"/>
      </w:pPr>
    </w:lvl>
  </w:abstractNum>
  <w:num w:numId="1" w16cid:durableId="1745570285">
    <w:abstractNumId w:val="1"/>
    <w:lvlOverride w:ilvl="0">
      <w:startOverride w:val="1"/>
    </w:lvlOverride>
  </w:num>
  <w:num w:numId="2" w16cid:durableId="560675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BC6"/>
    <w:rsid w:val="00157E9F"/>
    <w:rsid w:val="001645B8"/>
    <w:rsid w:val="00166083"/>
    <w:rsid w:val="00247BC1"/>
    <w:rsid w:val="00253767"/>
    <w:rsid w:val="0027148A"/>
    <w:rsid w:val="002A15A3"/>
    <w:rsid w:val="002C423B"/>
    <w:rsid w:val="002E71CA"/>
    <w:rsid w:val="002F3FE2"/>
    <w:rsid w:val="00310D05"/>
    <w:rsid w:val="003509D7"/>
    <w:rsid w:val="003A1392"/>
    <w:rsid w:val="003D092E"/>
    <w:rsid w:val="0040648E"/>
    <w:rsid w:val="00411601"/>
    <w:rsid w:val="00532F88"/>
    <w:rsid w:val="00542887"/>
    <w:rsid w:val="005C4BC6"/>
    <w:rsid w:val="006803C7"/>
    <w:rsid w:val="007F687C"/>
    <w:rsid w:val="00902FD8"/>
    <w:rsid w:val="00982246"/>
    <w:rsid w:val="00987D9D"/>
    <w:rsid w:val="00992BBB"/>
    <w:rsid w:val="009C77A2"/>
    <w:rsid w:val="009D4933"/>
    <w:rsid w:val="00A52D0F"/>
    <w:rsid w:val="00AB77DF"/>
    <w:rsid w:val="00C534C1"/>
    <w:rsid w:val="00D86A19"/>
    <w:rsid w:val="00DE4DE4"/>
    <w:rsid w:val="00E95CAE"/>
    <w:rsid w:val="00EC4664"/>
    <w:rsid w:val="00EF13E9"/>
    <w:rsid w:val="00F72FCB"/>
    <w:rsid w:val="00FE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29679"/>
  <w15:docId w15:val="{9AE41C1B-A279-4F47-A8A4-45E8E867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F3A5F"/>
      <w:sz w:val="28"/>
      <w:szCs w:val="28"/>
    </w:rPr>
  </w:style>
  <w:style w:type="paragraph" w:styleId="Heading2">
    <w:name w:val="heading 2"/>
    <w:uiPriority w:val="9"/>
    <w:unhideWhenUsed/>
    <w:qFormat/>
    <w:pPr>
      <w:spacing w:before="170" w:after="9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509D7"/>
    <w:rPr>
      <w:rFonts w:ascii="Times New Roman" w:hAnsi="Times New Roman" w:cs="Times New Roman"/>
      <w:sz w:val="24"/>
      <w:szCs w:val="24"/>
    </w:rPr>
  </w:style>
  <w:style w:type="paragraph" w:styleId="Header">
    <w:name w:val="header"/>
    <w:basedOn w:val="Normal"/>
    <w:link w:val="HeaderChar"/>
    <w:uiPriority w:val="99"/>
    <w:unhideWhenUsed/>
    <w:rsid w:val="00C534C1"/>
    <w:pPr>
      <w:tabs>
        <w:tab w:val="center" w:pos="4680"/>
        <w:tab w:val="right" w:pos="9360"/>
      </w:tabs>
    </w:pPr>
  </w:style>
  <w:style w:type="character" w:customStyle="1" w:styleId="HeaderChar">
    <w:name w:val="Header Char"/>
    <w:basedOn w:val="DefaultParagraphFont"/>
    <w:link w:val="Header"/>
    <w:uiPriority w:val="99"/>
    <w:rsid w:val="00C534C1"/>
  </w:style>
  <w:style w:type="paragraph" w:styleId="Footer">
    <w:name w:val="footer"/>
    <w:basedOn w:val="Normal"/>
    <w:link w:val="FooterChar"/>
    <w:uiPriority w:val="99"/>
    <w:unhideWhenUsed/>
    <w:rsid w:val="00C534C1"/>
    <w:pPr>
      <w:tabs>
        <w:tab w:val="center" w:pos="4680"/>
        <w:tab w:val="right" w:pos="9360"/>
      </w:tabs>
    </w:pPr>
  </w:style>
  <w:style w:type="character" w:customStyle="1" w:styleId="FooterChar">
    <w:name w:val="Footer Char"/>
    <w:basedOn w:val="DefaultParagraphFont"/>
    <w:link w:val="Footer"/>
    <w:uiPriority w:val="99"/>
    <w:rsid w:val="00C534C1"/>
  </w:style>
  <w:style w:type="paragraph" w:customStyle="1" w:styleId="section-title">
    <w:name w:val="section-title"/>
    <w:basedOn w:val="Normal"/>
    <w:rsid w:val="0027148A"/>
    <w:pPr>
      <w:spacing w:before="100" w:beforeAutospacing="1" w:after="100" w:afterAutospacing="1"/>
    </w:pPr>
    <w:rPr>
      <w:rFonts w:ascii="Times New Roman" w:eastAsia="Times New Roman" w:hAnsi="Times New Roman" w:cs="Times New Roman"/>
      <w:sz w:val="24"/>
      <w:szCs w:val="24"/>
    </w:rPr>
  </w:style>
  <w:style w:type="paragraph" w:customStyle="1" w:styleId="source-line">
    <w:name w:val="source-line"/>
    <w:basedOn w:val="Normal"/>
    <w:rsid w:val="0027148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7148A"/>
    <w:rPr>
      <w:b/>
      <w:bCs/>
    </w:rPr>
  </w:style>
  <w:style w:type="character" w:customStyle="1" w:styleId="apple-converted-space">
    <w:name w:val="apple-converted-space"/>
    <w:basedOn w:val="DefaultParagraphFont"/>
    <w:rsid w:val="0027148A"/>
  </w:style>
  <w:style w:type="character" w:styleId="FollowedHyperlink">
    <w:name w:val="FollowedHyperlink"/>
    <w:basedOn w:val="DefaultParagraphFont"/>
    <w:uiPriority w:val="99"/>
    <w:semiHidden/>
    <w:unhideWhenUsed/>
    <w:rsid w:val="007F68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chart" Target="charts/chart7.xml"/><Relationship Id="rId18" Type="http://schemas.openxmlformats.org/officeDocument/2006/relationships/hyperlink" Target="https://www.federalreserve.gov" TargetMode="External"/><Relationship Id="rId26" Type="http://schemas.openxmlformats.org/officeDocument/2006/relationships/hyperlink" Target="https://fortune.com" TargetMode="External"/><Relationship Id="rId39" Type="http://schemas.openxmlformats.org/officeDocument/2006/relationships/footer" Target="footer1.xml"/><Relationship Id="rId21" Type="http://schemas.openxmlformats.org/officeDocument/2006/relationships/hyperlink" Target="https://fred.stlouisfed.org" TargetMode="External"/><Relationship Id="rId34" Type="http://schemas.openxmlformats.org/officeDocument/2006/relationships/hyperlink" Target="https://cbonds.com" TargetMode="Externa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hyperlink" Target="https://www.boj.or.jp/en" TargetMode="External"/><Relationship Id="rId29" Type="http://schemas.openxmlformats.org/officeDocument/2006/relationships/hyperlink" Target="https://www.advisorperspectives.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hyperlink" Target="https://www.barchart.com" TargetMode="External"/><Relationship Id="rId32" Type="http://schemas.openxmlformats.org/officeDocument/2006/relationships/hyperlink" Target="https://www.eupersonalfinance.eu" TargetMode="External"/><Relationship Id="rId37" Type="http://schemas.openxmlformats.org/officeDocument/2006/relationships/hyperlink" Target="https://www.hanetf.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hyperlink" Target="https://tradingeconomics.com" TargetMode="External"/><Relationship Id="rId28" Type="http://schemas.openxmlformats.org/officeDocument/2006/relationships/hyperlink" Target="https://www.foxbusiness.com" TargetMode="External"/><Relationship Id="rId36" Type="http://schemas.openxmlformats.org/officeDocument/2006/relationships/hyperlink" Target="https://www.ishares.com" TargetMode="External"/><Relationship Id="rId10" Type="http://schemas.openxmlformats.org/officeDocument/2006/relationships/chart" Target="charts/chart4.xml"/><Relationship Id="rId19" Type="http://schemas.openxmlformats.org/officeDocument/2006/relationships/hyperlink" Target="https://www.bankofengland.co.uk" TargetMode="External"/><Relationship Id="rId31" Type="http://schemas.openxmlformats.org/officeDocument/2006/relationships/hyperlink" Target="https://www.investingbrokers.com"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hyperlink" Target="https://www.investing.com" TargetMode="External"/><Relationship Id="rId27" Type="http://schemas.openxmlformats.org/officeDocument/2006/relationships/hyperlink" Target="https://www.cnbc.com" TargetMode="External"/><Relationship Id="rId30" Type="http://schemas.openxmlformats.org/officeDocument/2006/relationships/hyperlink" Target="https://www.capitaleconomics.com" TargetMode="External"/><Relationship Id="rId35" Type="http://schemas.openxmlformats.org/officeDocument/2006/relationships/hyperlink" Target="https://www.londonstockexchange.com" TargetMode="External"/><Relationship Id="rId8" Type="http://schemas.openxmlformats.org/officeDocument/2006/relationships/chart" Target="charts/chart2.xml"/><Relationship Id="rId3" Type="http://schemas.openxmlformats.org/officeDocument/2006/relationships/settings" Target="settings.xml"/><Relationship Id="rId12" Type="http://schemas.openxmlformats.org/officeDocument/2006/relationships/chart" Target="charts/chart6.xml"/><Relationship Id="rId17" Type="http://schemas.openxmlformats.org/officeDocument/2006/relationships/hyperlink" Target="https://www.ecb.europa.eu" TargetMode="External"/><Relationship Id="rId25" Type="http://schemas.openxmlformats.org/officeDocument/2006/relationships/hyperlink" Target="https://www.reuters.com" TargetMode="External"/><Relationship Id="rId33" Type="http://schemas.openxmlformats.org/officeDocument/2006/relationships/hyperlink" Target="https://www.justetf.com" TargetMode="External"/><Relationship Id="rId38" Type="http://schemas.openxmlformats.org/officeDocument/2006/relationships/hyperlink" Target="https://www.vaneck.com" TargetMode="External"/><Relationship Id="rId42" Type="http://schemas.openxmlformats.org/officeDocument/2006/relationships/comments" Target="comments.xml"/><Relationship Id="rId43" Type="http://schemas.microsoft.com/office/2011/relationships/commentsExtended" Target="commentsExtended.xml"/><Relationship Id="rId44" Type="http://schemas.microsoft.com/office/2016/09/relationships/commentsIds" Target="commentsIds.xml"/><Relationship Id="rId45"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imkhairullin\Downloads\Global_Equities_Chart_Data-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Users\timkhairullin\Downloads\Global_Equities_Chart_Data-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000" b="1" strike="noStrike" spc="-1">
                <a:solidFill>
                  <a:srgbClr val="000000"/>
                </a:solidFill>
                <a:latin typeface="Calibri"/>
              </a:defRPr>
            </a:pPr>
            <a:r>
              <a:rPr lang="en-US" sz="1000" b="1" strike="noStrike" spc="-1">
                <a:solidFill>
                  <a:srgbClr val="000000"/>
                </a:solidFill>
                <a:latin typeface="Helvetica" pitchFamily="2" charset="0"/>
              </a:rPr>
              <a:t>Figure 1.  Brent crude during the Middle East conflict (2026)</a:t>
            </a:r>
          </a:p>
        </c:rich>
      </c:tx>
      <c:layout>
        <c:manualLayout>
          <c:xMode val="edge"/>
          <c:yMode val="edge"/>
          <c:x val="0.17743631011194752"/>
          <c:y val="0"/>
        </c:manualLayout>
      </c:layout>
      <c:overlay val="0"/>
      <c:spPr>
        <a:noFill/>
        <a:ln w="0">
          <a:noFill/>
        </a:ln>
      </c:spPr>
    </c:title>
    <c:autoTitleDeleted val="0"/>
    <c:plotArea>
      <c:layout>
        <c:manualLayout>
          <c:layoutTarget val="inner"/>
          <c:xMode val="edge"/>
          <c:yMode val="edge"/>
          <c:x val="0.12809604329859803"/>
          <c:y val="0.15756468694828629"/>
          <c:w val="0.80232875968123651"/>
          <c:h val="0.55149285685659499"/>
        </c:manualLayout>
      </c:layout>
      <c:lineChart>
        <c:grouping val="standard"/>
        <c:varyColors val="0"/>
        <c:ser>
          <c:idx val="0"/>
          <c:order val="0"/>
          <c:tx>
            <c:v>Brent spot (EIA/FRED)</c:v>
          </c:tx>
          <c:spPr>
            <a:ln w="21960">
              <a:solidFill>
                <a:srgbClr val="212D85"/>
              </a:solidFill>
              <a:round/>
            </a:ln>
          </c:spPr>
          <c:marker>
            <c:symbol val="circle"/>
            <c:size val="6"/>
            <c:spPr>
              <a:solidFill>
                <a:srgbClr val="2E3F8F"/>
              </a:solidFill>
            </c:spPr>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Data'!$J$4:$J$12</c:f>
              <c:strCache>
                <c:ptCount val="9"/>
                <c:pt idx="0">
                  <c:v>Jan</c:v>
                </c:pt>
                <c:pt idx="1">
                  <c:v>Feb</c:v>
                </c:pt>
                <c:pt idx="2">
                  <c:v>Mar</c:v>
                </c:pt>
                <c:pt idx="3">
                  <c:v>31 Mar</c:v>
                </c:pt>
                <c:pt idx="4">
                  <c:v>Apr</c:v>
                </c:pt>
                <c:pt idx="5">
                  <c:v>May</c:v>
                </c:pt>
                <c:pt idx="6">
                  <c:v>1 Jun</c:v>
                </c:pt>
                <c:pt idx="7">
                  <c:v>11 Jun</c:v>
                </c:pt>
                <c:pt idx="8">
                  <c:v>19 Jun</c:v>
                </c:pt>
              </c:strCache>
            </c:strRef>
          </c:cat>
          <c:val>
            <c:numRef>
              <c:f>'Chart Data'!$K$4:$K$11</c:f>
              <c:numCache>
                <c:formatCode>0.00</c:formatCode>
                <c:ptCount val="8"/>
                <c:pt idx="0">
                  <c:v>70</c:v>
                </c:pt>
                <c:pt idx="1">
                  <c:v>72</c:v>
                </c:pt>
                <c:pt idx="2">
                  <c:v>95</c:v>
                </c:pt>
                <c:pt idx="3">
                  <c:v>119</c:v>
                </c:pt>
                <c:pt idx="4">
                  <c:v>100.5</c:v>
                </c:pt>
                <c:pt idx="5">
                  <c:v>106</c:v>
                </c:pt>
                <c:pt idx="6">
                  <c:v>98.5</c:v>
                </c:pt>
                <c:pt idx="7">
                  <c:v>92.84</c:v>
                </c:pt>
              </c:numCache>
            </c:numRef>
          </c:val>
          <c:smooth val="0"/>
          <c:extLst>
            <c:ext xmlns:c16="http://schemas.microsoft.com/office/drawing/2014/chart" uri="{C3380CC4-5D6E-409C-BE32-E72D297353CC}">
              <c16:uniqueId val="{00000000-AD48-8C4F-8424-83756073DB62}"/>
            </c:ext>
          </c:extLst>
        </c:ser>
        <c:ser>
          <c:idx val="1"/>
          <c:order val="1"/>
          <c:tx>
            <c:v>Front-month futures (ICE)</c:v>
          </c:tx>
          <c:spPr>
            <a:ln w="18000">
              <a:solidFill>
                <a:srgbClr val="D4B87A"/>
              </a:solidFill>
              <a:round/>
            </a:ln>
          </c:spPr>
          <c:marker>
            <c:symbol val="diamond"/>
            <c:size val="7"/>
            <c:spPr>
              <a:solidFill>
                <a:srgbClr val="D4B87A"/>
              </a:solidFill>
            </c:spPr>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Data'!$J$4:$J$12</c:f>
              <c:strCache>
                <c:ptCount val="9"/>
                <c:pt idx="0">
                  <c:v>Jan</c:v>
                </c:pt>
                <c:pt idx="1">
                  <c:v>Feb</c:v>
                </c:pt>
                <c:pt idx="2">
                  <c:v>Mar</c:v>
                </c:pt>
                <c:pt idx="3">
                  <c:v>31 Mar</c:v>
                </c:pt>
                <c:pt idx="4">
                  <c:v>Apr</c:v>
                </c:pt>
                <c:pt idx="5">
                  <c:v>May</c:v>
                </c:pt>
                <c:pt idx="6">
                  <c:v>1 Jun</c:v>
                </c:pt>
                <c:pt idx="7">
                  <c:v>11 Jun</c:v>
                </c:pt>
                <c:pt idx="8">
                  <c:v>19 Jun</c:v>
                </c:pt>
              </c:strCache>
            </c:strRef>
          </c:cat>
          <c:val>
            <c:numRef>
              <c:f>'Chart Data'!$L$4:$L$12</c:f>
              <c:numCache>
                <c:formatCode>General</c:formatCode>
                <c:ptCount val="9"/>
                <c:pt idx="8" formatCode="0.00">
                  <c:v>80</c:v>
                </c:pt>
              </c:numCache>
            </c:numRef>
          </c:val>
          <c:smooth val="0"/>
          <c:extLst>
            <c:ext xmlns:c16="http://schemas.microsoft.com/office/drawing/2014/chart" uri="{C3380CC4-5D6E-409C-BE32-E72D297353CC}">
              <c16:uniqueId val="{00000001-AD48-8C4F-8424-83756073DB62}"/>
            </c:ext>
          </c:extLst>
        </c:ser>
        <c:dLbls>
          <c:showLegendKey val="0"/>
          <c:showVal val="0"/>
          <c:showCatName val="0"/>
          <c:showSerName val="0"/>
          <c:showPercent val="0"/>
          <c:showBubbleSize val="0"/>
        </c:dLbls>
        <c:hiLowLines>
          <c:spPr>
            <a:ln w="0">
              <a:noFill/>
            </a:ln>
          </c:spPr>
        </c:hiLowLines>
        <c:marker val="1"/>
        <c:smooth val="0"/>
        <c:axId val="85812233"/>
        <c:axId val="2882969"/>
      </c:lineChart>
      <c:catAx>
        <c:axId val="85812233"/>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2882969"/>
        <c:crosses val="autoZero"/>
        <c:auto val="1"/>
        <c:lblAlgn val="ctr"/>
        <c:lblOffset val="100"/>
        <c:noMultiLvlLbl val="0"/>
      </c:catAx>
      <c:valAx>
        <c:axId val="2882969"/>
        <c:scaling>
          <c:orientation val="minMax"/>
          <c:max val="130"/>
          <c:min val="60"/>
        </c:scaling>
        <c:delete val="0"/>
        <c:axPos val="l"/>
        <c:majorGridlines>
          <c:spPr>
            <a:ln w="0">
              <a:solidFill>
                <a:srgbClr val="B3B3B3"/>
              </a:solidFill>
            </a:ln>
          </c:spPr>
        </c:majorGridlines>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Brent crude (USD/bbl)</a:t>
                </a:r>
              </a:p>
            </c:rich>
          </c:tx>
          <c:layout>
            <c:manualLayout>
              <c:xMode val="edge"/>
              <c:yMode val="edge"/>
              <c:x val="1.3253235001510972E-2"/>
              <c:y val="0.15756468694828629"/>
            </c:manualLayout>
          </c:layout>
          <c:overlay val="0"/>
          <c:spPr>
            <a:noFill/>
            <a:ln w="0">
              <a:noFill/>
            </a:ln>
          </c:spPr>
        </c:title>
        <c:numFmt formatCode="\$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85812233"/>
        <c:crosses val="autoZero"/>
        <c:crossBetween val="between"/>
      </c:valAx>
      <c:spPr>
        <a:noFill/>
        <a:ln w="0">
          <a:noFill/>
        </a:ln>
      </c:spPr>
    </c:plotArea>
    <c:legend>
      <c:legendPos val="b"/>
      <c:overlay val="0"/>
      <c:spPr>
        <a:noFill/>
        <a:ln w="0">
          <a:noFill/>
        </a:ln>
      </c:spPr>
      <c:txPr>
        <a:bodyPr/>
        <a:lstStyle/>
        <a:p>
          <a:pPr>
            <a:defRPr sz="1000" b="0" strike="noStrike" spc="-1">
              <a:solidFill>
                <a:srgbClr val="000000"/>
              </a:solidFill>
              <a:latin typeface="Helvetica" pitchFamily="2" charset="0"/>
            </a:defRPr>
          </a:pPr>
          <a:endParaRPr lang="en-US"/>
        </a:p>
      </c:txPr>
    </c:legend>
    <c:plotVisOnly val="1"/>
    <c:dispBlanksAs val="gap"/>
    <c:showDLblsOverMax val="1"/>
  </c:chart>
  <c:spPr>
    <a:solidFill>
      <a:srgbClr val="FFFFFF"/>
    </a:solidFill>
    <a:ln w="9360">
      <a:no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000" b="1" strike="noStrike" spc="-1">
                <a:solidFill>
                  <a:srgbClr val="000000"/>
                </a:solidFill>
                <a:latin typeface="Calibri"/>
              </a:defRPr>
            </a:pPr>
            <a:r>
              <a:rPr lang="en-US" sz="900" b="1" strike="noStrike" spc="-1">
                <a:solidFill>
                  <a:srgbClr val="000000"/>
                </a:solidFill>
                <a:latin typeface="Helvetica" pitchFamily="2" charset="0"/>
              </a:rPr>
              <a:t>Figure 2.  Inflation above target across major economies (2026)</a:t>
            </a:r>
          </a:p>
        </c:rich>
      </c:tx>
      <c:overlay val="0"/>
      <c:spPr>
        <a:noFill/>
        <a:ln w="0">
          <a:noFill/>
        </a:ln>
      </c:spPr>
    </c:title>
    <c:autoTitleDeleted val="0"/>
    <c:plotArea>
      <c:layout>
        <c:manualLayout>
          <c:layoutTarget val="inner"/>
          <c:xMode val="edge"/>
          <c:yMode val="edge"/>
          <c:x val="0.11918476325482255"/>
          <c:y val="0.21679884540899799"/>
          <c:w val="0.789052073100869"/>
          <c:h val="0.62743401223208639"/>
        </c:manualLayout>
      </c:layout>
      <c:barChart>
        <c:barDir val="col"/>
        <c:grouping val="clustered"/>
        <c:varyColors val="0"/>
        <c:ser>
          <c:idx val="0"/>
          <c:order val="0"/>
          <c:tx>
            <c:strRef>
              <c:f>'Chart Data'!$C$3</c:f>
              <c:strCache>
                <c:ptCount val="1"/>
                <c:pt idx="0">
                  <c:v>YoY Inflation (%)</c:v>
                </c:pt>
              </c:strCache>
            </c:strRef>
          </c:tx>
          <c:spPr>
            <a:solidFill>
              <a:srgbClr val="4F81BD"/>
            </a:solidFill>
            <a:ln w="9360">
              <a:noFill/>
            </a:ln>
          </c:spPr>
          <c:invertIfNegative val="0"/>
          <c:dPt>
            <c:idx val="0"/>
            <c:invertIfNegative val="0"/>
            <c:bubble3D val="0"/>
            <c:spPr>
              <a:solidFill>
                <a:srgbClr val="80A6D0"/>
              </a:solidFill>
              <a:ln w="9360">
                <a:noFill/>
              </a:ln>
            </c:spPr>
            <c:extLst>
              <c:ext xmlns:c16="http://schemas.microsoft.com/office/drawing/2014/chart" uri="{C3380CC4-5D6E-409C-BE32-E72D297353CC}">
                <c16:uniqueId val="{00000001-00D2-5D48-B614-5EB90A40C648}"/>
              </c:ext>
            </c:extLst>
          </c:dPt>
          <c:dPt>
            <c:idx val="1"/>
            <c:invertIfNegative val="0"/>
            <c:bubble3D val="0"/>
            <c:spPr>
              <a:solidFill>
                <a:srgbClr val="212D85"/>
              </a:solidFill>
              <a:ln w="9360">
                <a:noFill/>
              </a:ln>
            </c:spPr>
            <c:extLst>
              <c:ext xmlns:c16="http://schemas.microsoft.com/office/drawing/2014/chart" uri="{C3380CC4-5D6E-409C-BE32-E72D297353CC}">
                <c16:uniqueId val="{00000003-00D2-5D48-B614-5EB90A40C648}"/>
              </c:ext>
            </c:extLst>
          </c:dPt>
          <c:dPt>
            <c:idx val="2"/>
            <c:invertIfNegative val="0"/>
            <c:bubble3D val="0"/>
            <c:spPr>
              <a:solidFill>
                <a:schemeClr val="bg2">
                  <a:lumMod val="75000"/>
                </a:schemeClr>
              </a:solidFill>
              <a:ln w="9360">
                <a:noFill/>
              </a:ln>
            </c:spPr>
            <c:extLst>
              <c:ext xmlns:c16="http://schemas.microsoft.com/office/drawing/2014/chart" uri="{C3380CC4-5D6E-409C-BE32-E72D297353CC}">
                <c16:uniqueId val="{00000005-00D2-5D48-B614-5EB90A40C648}"/>
              </c:ext>
            </c:extLst>
          </c:dPt>
          <c:dLbls>
            <c:dLbl>
              <c:idx val="0"/>
              <c:spPr/>
              <c:txPr>
                <a:bodyPr wrap="square"/>
                <a:lstStyle/>
                <a:p>
                  <a:pPr>
                    <a:defRPr sz="9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00D2-5D48-B614-5EB90A40C648}"/>
                </c:ext>
              </c:extLst>
            </c:dLbl>
            <c:dLbl>
              <c:idx val="1"/>
              <c:spPr/>
              <c:txPr>
                <a:bodyPr wrap="square"/>
                <a:lstStyle/>
                <a:p>
                  <a:pPr>
                    <a:defRPr sz="9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00D2-5D48-B614-5EB90A40C648}"/>
                </c:ext>
              </c:extLst>
            </c:dLbl>
            <c:dLbl>
              <c:idx val="2"/>
              <c:spPr/>
              <c:txPr>
                <a:bodyPr wrap="square"/>
                <a:lstStyle/>
                <a:p>
                  <a:pPr>
                    <a:defRPr sz="9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00D2-5D48-B614-5EB90A40C648}"/>
                </c:ext>
              </c:extLst>
            </c:dLbl>
            <c:spPr>
              <a:noFill/>
              <a:ln>
                <a:noFill/>
              </a:ln>
              <a:effectLst/>
            </c:spPr>
            <c:txPr>
              <a:bodyPr wrap="square"/>
              <a:lstStyle/>
              <a:p>
                <a:pPr>
                  <a:defRPr sz="9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Data'!$A$4:$A$6</c:f>
              <c:strCache>
                <c:ptCount val="3"/>
                <c:pt idx="0">
                  <c:v>United States</c:v>
                </c:pt>
                <c:pt idx="1">
                  <c:v>Euro area</c:v>
                </c:pt>
                <c:pt idx="2">
                  <c:v>United Kingdom</c:v>
                </c:pt>
              </c:strCache>
            </c:strRef>
          </c:cat>
          <c:val>
            <c:numRef>
              <c:f>'Chart Data'!$C$4:$C$6</c:f>
              <c:numCache>
                <c:formatCode>0.0%</c:formatCode>
                <c:ptCount val="3"/>
                <c:pt idx="0">
                  <c:v>3.3000000000000002E-2</c:v>
                </c:pt>
                <c:pt idx="1">
                  <c:v>3.2000000000000001E-2</c:v>
                </c:pt>
                <c:pt idx="2">
                  <c:v>3.3000000000000002E-2</c:v>
                </c:pt>
              </c:numCache>
            </c:numRef>
          </c:val>
          <c:extLst>
            <c:ext xmlns:c16="http://schemas.microsoft.com/office/drawing/2014/chart" uri="{C3380CC4-5D6E-409C-BE32-E72D297353CC}">
              <c16:uniqueId val="{00000006-00D2-5D48-B614-5EB90A40C648}"/>
            </c:ext>
          </c:extLst>
        </c:ser>
        <c:dLbls>
          <c:showLegendKey val="0"/>
          <c:showVal val="0"/>
          <c:showCatName val="0"/>
          <c:showSerName val="0"/>
          <c:showPercent val="0"/>
          <c:showBubbleSize val="0"/>
        </c:dLbls>
        <c:gapWidth val="150"/>
        <c:axId val="87621288"/>
        <c:axId val="81816149"/>
      </c:barChart>
      <c:catAx>
        <c:axId val="87621288"/>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900" b="0" strike="noStrike" spc="-1">
                <a:solidFill>
                  <a:srgbClr val="000000"/>
                </a:solidFill>
                <a:latin typeface="Helvetica" pitchFamily="2" charset="0"/>
              </a:defRPr>
            </a:pPr>
            <a:endParaRPr lang="en-US"/>
          </a:p>
        </c:txPr>
        <c:crossAx val="81816149"/>
        <c:crosses val="autoZero"/>
        <c:auto val="1"/>
        <c:lblAlgn val="ctr"/>
        <c:lblOffset val="100"/>
        <c:noMultiLvlLbl val="0"/>
      </c:catAx>
      <c:valAx>
        <c:axId val="81816149"/>
        <c:scaling>
          <c:orientation val="minMax"/>
          <c:max val="0.04"/>
          <c:min val="0"/>
        </c:scaling>
        <c:delete val="0"/>
        <c:axPos val="l"/>
        <c:title>
          <c:tx>
            <c:rich>
              <a:bodyPr rot="-5400000"/>
              <a:lstStyle/>
              <a:p>
                <a:pPr>
                  <a:defRPr sz="1000" b="1" strike="noStrike" spc="-1">
                    <a:solidFill>
                      <a:srgbClr val="000000"/>
                    </a:solidFill>
                    <a:latin typeface="Calibri"/>
                  </a:defRPr>
                </a:pPr>
                <a:r>
                  <a:rPr lang="en-US" sz="900" b="1" strike="noStrike" spc="-1">
                    <a:solidFill>
                      <a:srgbClr val="000000"/>
                    </a:solidFill>
                    <a:latin typeface="Helvetica" pitchFamily="2" charset="0"/>
                  </a:rPr>
                  <a:t>YoY inflation (%)</a:t>
                </a:r>
              </a:p>
            </c:rich>
          </c:tx>
          <c:layout>
            <c:manualLayout>
              <c:xMode val="edge"/>
              <c:yMode val="edge"/>
              <c:x val="1.5579810945981793E-3"/>
              <c:y val="0.26590732762178315"/>
            </c:manualLayout>
          </c:layout>
          <c:overlay val="0"/>
          <c:spPr>
            <a:noFill/>
            <a:ln w="0">
              <a:noFill/>
            </a:ln>
          </c:spPr>
        </c:title>
        <c:numFmt formatCode="0.0%" sourceLinked="0"/>
        <c:majorTickMark val="none"/>
        <c:minorTickMark val="none"/>
        <c:tickLblPos val="nextTo"/>
        <c:spPr>
          <a:ln w="0">
            <a:solidFill>
              <a:srgbClr val="B3B3B3"/>
            </a:solidFill>
          </a:ln>
        </c:spPr>
        <c:txPr>
          <a:bodyPr/>
          <a:lstStyle/>
          <a:p>
            <a:pPr>
              <a:defRPr sz="1000" b="0" strike="noStrike" spc="-1">
                <a:solidFill>
                  <a:srgbClr val="000000"/>
                </a:solidFill>
                <a:latin typeface="Calibri"/>
              </a:defRPr>
            </a:pPr>
            <a:endParaRPr lang="en-US"/>
          </a:p>
        </c:txPr>
        <c:crossAx val="87621288"/>
        <c:crosses val="autoZero"/>
        <c:crossBetween val="between"/>
      </c:valAx>
      <c:spPr>
        <a:noFill/>
        <a:ln w="0">
          <a:noFill/>
        </a:ln>
      </c:spPr>
    </c:plotArea>
    <c:plotVisOnly val="1"/>
    <c:dispBlanksAs val="gap"/>
    <c:showDLblsOverMax val="1"/>
  </c:chart>
  <c:spPr>
    <a:solidFill>
      <a:srgbClr val="FFFFFF"/>
    </a:solidFill>
    <a:ln w="9360">
      <a:noFill/>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000" b="1" strike="noStrike" spc="-1">
                <a:solidFill>
                  <a:srgbClr val="000000"/>
                </a:solidFill>
                <a:latin typeface="Helvetica" pitchFamily="2" charset="0"/>
              </a:rPr>
              <a:t>Figure 3.  Major central bank policy rates (as of 20 June 2026)</a:t>
            </a:r>
          </a:p>
        </c:rich>
      </c:tx>
      <c:overlay val="0"/>
      <c:spPr>
        <a:noFill/>
        <a:ln w="0">
          <a:noFill/>
        </a:ln>
      </c:spPr>
    </c:title>
    <c:autoTitleDeleted val="0"/>
    <c:plotArea>
      <c:layout>
        <c:manualLayout>
          <c:layoutTarget val="inner"/>
          <c:xMode val="edge"/>
          <c:yMode val="edge"/>
          <c:x val="0.1324214382567738"/>
          <c:y val="0.13563501849568435"/>
          <c:w val="0.85031485867891909"/>
          <c:h val="0.76184791790052142"/>
        </c:manualLayout>
      </c:layout>
      <c:barChart>
        <c:barDir val="col"/>
        <c:grouping val="clustered"/>
        <c:varyColors val="0"/>
        <c:ser>
          <c:idx val="0"/>
          <c:order val="0"/>
          <c:tx>
            <c:strRef>
              <c:f>'Chart Data'!$G$3</c:f>
              <c:strCache>
                <c:ptCount val="1"/>
                <c:pt idx="0">
                  <c:v>Policy Rate (%)</c:v>
                </c:pt>
              </c:strCache>
            </c:strRef>
          </c:tx>
          <c:spPr>
            <a:solidFill>
              <a:srgbClr val="4F81BD"/>
            </a:solidFill>
            <a:ln w="9360">
              <a:noFill/>
            </a:ln>
          </c:spPr>
          <c:invertIfNegative val="0"/>
          <c:dPt>
            <c:idx val="0"/>
            <c:invertIfNegative val="0"/>
            <c:bubble3D val="0"/>
            <c:spPr>
              <a:solidFill>
                <a:srgbClr val="80A6D0"/>
              </a:solidFill>
              <a:ln w="9360">
                <a:noFill/>
              </a:ln>
            </c:spPr>
            <c:extLst>
              <c:ext xmlns:c16="http://schemas.microsoft.com/office/drawing/2014/chart" uri="{C3380CC4-5D6E-409C-BE32-E72D297353CC}">
                <c16:uniqueId val="{00000001-DEFF-CA4C-99D3-1281577BF65E}"/>
              </c:ext>
            </c:extLst>
          </c:dPt>
          <c:dPt>
            <c:idx val="1"/>
            <c:invertIfNegative val="0"/>
            <c:bubble3D val="0"/>
            <c:spPr>
              <a:solidFill>
                <a:schemeClr val="bg2">
                  <a:lumMod val="75000"/>
                </a:schemeClr>
              </a:solidFill>
              <a:ln w="9360">
                <a:noFill/>
              </a:ln>
            </c:spPr>
            <c:extLst>
              <c:ext xmlns:c16="http://schemas.microsoft.com/office/drawing/2014/chart" uri="{C3380CC4-5D6E-409C-BE32-E72D297353CC}">
                <c16:uniqueId val="{00000003-DEFF-CA4C-99D3-1281577BF65E}"/>
              </c:ext>
            </c:extLst>
          </c:dPt>
          <c:dPt>
            <c:idx val="2"/>
            <c:invertIfNegative val="0"/>
            <c:bubble3D val="0"/>
            <c:spPr>
              <a:solidFill>
                <a:srgbClr val="212D85"/>
              </a:solidFill>
              <a:ln w="9360">
                <a:noFill/>
              </a:ln>
            </c:spPr>
            <c:extLst>
              <c:ext xmlns:c16="http://schemas.microsoft.com/office/drawing/2014/chart" uri="{C3380CC4-5D6E-409C-BE32-E72D297353CC}">
                <c16:uniqueId val="{00000005-DEFF-CA4C-99D3-1281577BF65E}"/>
              </c:ext>
            </c:extLst>
          </c:dPt>
          <c:dPt>
            <c:idx val="3"/>
            <c:invertIfNegative val="0"/>
            <c:bubble3D val="0"/>
            <c:spPr>
              <a:solidFill>
                <a:srgbClr val="E2C7D3"/>
              </a:solidFill>
              <a:ln w="9360">
                <a:noFill/>
              </a:ln>
            </c:spPr>
            <c:extLst>
              <c:ext xmlns:c16="http://schemas.microsoft.com/office/drawing/2014/chart" uri="{C3380CC4-5D6E-409C-BE32-E72D297353CC}">
                <c16:uniqueId val="{00000007-DEFF-CA4C-99D3-1281577BF65E}"/>
              </c:ext>
            </c:extLst>
          </c:dPt>
          <c:dLbls>
            <c:dLbl>
              <c:idx val="0"/>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DEFF-CA4C-99D3-1281577BF65E}"/>
                </c:ext>
              </c:extLst>
            </c:dLbl>
            <c:dLbl>
              <c:idx val="1"/>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DEFF-CA4C-99D3-1281577BF65E}"/>
                </c:ext>
              </c:extLst>
            </c:dLbl>
            <c:dLbl>
              <c:idx val="2"/>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DEFF-CA4C-99D3-1281577BF65E}"/>
                </c:ext>
              </c:extLst>
            </c:dLbl>
            <c:dLbl>
              <c:idx val="3"/>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DEFF-CA4C-99D3-1281577BF65E}"/>
                </c:ext>
              </c:extLst>
            </c:dLbl>
            <c:spPr>
              <a:noFill/>
              <a:ln>
                <a:noFill/>
              </a:ln>
              <a:effectLst/>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Data'!$F$4:$F$7</c:f>
              <c:strCache>
                <c:ptCount val="4"/>
                <c:pt idx="0">
                  <c:v>Federal Reserve</c:v>
                </c:pt>
                <c:pt idx="1">
                  <c:v>Bank of England</c:v>
                </c:pt>
                <c:pt idx="2">
                  <c:v>ECB (deposit)</c:v>
                </c:pt>
                <c:pt idx="3">
                  <c:v>Bank of Japan</c:v>
                </c:pt>
              </c:strCache>
            </c:strRef>
          </c:cat>
          <c:val>
            <c:numRef>
              <c:f>'Chart Data'!$G$4:$G$7</c:f>
              <c:numCache>
                <c:formatCode>0.00%</c:formatCode>
                <c:ptCount val="4"/>
                <c:pt idx="0">
                  <c:v>3.7499999999999999E-2</c:v>
                </c:pt>
                <c:pt idx="1">
                  <c:v>3.7499999999999999E-2</c:v>
                </c:pt>
                <c:pt idx="2">
                  <c:v>2.2499999999999999E-2</c:v>
                </c:pt>
                <c:pt idx="3">
                  <c:v>0.01</c:v>
                </c:pt>
              </c:numCache>
            </c:numRef>
          </c:val>
          <c:extLst>
            <c:ext xmlns:c16="http://schemas.microsoft.com/office/drawing/2014/chart" uri="{C3380CC4-5D6E-409C-BE32-E72D297353CC}">
              <c16:uniqueId val="{00000008-DEFF-CA4C-99D3-1281577BF65E}"/>
            </c:ext>
          </c:extLst>
        </c:ser>
        <c:dLbls>
          <c:showLegendKey val="0"/>
          <c:showVal val="0"/>
          <c:showCatName val="0"/>
          <c:showSerName val="0"/>
          <c:showPercent val="0"/>
          <c:showBubbleSize val="0"/>
        </c:dLbls>
        <c:gapWidth val="150"/>
        <c:axId val="81586147"/>
        <c:axId val="93717761"/>
      </c:barChart>
      <c:catAx>
        <c:axId val="81586147"/>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93717761"/>
        <c:crosses val="autoZero"/>
        <c:auto val="1"/>
        <c:lblAlgn val="ctr"/>
        <c:lblOffset val="100"/>
        <c:noMultiLvlLbl val="0"/>
      </c:catAx>
      <c:valAx>
        <c:axId val="93717761"/>
        <c:scaling>
          <c:orientation val="minMax"/>
          <c:max val="4.4999999999999998E-2"/>
          <c:min val="0"/>
        </c:scaling>
        <c:delete val="0"/>
        <c:axPos val="l"/>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Policy rate (%)</a:t>
                </a:r>
              </a:p>
            </c:rich>
          </c:tx>
          <c:layout>
            <c:manualLayout>
              <c:xMode val="edge"/>
              <c:yMode val="edge"/>
              <c:x val="6.4738886491152352E-3"/>
              <c:y val="0.28610250784003416"/>
            </c:manualLayout>
          </c:layout>
          <c:overlay val="0"/>
          <c:spPr>
            <a:noFill/>
            <a:ln w="0">
              <a:noFill/>
            </a:ln>
          </c:spPr>
        </c:title>
        <c:numFmt formatCode="0.0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81586147"/>
        <c:crosses val="autoZero"/>
        <c:crossBetween val="between"/>
      </c:valAx>
      <c:spPr>
        <a:noFill/>
        <a:ln w="25400">
          <a:noFill/>
        </a:ln>
      </c:spPr>
    </c:plotArea>
    <c:plotVisOnly val="1"/>
    <c:dispBlanksAs val="gap"/>
    <c:showDLblsOverMax val="1"/>
  </c:chart>
  <c:spPr>
    <a:solidFill>
      <a:srgbClr val="FFFFFF"/>
    </a:solidFill>
    <a:ln w="9360">
      <a:no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000" b="1" strike="noStrike" spc="-1">
                <a:solidFill>
                  <a:srgbClr val="000000"/>
                </a:solidFill>
                <a:latin typeface="Helvetica" pitchFamily="2" charset="0"/>
              </a:rPr>
              <a:t>Figure 4.  US federal funds target, upper bound (2024-2026)</a:t>
            </a:r>
          </a:p>
        </c:rich>
      </c:tx>
      <c:overlay val="0"/>
      <c:spPr>
        <a:noFill/>
        <a:ln w="0">
          <a:noFill/>
        </a:ln>
      </c:spPr>
    </c:title>
    <c:autoTitleDeleted val="0"/>
    <c:plotArea>
      <c:layout/>
      <c:lineChart>
        <c:grouping val="standard"/>
        <c:varyColors val="0"/>
        <c:ser>
          <c:idx val="0"/>
          <c:order val="0"/>
          <c:tx>
            <c:strRef>
              <c:f>'Chart Data'!$B$12</c:f>
              <c:strCache>
                <c:ptCount val="1"/>
                <c:pt idx="0">
                  <c:v>Fed Funds Upper Bound (%)</c:v>
                </c:pt>
              </c:strCache>
            </c:strRef>
          </c:tx>
          <c:spPr>
            <a:ln w="20160">
              <a:solidFill>
                <a:srgbClr val="212D85"/>
              </a:solidFill>
              <a:round/>
            </a:ln>
          </c:spPr>
          <c:marker>
            <c:symbol val="circle"/>
            <c:size val="5"/>
            <c:spPr>
              <a:solidFill>
                <a:srgbClr val="3D5BCC"/>
              </a:solidFill>
            </c:spPr>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Data'!$A$13:$A$20</c:f>
              <c:strCache>
                <c:ptCount val="8"/>
                <c:pt idx="0">
                  <c:v>Jan-24</c:v>
                </c:pt>
                <c:pt idx="1">
                  <c:v>Sep-24</c:v>
                </c:pt>
                <c:pt idx="2">
                  <c:v>Nov-24</c:v>
                </c:pt>
                <c:pt idx="3">
                  <c:v>Dec-24</c:v>
                </c:pt>
                <c:pt idx="4">
                  <c:v>Jun-25</c:v>
                </c:pt>
                <c:pt idx="5">
                  <c:v>Dec-25</c:v>
                </c:pt>
                <c:pt idx="6">
                  <c:v>Apr-26</c:v>
                </c:pt>
                <c:pt idx="7">
                  <c:v>Jun-26</c:v>
                </c:pt>
              </c:strCache>
            </c:strRef>
          </c:cat>
          <c:val>
            <c:numRef>
              <c:f>'Chart Data'!$B$13:$B$20</c:f>
              <c:numCache>
                <c:formatCode>0.00%</c:formatCode>
                <c:ptCount val="8"/>
                <c:pt idx="0">
                  <c:v>5.5E-2</c:v>
                </c:pt>
                <c:pt idx="1">
                  <c:v>5.5E-2</c:v>
                </c:pt>
                <c:pt idx="2">
                  <c:v>4.7500000000000001E-2</c:v>
                </c:pt>
                <c:pt idx="3">
                  <c:v>4.4999999999999998E-2</c:v>
                </c:pt>
                <c:pt idx="4">
                  <c:v>4.4999999999999998E-2</c:v>
                </c:pt>
                <c:pt idx="5">
                  <c:v>3.7499999999999999E-2</c:v>
                </c:pt>
                <c:pt idx="6">
                  <c:v>3.7499999999999999E-2</c:v>
                </c:pt>
                <c:pt idx="7">
                  <c:v>3.7499999999999999E-2</c:v>
                </c:pt>
              </c:numCache>
            </c:numRef>
          </c:val>
          <c:smooth val="0"/>
          <c:extLst>
            <c:ext xmlns:c16="http://schemas.microsoft.com/office/drawing/2014/chart" uri="{C3380CC4-5D6E-409C-BE32-E72D297353CC}">
              <c16:uniqueId val="{00000000-7467-5245-A4AB-0AE0F8C8D88B}"/>
            </c:ext>
          </c:extLst>
        </c:ser>
        <c:dLbls>
          <c:showLegendKey val="0"/>
          <c:showVal val="0"/>
          <c:showCatName val="0"/>
          <c:showSerName val="0"/>
          <c:showPercent val="0"/>
          <c:showBubbleSize val="0"/>
        </c:dLbls>
        <c:hiLowLines>
          <c:spPr>
            <a:ln w="0">
              <a:noFill/>
            </a:ln>
          </c:spPr>
        </c:hiLowLines>
        <c:marker val="1"/>
        <c:smooth val="0"/>
        <c:axId val="86379906"/>
        <c:axId val="31766939"/>
      </c:lineChart>
      <c:catAx>
        <c:axId val="86379906"/>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31766939"/>
        <c:crosses val="autoZero"/>
        <c:auto val="1"/>
        <c:lblAlgn val="ctr"/>
        <c:lblOffset val="100"/>
        <c:noMultiLvlLbl val="0"/>
      </c:catAx>
      <c:valAx>
        <c:axId val="31766939"/>
        <c:scaling>
          <c:orientation val="minMax"/>
          <c:max val="6.0999999999999999E-2"/>
          <c:min val="2.9000000000000001E-2"/>
        </c:scaling>
        <c:delete val="0"/>
        <c:axPos val="l"/>
        <c:majorGridlines>
          <c:spPr>
            <a:ln w="0">
              <a:solidFill>
                <a:srgbClr val="B3B3B3"/>
              </a:solidFill>
            </a:ln>
          </c:spPr>
        </c:majorGridlines>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Target range, upper bound (%)</a:t>
                </a:r>
              </a:p>
            </c:rich>
          </c:tx>
          <c:layout>
            <c:manualLayout>
              <c:xMode val="edge"/>
              <c:yMode val="edge"/>
              <c:x val="2.1105951878429719E-3"/>
              <c:y val="0.16422542108586671"/>
            </c:manualLayout>
          </c:layout>
          <c:overlay val="0"/>
          <c:spPr>
            <a:noFill/>
            <a:ln w="0">
              <a:noFill/>
            </a:ln>
          </c:spPr>
        </c:title>
        <c:numFmt formatCode="0.00%" sourceLinked="0"/>
        <c:majorTickMark val="none"/>
        <c:minorTickMark val="none"/>
        <c:tickLblPos val="nextTo"/>
        <c:spPr>
          <a:ln w="0">
            <a:solidFill>
              <a:srgbClr val="B3B3B3"/>
            </a:solidFill>
          </a:ln>
        </c:spPr>
        <c:txPr>
          <a:bodyPr/>
          <a:lstStyle/>
          <a:p>
            <a:pPr>
              <a:defRPr sz="1000" b="0" strike="noStrike" spc="-1">
                <a:solidFill>
                  <a:srgbClr val="000000"/>
                </a:solidFill>
                <a:latin typeface="Calibri"/>
              </a:defRPr>
            </a:pPr>
            <a:endParaRPr lang="en-US"/>
          </a:p>
        </c:txPr>
        <c:crossAx val="86379906"/>
        <c:crosses val="autoZero"/>
        <c:crossBetween val="between"/>
      </c:valAx>
      <c:spPr>
        <a:noFill/>
        <a:ln w="0">
          <a:noFill/>
        </a:ln>
      </c:spPr>
    </c:plotArea>
    <c:legend>
      <c:legendPos val="r"/>
      <c:legendEntry>
        <c:idx val="0"/>
        <c:txPr>
          <a:bodyPr/>
          <a:lstStyle/>
          <a:p>
            <a:pPr>
              <a:defRPr sz="1000" b="0" strike="noStrike" spc="-1">
                <a:solidFill>
                  <a:srgbClr val="000000"/>
                </a:solidFill>
                <a:latin typeface="Helvetica" pitchFamily="2" charset="0"/>
              </a:defRPr>
            </a:pPr>
            <a:endParaRPr lang="en-US"/>
          </a:p>
        </c:txPr>
      </c:legendEntry>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noFill/>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000" b="1" strike="noStrike" spc="-1">
                <a:solidFill>
                  <a:srgbClr val="000000"/>
                </a:solidFill>
                <a:latin typeface="Helvetica" pitchFamily="2" charset="0"/>
              </a:rPr>
              <a:t>Figure 5.  US Treasury yield curve (mid-June 2026)</a:t>
            </a:r>
          </a:p>
        </c:rich>
      </c:tx>
      <c:overlay val="0"/>
      <c:spPr>
        <a:noFill/>
        <a:ln w="0">
          <a:noFill/>
        </a:ln>
      </c:spPr>
    </c:title>
    <c:autoTitleDeleted val="0"/>
    <c:plotArea>
      <c:layout/>
      <c:lineChart>
        <c:grouping val="standard"/>
        <c:varyColors val="0"/>
        <c:ser>
          <c:idx val="0"/>
          <c:order val="0"/>
          <c:tx>
            <c:strRef>
              <c:f>'Chart Data'!$F$12</c:f>
              <c:strCache>
                <c:ptCount val="1"/>
                <c:pt idx="0">
                  <c:v>Yield (%)</c:v>
                </c:pt>
              </c:strCache>
            </c:strRef>
          </c:tx>
          <c:spPr>
            <a:ln w="20160">
              <a:solidFill>
                <a:srgbClr val="212D85"/>
              </a:solidFill>
              <a:round/>
            </a:ln>
          </c:spPr>
          <c:marker>
            <c:symbol val="circle"/>
            <c:size val="5"/>
            <c:spPr>
              <a:solidFill>
                <a:srgbClr val="E8A0A0"/>
              </a:solidFill>
            </c:spPr>
          </c:marker>
          <c:dLbls>
            <c:dLbl>
              <c:idx val="0"/>
              <c:layout>
                <c:manualLayout>
                  <c:x val="2.9548332629801603E-2"/>
                  <c:y val="1.4609203798392988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6-8C3D-874A-991B-5CE20A49DBB4}"/>
                </c:ext>
              </c:extLst>
            </c:dLbl>
            <c:dLbl>
              <c:idx val="1"/>
              <c:layout>
                <c:manualLayout>
                  <c:x val="3.3769523005487551E-2"/>
                  <c:y val="4.8697345994643204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5-8C3D-874A-991B-5CE20A49DBB4}"/>
                </c:ext>
              </c:extLst>
            </c:dLbl>
            <c:dLbl>
              <c:idx val="2"/>
              <c:layout>
                <c:manualLayout>
                  <c:x val="2.1105951878429716E-2"/>
                  <c:y val="7.7915753591429271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4-8C3D-874A-991B-5CE20A49DBB4}"/>
                </c:ext>
              </c:extLst>
            </c:dLbl>
            <c:dLbl>
              <c:idx val="3"/>
              <c:layout>
                <c:manualLayout>
                  <c:x val="1.8995356690586669E-2"/>
                  <c:y val="2.9218407596785977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3-8C3D-874A-991B-5CE20A49DBB4}"/>
                </c:ext>
              </c:extLst>
            </c:dLbl>
            <c:dLbl>
              <c:idx val="4"/>
              <c:layout>
                <c:manualLayout>
                  <c:x val="1.8995356690586822E-2"/>
                  <c:y val="1.9478938397857318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2-8C3D-874A-991B-5CE20A49DBB4}"/>
                </c:ext>
              </c:extLst>
            </c:dLbl>
            <c:dLbl>
              <c:idx val="5"/>
              <c:layout>
                <c:manualLayout>
                  <c:x val="1.4774166314900802E-2"/>
                  <c:y val="2.4348672997321647E-2"/>
                </c:manualLayout>
              </c:layout>
              <c:dLblPos val="r"/>
              <c:showLegendKey val="0"/>
              <c:showVal val="1"/>
              <c:showCatName val="0"/>
              <c:showSerName val="0"/>
              <c:showPercent val="0"/>
              <c:showBubbleSize val="1"/>
              <c:separator>; </c:separator>
              <c:extLst>
                <c:ext xmlns:c15="http://schemas.microsoft.com/office/drawing/2012/chart" uri="{CE6537A1-D6FC-4f65-9D91-7224C49458BB}"/>
                <c:ext xmlns:c16="http://schemas.microsoft.com/office/drawing/2014/chart" uri="{C3380CC4-5D6E-409C-BE32-E72D297353CC}">
                  <c16:uniqueId val="{00000001-8C3D-874A-991B-5CE20A49DBB4}"/>
                </c:ext>
              </c:extLst>
            </c:dLbl>
            <c:spPr>
              <a:noFill/>
              <a:ln>
                <a:noFill/>
              </a:ln>
              <a:effectLst/>
            </c:spPr>
            <c:txPr>
              <a:bodyPr wrap="square"/>
              <a:lstStyle/>
              <a:p>
                <a:pPr>
                  <a:defRPr sz="1000" b="0" strike="noStrike" spc="-1">
                    <a:solidFill>
                      <a:srgbClr val="000000"/>
                    </a:solidFill>
                    <a:latin typeface="Helvetica" pitchFamily="2" charset="0"/>
                  </a:defRPr>
                </a:pPr>
                <a:endParaRPr lang="en-US"/>
              </a:p>
            </c:txPr>
            <c:dLblPos val="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Data'!$E$13:$E$18</c:f>
              <c:strCache>
                <c:ptCount val="6"/>
                <c:pt idx="0">
                  <c:v>3M</c:v>
                </c:pt>
                <c:pt idx="1">
                  <c:v>1Y</c:v>
                </c:pt>
                <c:pt idx="2">
                  <c:v>2Y</c:v>
                </c:pt>
                <c:pt idx="3">
                  <c:v>5Y</c:v>
                </c:pt>
                <c:pt idx="4">
                  <c:v>10Y</c:v>
                </c:pt>
                <c:pt idx="5">
                  <c:v>30Y</c:v>
                </c:pt>
              </c:strCache>
            </c:strRef>
          </c:cat>
          <c:val>
            <c:numRef>
              <c:f>'Chart Data'!$F$13:$F$18</c:f>
              <c:numCache>
                <c:formatCode>0.00%</c:formatCode>
                <c:ptCount val="6"/>
                <c:pt idx="0">
                  <c:v>3.7699999999999997E-2</c:v>
                </c:pt>
                <c:pt idx="1">
                  <c:v>3.9899999999999998E-2</c:v>
                </c:pt>
                <c:pt idx="2">
                  <c:v>4.2000000000000003E-2</c:v>
                </c:pt>
                <c:pt idx="3">
                  <c:v>4.2700000000000002E-2</c:v>
                </c:pt>
                <c:pt idx="4">
                  <c:v>4.4900000000000002E-2</c:v>
                </c:pt>
                <c:pt idx="5">
                  <c:v>4.9299999999999997E-2</c:v>
                </c:pt>
              </c:numCache>
            </c:numRef>
          </c:val>
          <c:smooth val="1"/>
          <c:extLst>
            <c:ext xmlns:c16="http://schemas.microsoft.com/office/drawing/2014/chart" uri="{C3380CC4-5D6E-409C-BE32-E72D297353CC}">
              <c16:uniqueId val="{00000000-8C3D-874A-991B-5CE20A49DBB4}"/>
            </c:ext>
          </c:extLst>
        </c:ser>
        <c:dLbls>
          <c:showLegendKey val="0"/>
          <c:showVal val="0"/>
          <c:showCatName val="0"/>
          <c:showSerName val="0"/>
          <c:showPercent val="0"/>
          <c:showBubbleSize val="0"/>
        </c:dLbls>
        <c:hiLowLines>
          <c:spPr>
            <a:ln w="0">
              <a:noFill/>
            </a:ln>
          </c:spPr>
        </c:hiLowLines>
        <c:marker val="1"/>
        <c:smooth val="0"/>
        <c:axId val="26932919"/>
        <c:axId val="36304804"/>
      </c:lineChart>
      <c:catAx>
        <c:axId val="26932919"/>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36304804"/>
        <c:crosses val="autoZero"/>
        <c:auto val="1"/>
        <c:lblAlgn val="ctr"/>
        <c:lblOffset val="100"/>
        <c:noMultiLvlLbl val="0"/>
      </c:catAx>
      <c:valAx>
        <c:axId val="36304804"/>
        <c:scaling>
          <c:orientation val="minMax"/>
          <c:max val="5.0999999999999997E-2"/>
          <c:min val="3.5000000000000003E-2"/>
        </c:scaling>
        <c:delete val="0"/>
        <c:axPos val="l"/>
        <c:majorGridlines>
          <c:spPr>
            <a:ln w="0">
              <a:solidFill>
                <a:srgbClr val="B3B3B3"/>
              </a:solidFill>
            </a:ln>
          </c:spPr>
        </c:majorGridlines>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Yield (%)</a:t>
                </a:r>
              </a:p>
            </c:rich>
          </c:tx>
          <c:overlay val="0"/>
          <c:spPr>
            <a:noFill/>
            <a:ln w="0">
              <a:noFill/>
            </a:ln>
          </c:spPr>
        </c:title>
        <c:numFmt formatCode="0.0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26932919"/>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Helvetica" pitchFamily="2" charset="0"/>
            </a:defRPr>
          </a:pPr>
          <a:endParaRPr lang="en-US"/>
        </a:p>
      </c:txPr>
    </c:legend>
    <c:plotVisOnly val="1"/>
    <c:dispBlanksAs val="gap"/>
    <c:showDLblsOverMax val="1"/>
  </c:chart>
  <c:spPr>
    <a:solidFill>
      <a:srgbClr val="FFFFFF"/>
    </a:solidFill>
    <a:ln w="9360">
      <a:noFill/>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000" b="1" strike="noStrike" spc="-1">
                <a:solidFill>
                  <a:srgbClr val="000000"/>
                </a:solidFill>
                <a:latin typeface="Helvetica" pitchFamily="2" charset="0"/>
              </a:rPr>
              <a:t>Figure A.  US sector forward P/E vs the market multiple</a:t>
            </a:r>
          </a:p>
        </c:rich>
      </c:tx>
      <c:overlay val="0"/>
      <c:spPr>
        <a:noFill/>
        <a:ln w="0">
          <a:noFill/>
        </a:ln>
      </c:spPr>
    </c:title>
    <c:autoTitleDeleted val="0"/>
    <c:plotArea>
      <c:layout/>
      <c:barChart>
        <c:barDir val="col"/>
        <c:grouping val="clustered"/>
        <c:varyColors val="0"/>
        <c:ser>
          <c:idx val="0"/>
          <c:order val="0"/>
          <c:tx>
            <c:strRef>
              <c:f>'Chart Data'!$B$25</c:f>
              <c:strCache>
                <c:ptCount val="1"/>
                <c:pt idx="0">
                  <c:v>Forward P/E (x)</c:v>
                </c:pt>
              </c:strCache>
            </c:strRef>
          </c:tx>
          <c:spPr>
            <a:solidFill>
              <a:srgbClr val="4F81BD"/>
            </a:solidFill>
            <a:ln w="9360">
              <a:noFill/>
            </a:ln>
          </c:spPr>
          <c:invertIfNegative val="0"/>
          <c:dPt>
            <c:idx val="0"/>
            <c:invertIfNegative val="0"/>
            <c:bubble3D val="0"/>
            <c:spPr>
              <a:solidFill>
                <a:srgbClr val="2B26B8"/>
              </a:solidFill>
              <a:ln w="9360">
                <a:noFill/>
              </a:ln>
            </c:spPr>
            <c:extLst>
              <c:ext xmlns:c16="http://schemas.microsoft.com/office/drawing/2014/chart" uri="{C3380CC4-5D6E-409C-BE32-E72D297353CC}">
                <c16:uniqueId val="{00000001-AE5F-5D46-8F5E-39431C9108E5}"/>
              </c:ext>
            </c:extLst>
          </c:dPt>
          <c:dPt>
            <c:idx val="1"/>
            <c:invertIfNegative val="0"/>
            <c:bubble3D val="0"/>
            <c:spPr>
              <a:solidFill>
                <a:schemeClr val="tx2">
                  <a:lumMod val="50000"/>
                  <a:lumOff val="50000"/>
                </a:schemeClr>
              </a:solidFill>
              <a:ln w="9360">
                <a:noFill/>
              </a:ln>
            </c:spPr>
            <c:extLst>
              <c:ext xmlns:c16="http://schemas.microsoft.com/office/drawing/2014/chart" uri="{C3380CC4-5D6E-409C-BE32-E72D297353CC}">
                <c16:uniqueId val="{00000003-AE5F-5D46-8F5E-39431C9108E5}"/>
              </c:ext>
            </c:extLst>
          </c:dPt>
          <c:dPt>
            <c:idx val="2"/>
            <c:invertIfNegative val="0"/>
            <c:bubble3D val="0"/>
            <c:spPr>
              <a:solidFill>
                <a:schemeClr val="accent1">
                  <a:lumMod val="75000"/>
                </a:schemeClr>
              </a:solidFill>
              <a:ln w="9360">
                <a:noFill/>
              </a:ln>
            </c:spPr>
            <c:extLst>
              <c:ext xmlns:c16="http://schemas.microsoft.com/office/drawing/2014/chart" uri="{C3380CC4-5D6E-409C-BE32-E72D297353CC}">
                <c16:uniqueId val="{00000005-AE5F-5D46-8F5E-39431C9108E5}"/>
              </c:ext>
            </c:extLst>
          </c:dPt>
          <c:dPt>
            <c:idx val="3"/>
            <c:invertIfNegative val="0"/>
            <c:bubble3D val="0"/>
            <c:spPr>
              <a:solidFill>
                <a:schemeClr val="accent1">
                  <a:lumMod val="50000"/>
                </a:schemeClr>
              </a:solidFill>
              <a:ln w="9360">
                <a:noFill/>
              </a:ln>
            </c:spPr>
            <c:extLst>
              <c:ext xmlns:c16="http://schemas.microsoft.com/office/drawing/2014/chart" uri="{C3380CC4-5D6E-409C-BE32-E72D297353CC}">
                <c16:uniqueId val="{00000007-AE5F-5D46-8F5E-39431C9108E5}"/>
              </c:ext>
            </c:extLst>
          </c:dPt>
          <c:dPt>
            <c:idx val="4"/>
            <c:invertIfNegative val="0"/>
            <c:bubble3D val="0"/>
            <c:spPr>
              <a:solidFill>
                <a:schemeClr val="accent4">
                  <a:lumMod val="75000"/>
                </a:schemeClr>
              </a:solidFill>
              <a:ln w="9360">
                <a:noFill/>
              </a:ln>
            </c:spPr>
            <c:extLst>
              <c:ext xmlns:c16="http://schemas.microsoft.com/office/drawing/2014/chart" uri="{C3380CC4-5D6E-409C-BE32-E72D297353CC}">
                <c16:uniqueId val="{00000009-AE5F-5D46-8F5E-39431C9108E5}"/>
              </c:ext>
            </c:extLst>
          </c:dPt>
          <c:dPt>
            <c:idx val="5"/>
            <c:invertIfNegative val="0"/>
            <c:bubble3D val="0"/>
            <c:spPr>
              <a:solidFill>
                <a:srgbClr val="80A6D0"/>
              </a:solidFill>
              <a:ln w="9360">
                <a:noFill/>
              </a:ln>
            </c:spPr>
            <c:extLst>
              <c:ext xmlns:c16="http://schemas.microsoft.com/office/drawing/2014/chart" uri="{C3380CC4-5D6E-409C-BE32-E72D297353CC}">
                <c16:uniqueId val="{0000000B-AE5F-5D46-8F5E-39431C9108E5}"/>
              </c:ext>
            </c:extLst>
          </c:dPt>
          <c:dPt>
            <c:idx val="6"/>
            <c:invertIfNegative val="0"/>
            <c:bubble3D val="0"/>
            <c:spPr>
              <a:solidFill>
                <a:srgbClr val="8DB9EF"/>
              </a:solidFill>
              <a:ln w="9360">
                <a:noFill/>
              </a:ln>
            </c:spPr>
            <c:extLst>
              <c:ext xmlns:c16="http://schemas.microsoft.com/office/drawing/2014/chart" uri="{C3380CC4-5D6E-409C-BE32-E72D297353CC}">
                <c16:uniqueId val="{0000000D-AE5F-5D46-8F5E-39431C9108E5}"/>
              </c:ext>
            </c:extLst>
          </c:dPt>
          <c:dPt>
            <c:idx val="7"/>
            <c:invertIfNegative val="0"/>
            <c:bubble3D val="0"/>
            <c:spPr>
              <a:solidFill>
                <a:schemeClr val="tx2">
                  <a:lumMod val="50000"/>
                  <a:lumOff val="50000"/>
                </a:schemeClr>
              </a:solidFill>
              <a:ln w="9360">
                <a:noFill/>
              </a:ln>
            </c:spPr>
            <c:extLst>
              <c:ext xmlns:c16="http://schemas.microsoft.com/office/drawing/2014/chart" uri="{C3380CC4-5D6E-409C-BE32-E72D297353CC}">
                <c16:uniqueId val="{0000000F-AE5F-5D46-8F5E-39431C9108E5}"/>
              </c:ext>
            </c:extLst>
          </c:dPt>
          <c:dPt>
            <c:idx val="8"/>
            <c:invertIfNegative val="0"/>
            <c:bubble3D val="0"/>
            <c:spPr>
              <a:solidFill>
                <a:schemeClr val="tx2">
                  <a:lumMod val="75000"/>
                  <a:lumOff val="25000"/>
                </a:schemeClr>
              </a:solidFill>
              <a:ln w="9360">
                <a:noFill/>
              </a:ln>
            </c:spPr>
            <c:extLst>
              <c:ext xmlns:c16="http://schemas.microsoft.com/office/drawing/2014/chart" uri="{C3380CC4-5D6E-409C-BE32-E72D297353CC}">
                <c16:uniqueId val="{00000011-AE5F-5D46-8F5E-39431C9108E5}"/>
              </c:ext>
            </c:extLst>
          </c:dPt>
          <c:dPt>
            <c:idx val="9"/>
            <c:invertIfNegative val="0"/>
            <c:bubble3D val="0"/>
            <c:spPr>
              <a:solidFill>
                <a:schemeClr val="tx2">
                  <a:lumMod val="90000"/>
                  <a:lumOff val="10000"/>
                </a:schemeClr>
              </a:solidFill>
              <a:ln w="9360">
                <a:noFill/>
              </a:ln>
            </c:spPr>
            <c:extLst>
              <c:ext xmlns:c16="http://schemas.microsoft.com/office/drawing/2014/chart" uri="{C3380CC4-5D6E-409C-BE32-E72D297353CC}">
                <c16:uniqueId val="{00000013-AE5F-5D46-8F5E-39431C9108E5}"/>
              </c:ext>
            </c:extLst>
          </c:dPt>
          <c:dLbls>
            <c:dLbl>
              <c:idx val="0"/>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AE5F-5D46-8F5E-39431C9108E5}"/>
                </c:ext>
              </c:extLst>
            </c:dLbl>
            <c:dLbl>
              <c:idx val="1"/>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AE5F-5D46-8F5E-39431C9108E5}"/>
                </c:ext>
              </c:extLst>
            </c:dLbl>
            <c:dLbl>
              <c:idx val="2"/>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AE5F-5D46-8F5E-39431C9108E5}"/>
                </c:ext>
              </c:extLst>
            </c:dLbl>
            <c:dLbl>
              <c:idx val="3"/>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AE5F-5D46-8F5E-39431C9108E5}"/>
                </c:ext>
              </c:extLst>
            </c:dLbl>
            <c:dLbl>
              <c:idx val="4"/>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9-AE5F-5D46-8F5E-39431C9108E5}"/>
                </c:ext>
              </c:extLst>
            </c:dLbl>
            <c:dLbl>
              <c:idx val="5"/>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B-AE5F-5D46-8F5E-39431C9108E5}"/>
                </c:ext>
              </c:extLst>
            </c:dLbl>
            <c:dLbl>
              <c:idx val="6"/>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D-AE5F-5D46-8F5E-39431C9108E5}"/>
                </c:ext>
              </c:extLst>
            </c:dLbl>
            <c:dLbl>
              <c:idx val="7"/>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AE5F-5D46-8F5E-39431C9108E5}"/>
                </c:ext>
              </c:extLst>
            </c:dLbl>
            <c:dLbl>
              <c:idx val="8"/>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AE5F-5D46-8F5E-39431C9108E5}"/>
                </c:ext>
              </c:extLst>
            </c:dLbl>
            <c:dLbl>
              <c:idx val="9"/>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3-AE5F-5D46-8F5E-39431C9108E5}"/>
                </c:ext>
              </c:extLst>
            </c:dLbl>
            <c:spPr>
              <a:noFill/>
              <a:ln>
                <a:noFill/>
              </a:ln>
              <a:effectLst/>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Data'!$A$26:$A$35</c:f>
              <c:strCache>
                <c:ptCount val="10"/>
                <c:pt idx="0">
                  <c:v>Energy</c:v>
                </c:pt>
                <c:pt idx="1">
                  <c:v>Financials</c:v>
                </c:pt>
                <c:pt idx="2">
                  <c:v>Comm. Services</c:v>
                </c:pt>
                <c:pt idx="3">
                  <c:v>Health Care</c:v>
                </c:pt>
                <c:pt idx="4">
                  <c:v>Materials</c:v>
                </c:pt>
                <c:pt idx="5">
                  <c:v>Utilities</c:v>
                </c:pt>
                <c:pt idx="6">
                  <c:v>Cons. Staples</c:v>
                </c:pt>
                <c:pt idx="7">
                  <c:v>Industrials</c:v>
                </c:pt>
                <c:pt idx="8">
                  <c:v>Cons. Discr.</c:v>
                </c:pt>
                <c:pt idx="9">
                  <c:v>Info. Tech</c:v>
                </c:pt>
              </c:strCache>
            </c:strRef>
          </c:cat>
          <c:val>
            <c:numRef>
              <c:f>'Chart Data'!$B$26:$B$35</c:f>
              <c:numCache>
                <c:formatCode>0.0</c:formatCode>
                <c:ptCount val="10"/>
                <c:pt idx="0">
                  <c:v>12.5</c:v>
                </c:pt>
                <c:pt idx="1">
                  <c:v>15.5</c:v>
                </c:pt>
                <c:pt idx="2">
                  <c:v>16</c:v>
                </c:pt>
                <c:pt idx="3">
                  <c:v>18</c:v>
                </c:pt>
                <c:pt idx="4">
                  <c:v>18</c:v>
                </c:pt>
                <c:pt idx="5">
                  <c:v>18</c:v>
                </c:pt>
                <c:pt idx="6">
                  <c:v>20</c:v>
                </c:pt>
                <c:pt idx="7">
                  <c:v>27</c:v>
                </c:pt>
                <c:pt idx="8">
                  <c:v>30</c:v>
                </c:pt>
                <c:pt idx="9">
                  <c:v>40</c:v>
                </c:pt>
              </c:numCache>
            </c:numRef>
          </c:val>
          <c:extLst>
            <c:ext xmlns:c16="http://schemas.microsoft.com/office/drawing/2014/chart" uri="{C3380CC4-5D6E-409C-BE32-E72D297353CC}">
              <c16:uniqueId val="{00000014-AE5F-5D46-8F5E-39431C9108E5}"/>
            </c:ext>
          </c:extLst>
        </c:ser>
        <c:dLbls>
          <c:showLegendKey val="0"/>
          <c:showVal val="0"/>
          <c:showCatName val="0"/>
          <c:showSerName val="0"/>
          <c:showPercent val="0"/>
          <c:showBubbleSize val="0"/>
        </c:dLbls>
        <c:gapWidth val="150"/>
        <c:axId val="67818199"/>
        <c:axId val="30053555"/>
      </c:barChart>
      <c:catAx>
        <c:axId val="67818199"/>
        <c:scaling>
          <c:orientation val="minMax"/>
        </c:scaling>
        <c:delete val="0"/>
        <c:axPos val="b"/>
        <c:numFmt formatCode="General"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30053555"/>
        <c:crosses val="autoZero"/>
        <c:auto val="1"/>
        <c:lblAlgn val="ctr"/>
        <c:lblOffset val="100"/>
        <c:noMultiLvlLbl val="0"/>
      </c:catAx>
      <c:valAx>
        <c:axId val="30053555"/>
        <c:scaling>
          <c:orientation val="minMax"/>
          <c:max val="45"/>
          <c:min val="0"/>
        </c:scaling>
        <c:delete val="0"/>
        <c:axPos val="l"/>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Forward P/E (x)</a:t>
                </a:r>
              </a:p>
            </c:rich>
          </c:tx>
          <c:layout>
            <c:manualLayout>
              <c:xMode val="edge"/>
              <c:yMode val="edge"/>
              <c:x val="1.0570824524312896E-2"/>
              <c:y val="0.2230070720326626"/>
            </c:manualLayout>
          </c:layout>
          <c:overlay val="0"/>
          <c:spPr>
            <a:noFill/>
            <a:ln w="0">
              <a:noFill/>
            </a:ln>
          </c:spPr>
        </c:title>
        <c:numFmt formatCode="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67818199"/>
        <c:crosses val="autoZero"/>
        <c:crossBetween val="between"/>
      </c:valAx>
      <c:spPr>
        <a:noFill/>
        <a:ln w="0">
          <a:noFill/>
        </a:ln>
      </c:spPr>
    </c:plotArea>
    <c:plotVisOnly val="1"/>
    <c:dispBlanksAs val="gap"/>
    <c:showDLblsOverMax val="1"/>
  </c:chart>
  <c:spPr>
    <a:solidFill>
      <a:srgbClr val="FFFFFF"/>
    </a:solidFill>
    <a:ln w="9360">
      <a:noFill/>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000" b="1" strike="noStrike" spc="-1">
                <a:solidFill>
                  <a:srgbClr val="000000"/>
                </a:solidFill>
                <a:latin typeface="Calibri"/>
              </a:defRPr>
            </a:pPr>
            <a:r>
              <a:rPr lang="en-US" sz="1000" b="1" strike="noStrike" spc="-1">
                <a:solidFill>
                  <a:srgbClr val="000000"/>
                </a:solidFill>
                <a:latin typeface="Helvetica" pitchFamily="2" charset="0"/>
              </a:rPr>
              <a:t>Figure B.  US sector active tilts - overweights vs underweights</a:t>
            </a:r>
          </a:p>
        </c:rich>
      </c:tx>
      <c:overlay val="0"/>
      <c:spPr>
        <a:noFill/>
        <a:ln w="0">
          <a:noFill/>
        </a:ln>
      </c:spPr>
    </c:title>
    <c:autoTitleDeleted val="0"/>
    <c:plotArea>
      <c:layout>
        <c:manualLayout>
          <c:layoutTarget val="inner"/>
          <c:xMode val="edge"/>
          <c:yMode val="edge"/>
          <c:x val="4.5163718479488142E-2"/>
          <c:y val="0.10984987184181619"/>
          <c:w val="0.84202107640195711"/>
          <c:h val="0.81095471359745352"/>
        </c:manualLayout>
      </c:layout>
      <c:barChart>
        <c:barDir val="bar"/>
        <c:grouping val="clustered"/>
        <c:varyColors val="0"/>
        <c:ser>
          <c:idx val="0"/>
          <c:order val="0"/>
          <c:tx>
            <c:strRef>
              <c:f>'Chart Data'!$G$25</c:f>
              <c:strCache>
                <c:ptCount val="1"/>
                <c:pt idx="0">
                  <c:v>Active Tilt (pp)</c:v>
                </c:pt>
              </c:strCache>
            </c:strRef>
          </c:tx>
          <c:spPr>
            <a:solidFill>
              <a:srgbClr val="4F81BD"/>
            </a:solidFill>
            <a:ln w="9360">
              <a:noFill/>
            </a:ln>
          </c:spPr>
          <c:invertIfNegative val="0"/>
          <c:dPt>
            <c:idx val="0"/>
            <c:invertIfNegative val="0"/>
            <c:bubble3D val="0"/>
            <c:spPr>
              <a:solidFill>
                <a:srgbClr val="212D85"/>
              </a:solidFill>
              <a:ln w="9360">
                <a:noFill/>
              </a:ln>
            </c:spPr>
            <c:extLst>
              <c:ext xmlns:c16="http://schemas.microsoft.com/office/drawing/2014/chart" uri="{C3380CC4-5D6E-409C-BE32-E72D297353CC}">
                <c16:uniqueId val="{00000001-3B10-2F4D-A908-51D8A489F944}"/>
              </c:ext>
            </c:extLst>
          </c:dPt>
          <c:dPt>
            <c:idx val="1"/>
            <c:invertIfNegative val="0"/>
            <c:bubble3D val="0"/>
            <c:spPr>
              <a:solidFill>
                <a:srgbClr val="212D85"/>
              </a:solidFill>
              <a:ln w="9360">
                <a:noFill/>
              </a:ln>
            </c:spPr>
            <c:extLst>
              <c:ext xmlns:c16="http://schemas.microsoft.com/office/drawing/2014/chart" uri="{C3380CC4-5D6E-409C-BE32-E72D297353CC}">
                <c16:uniqueId val="{00000003-3B10-2F4D-A908-51D8A489F944}"/>
              </c:ext>
            </c:extLst>
          </c:dPt>
          <c:dPt>
            <c:idx val="2"/>
            <c:invertIfNegative val="0"/>
            <c:bubble3D val="0"/>
            <c:spPr>
              <a:solidFill>
                <a:srgbClr val="212D85"/>
              </a:solidFill>
              <a:ln w="9360">
                <a:noFill/>
              </a:ln>
            </c:spPr>
            <c:extLst>
              <c:ext xmlns:c16="http://schemas.microsoft.com/office/drawing/2014/chart" uri="{C3380CC4-5D6E-409C-BE32-E72D297353CC}">
                <c16:uniqueId val="{00000005-3B10-2F4D-A908-51D8A489F944}"/>
              </c:ext>
            </c:extLst>
          </c:dPt>
          <c:dPt>
            <c:idx val="3"/>
            <c:invertIfNegative val="0"/>
            <c:bubble3D val="0"/>
            <c:spPr>
              <a:solidFill>
                <a:srgbClr val="212D85"/>
              </a:solidFill>
              <a:ln w="9360">
                <a:noFill/>
              </a:ln>
            </c:spPr>
            <c:extLst>
              <c:ext xmlns:c16="http://schemas.microsoft.com/office/drawing/2014/chart" uri="{C3380CC4-5D6E-409C-BE32-E72D297353CC}">
                <c16:uniqueId val="{00000007-3B10-2F4D-A908-51D8A489F944}"/>
              </c:ext>
            </c:extLst>
          </c:dPt>
          <c:dPt>
            <c:idx val="4"/>
            <c:invertIfNegative val="0"/>
            <c:bubble3D val="0"/>
            <c:spPr>
              <a:solidFill>
                <a:srgbClr val="212D85"/>
              </a:solidFill>
              <a:ln w="9360">
                <a:noFill/>
              </a:ln>
            </c:spPr>
            <c:extLst>
              <c:ext xmlns:c16="http://schemas.microsoft.com/office/drawing/2014/chart" uri="{C3380CC4-5D6E-409C-BE32-E72D297353CC}">
                <c16:uniqueId val="{00000009-3B10-2F4D-A908-51D8A489F944}"/>
              </c:ext>
            </c:extLst>
          </c:dPt>
          <c:dPt>
            <c:idx val="5"/>
            <c:invertIfNegative val="0"/>
            <c:bubble3D val="0"/>
            <c:spPr>
              <a:solidFill>
                <a:srgbClr val="212D85"/>
              </a:solidFill>
              <a:ln w="9360">
                <a:noFill/>
              </a:ln>
            </c:spPr>
            <c:extLst>
              <c:ext xmlns:c16="http://schemas.microsoft.com/office/drawing/2014/chart" uri="{C3380CC4-5D6E-409C-BE32-E72D297353CC}">
                <c16:uniqueId val="{0000000B-3B10-2F4D-A908-51D8A489F944}"/>
              </c:ext>
            </c:extLst>
          </c:dPt>
          <c:dPt>
            <c:idx val="6"/>
            <c:invertIfNegative val="0"/>
            <c:bubble3D val="0"/>
            <c:spPr>
              <a:solidFill>
                <a:srgbClr val="C8CDD8"/>
              </a:solidFill>
              <a:ln w="9360">
                <a:noFill/>
              </a:ln>
            </c:spPr>
            <c:extLst>
              <c:ext xmlns:c16="http://schemas.microsoft.com/office/drawing/2014/chart" uri="{C3380CC4-5D6E-409C-BE32-E72D297353CC}">
                <c16:uniqueId val="{0000000D-3B10-2F4D-A908-51D8A489F944}"/>
              </c:ext>
            </c:extLst>
          </c:dPt>
          <c:dPt>
            <c:idx val="7"/>
            <c:invertIfNegative val="0"/>
            <c:bubble3D val="0"/>
            <c:spPr>
              <a:solidFill>
                <a:srgbClr val="C8CDD8"/>
              </a:solidFill>
              <a:ln w="9360">
                <a:noFill/>
              </a:ln>
            </c:spPr>
            <c:extLst>
              <c:ext xmlns:c16="http://schemas.microsoft.com/office/drawing/2014/chart" uri="{C3380CC4-5D6E-409C-BE32-E72D297353CC}">
                <c16:uniqueId val="{0000000F-3B10-2F4D-A908-51D8A489F944}"/>
              </c:ext>
            </c:extLst>
          </c:dPt>
          <c:dPt>
            <c:idx val="8"/>
            <c:invertIfNegative val="0"/>
            <c:bubble3D val="0"/>
            <c:spPr>
              <a:solidFill>
                <a:srgbClr val="E8A0A0"/>
              </a:solidFill>
              <a:ln w="9360">
                <a:noFill/>
              </a:ln>
            </c:spPr>
            <c:extLst>
              <c:ext xmlns:c16="http://schemas.microsoft.com/office/drawing/2014/chart" uri="{C3380CC4-5D6E-409C-BE32-E72D297353CC}">
                <c16:uniqueId val="{00000011-3B10-2F4D-A908-51D8A489F944}"/>
              </c:ext>
            </c:extLst>
          </c:dPt>
          <c:dPt>
            <c:idx val="9"/>
            <c:invertIfNegative val="0"/>
            <c:bubble3D val="0"/>
            <c:spPr>
              <a:solidFill>
                <a:srgbClr val="E8A0A0"/>
              </a:solidFill>
              <a:ln w="9360">
                <a:noFill/>
              </a:ln>
            </c:spPr>
            <c:extLst>
              <c:ext xmlns:c16="http://schemas.microsoft.com/office/drawing/2014/chart" uri="{C3380CC4-5D6E-409C-BE32-E72D297353CC}">
                <c16:uniqueId val="{00000013-3B10-2F4D-A908-51D8A489F944}"/>
              </c:ext>
            </c:extLst>
          </c:dPt>
          <c:dPt>
            <c:idx val="10"/>
            <c:invertIfNegative val="0"/>
            <c:bubble3D val="0"/>
            <c:spPr>
              <a:solidFill>
                <a:srgbClr val="E8A0A0"/>
              </a:solidFill>
              <a:ln w="9360">
                <a:noFill/>
              </a:ln>
            </c:spPr>
            <c:extLst>
              <c:ext xmlns:c16="http://schemas.microsoft.com/office/drawing/2014/chart" uri="{C3380CC4-5D6E-409C-BE32-E72D297353CC}">
                <c16:uniqueId val="{00000015-3B10-2F4D-A908-51D8A489F944}"/>
              </c:ext>
            </c:extLst>
          </c:dPt>
          <c:dLbls>
            <c:dLbl>
              <c:idx val="0"/>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3B10-2F4D-A908-51D8A489F944}"/>
                </c:ext>
              </c:extLst>
            </c:dLbl>
            <c:dLbl>
              <c:idx val="1"/>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3B10-2F4D-A908-51D8A489F944}"/>
                </c:ext>
              </c:extLst>
            </c:dLbl>
            <c:dLbl>
              <c:idx val="2"/>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3B10-2F4D-A908-51D8A489F944}"/>
                </c:ext>
              </c:extLst>
            </c:dLbl>
            <c:dLbl>
              <c:idx val="3"/>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3B10-2F4D-A908-51D8A489F944}"/>
                </c:ext>
              </c:extLst>
            </c:dLbl>
            <c:dLbl>
              <c:idx val="4"/>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9-3B10-2F4D-A908-51D8A489F944}"/>
                </c:ext>
              </c:extLst>
            </c:dLbl>
            <c:dLbl>
              <c:idx val="5"/>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B-3B10-2F4D-A908-51D8A489F944}"/>
                </c:ext>
              </c:extLst>
            </c:dLbl>
            <c:dLbl>
              <c:idx val="6"/>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D-3B10-2F4D-A908-51D8A489F944}"/>
                </c:ext>
              </c:extLst>
            </c:dLbl>
            <c:dLbl>
              <c:idx val="7"/>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3B10-2F4D-A908-51D8A489F944}"/>
                </c:ext>
              </c:extLst>
            </c:dLbl>
            <c:dLbl>
              <c:idx val="8"/>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3B10-2F4D-A908-51D8A489F944}"/>
                </c:ext>
              </c:extLst>
            </c:dLbl>
            <c:dLbl>
              <c:idx val="9"/>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3-3B10-2F4D-A908-51D8A489F944}"/>
                </c:ext>
              </c:extLst>
            </c:dLbl>
            <c:dLbl>
              <c:idx val="10"/>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5-3B10-2F4D-A908-51D8A489F944}"/>
                </c:ext>
              </c:extLst>
            </c:dLbl>
            <c:spPr>
              <a:noFill/>
              <a:ln>
                <a:noFill/>
              </a:ln>
              <a:effectLst/>
            </c:spPr>
            <c:txPr>
              <a:bodyPr wrap="square"/>
              <a:lstStyle/>
              <a:p>
                <a:pPr>
                  <a:defRPr sz="800" b="0" strike="noStrike" spc="-1">
                    <a:solidFill>
                      <a:srgbClr val="000000"/>
                    </a:solidFill>
                    <a:latin typeface="Calibri"/>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Data'!$F$26:$F$36</c:f>
              <c:strCache>
                <c:ptCount val="11"/>
                <c:pt idx="0">
                  <c:v>Health Care</c:v>
                </c:pt>
                <c:pt idx="1">
                  <c:v>Energy</c:v>
                </c:pt>
                <c:pt idx="2">
                  <c:v>Industrials</c:v>
                </c:pt>
                <c:pt idx="3">
                  <c:v>Cons. Staples</c:v>
                </c:pt>
                <c:pt idx="4">
                  <c:v>Materials</c:v>
                </c:pt>
                <c:pt idx="5">
                  <c:v>Financials</c:v>
                </c:pt>
                <c:pt idx="6">
                  <c:v>Comm. Services</c:v>
                </c:pt>
                <c:pt idx="7">
                  <c:v>Utilities</c:v>
                </c:pt>
                <c:pt idx="8">
                  <c:v>Cons. Discr.</c:v>
                </c:pt>
                <c:pt idx="9">
                  <c:v>Real Estate</c:v>
                </c:pt>
                <c:pt idx="10">
                  <c:v>Info. Tech</c:v>
                </c:pt>
              </c:strCache>
            </c:strRef>
          </c:cat>
          <c:val>
            <c:numRef>
              <c:f>'Chart Data'!$G$26:$G$36</c:f>
              <c:numCache>
                <c:formatCode>0.0</c:formatCode>
                <c:ptCount val="11"/>
                <c:pt idx="0">
                  <c:v>2.5</c:v>
                </c:pt>
                <c:pt idx="1">
                  <c:v>2</c:v>
                </c:pt>
                <c:pt idx="2">
                  <c:v>2</c:v>
                </c:pt>
                <c:pt idx="3">
                  <c:v>2</c:v>
                </c:pt>
                <c:pt idx="4">
                  <c:v>1</c:v>
                </c:pt>
                <c:pt idx="5">
                  <c:v>1</c:v>
                </c:pt>
                <c:pt idx="6">
                  <c:v>0</c:v>
                </c:pt>
                <c:pt idx="7">
                  <c:v>0</c:v>
                </c:pt>
                <c:pt idx="8">
                  <c:v>-1.5</c:v>
                </c:pt>
                <c:pt idx="9">
                  <c:v>-1.5</c:v>
                </c:pt>
                <c:pt idx="10">
                  <c:v>-6</c:v>
                </c:pt>
              </c:numCache>
            </c:numRef>
          </c:val>
          <c:extLst>
            <c:ext xmlns:c16="http://schemas.microsoft.com/office/drawing/2014/chart" uri="{C3380CC4-5D6E-409C-BE32-E72D297353CC}">
              <c16:uniqueId val="{00000016-3B10-2F4D-A908-51D8A489F944}"/>
            </c:ext>
          </c:extLst>
        </c:ser>
        <c:dLbls>
          <c:showLegendKey val="0"/>
          <c:showVal val="0"/>
          <c:showCatName val="0"/>
          <c:showSerName val="0"/>
          <c:showPercent val="0"/>
          <c:showBubbleSize val="0"/>
        </c:dLbls>
        <c:gapWidth val="150"/>
        <c:axId val="57745078"/>
        <c:axId val="96812713"/>
      </c:barChart>
      <c:catAx>
        <c:axId val="57745078"/>
        <c:scaling>
          <c:orientation val="minMax"/>
        </c:scaling>
        <c:delete val="0"/>
        <c:axPos val="l"/>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Active tilt vs S&amp;P 500 (percentage points)</a:t>
                </a:r>
              </a:p>
            </c:rich>
          </c:tx>
          <c:overlay val="0"/>
          <c:spPr>
            <a:noFill/>
            <a:ln w="0">
              <a:noFill/>
            </a:ln>
          </c:spPr>
        </c:title>
        <c:numFmt formatCode="0.0" sourceLinked="0"/>
        <c:majorTickMark val="none"/>
        <c:minorTickMark val="none"/>
        <c:tickLblPos val="nextTo"/>
        <c:spPr>
          <a:ln w="0">
            <a:solidFill>
              <a:srgbClr val="B3B3B3"/>
            </a:solidFill>
          </a:ln>
        </c:spPr>
        <c:txPr>
          <a:bodyPr/>
          <a:lstStyle/>
          <a:p>
            <a:pPr>
              <a:defRPr sz="800" b="0" strike="noStrike" spc="-1">
                <a:solidFill>
                  <a:srgbClr val="000000"/>
                </a:solidFill>
                <a:latin typeface="Helvetica" pitchFamily="2" charset="0"/>
              </a:defRPr>
            </a:pPr>
            <a:endParaRPr lang="en-US"/>
          </a:p>
        </c:txPr>
        <c:crossAx val="96812713"/>
        <c:crosses val="autoZero"/>
        <c:auto val="1"/>
        <c:lblAlgn val="ctr"/>
        <c:lblOffset val="100"/>
        <c:noMultiLvlLbl val="0"/>
      </c:catAx>
      <c:valAx>
        <c:axId val="96812713"/>
        <c:scaling>
          <c:orientation val="minMax"/>
        </c:scaling>
        <c:delete val="0"/>
        <c:axPos val="b"/>
        <c:numFmt formatCode="0.0"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57745078"/>
        <c:crosses val="autoZero"/>
        <c:crossBetween val="between"/>
      </c:valAx>
      <c:spPr>
        <a:noFill/>
        <a:ln w="0">
          <a:noFill/>
        </a:ln>
      </c:spPr>
    </c:plotArea>
    <c:plotVisOnly val="1"/>
    <c:dispBlanksAs val="gap"/>
    <c:showDLblsOverMax val="1"/>
  </c:chart>
  <c:spPr>
    <a:solidFill>
      <a:srgbClr val="FFFFFF"/>
    </a:solidFill>
    <a:ln w="9360">
      <a:noFill/>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000" b="1" strike="noStrike" spc="-1">
                <a:solidFill>
                  <a:srgbClr val="000000"/>
                </a:solidFill>
                <a:latin typeface="Helvetica" pitchFamily="2" charset="0"/>
              </a:rPr>
              <a:t>Figure 6.  European fund flows: rotation into passive equity (2026)</a:t>
            </a:r>
          </a:p>
        </c:rich>
      </c:tx>
      <c:overlay val="0"/>
      <c:spPr>
        <a:noFill/>
        <a:ln w="0">
          <a:noFill/>
        </a:ln>
      </c:spPr>
    </c:title>
    <c:autoTitleDeleted val="0"/>
    <c:plotArea>
      <c:layout/>
      <c:barChart>
        <c:barDir val="col"/>
        <c:grouping val="clustered"/>
        <c:varyColors val="0"/>
        <c:ser>
          <c:idx val="0"/>
          <c:order val="0"/>
          <c:tx>
            <c:strRef>
              <c:f>'Chart Data'!$C$41</c:f>
              <c:strCache>
                <c:ptCount val="1"/>
                <c:pt idx="0">
                  <c:v>Net Flows (EUR bn)</c:v>
                </c:pt>
              </c:strCache>
            </c:strRef>
          </c:tx>
          <c:spPr>
            <a:solidFill>
              <a:srgbClr val="4F81BD"/>
            </a:solidFill>
            <a:ln w="9360">
              <a:noFill/>
            </a:ln>
          </c:spPr>
          <c:invertIfNegative val="0"/>
          <c:dPt>
            <c:idx val="0"/>
            <c:invertIfNegative val="0"/>
            <c:bubble3D val="0"/>
            <c:spPr>
              <a:solidFill>
                <a:srgbClr val="A8B8E8"/>
              </a:solidFill>
              <a:ln w="9360">
                <a:noFill/>
              </a:ln>
            </c:spPr>
            <c:extLst>
              <c:ext xmlns:c16="http://schemas.microsoft.com/office/drawing/2014/chart" uri="{C3380CC4-5D6E-409C-BE32-E72D297353CC}">
                <c16:uniqueId val="{00000001-E49F-7E47-B7C5-459BFAC39391}"/>
              </c:ext>
            </c:extLst>
          </c:dPt>
          <c:dPt>
            <c:idx val="1"/>
            <c:invertIfNegative val="0"/>
            <c:bubble3D val="0"/>
            <c:spPr>
              <a:solidFill>
                <a:srgbClr val="212D85"/>
              </a:solidFill>
              <a:ln w="9360">
                <a:noFill/>
              </a:ln>
            </c:spPr>
            <c:extLst>
              <c:ext xmlns:c16="http://schemas.microsoft.com/office/drawing/2014/chart" uri="{C3380CC4-5D6E-409C-BE32-E72D297353CC}">
                <c16:uniqueId val="{00000003-E49F-7E47-B7C5-459BFAC39391}"/>
              </c:ext>
            </c:extLst>
          </c:dPt>
          <c:dPt>
            <c:idx val="2"/>
            <c:invertIfNegative val="0"/>
            <c:bubble3D val="0"/>
            <c:spPr>
              <a:solidFill>
                <a:srgbClr val="E8A0A0"/>
              </a:solidFill>
              <a:ln w="9360">
                <a:noFill/>
              </a:ln>
            </c:spPr>
            <c:extLst>
              <c:ext xmlns:c16="http://schemas.microsoft.com/office/drawing/2014/chart" uri="{C3380CC4-5D6E-409C-BE32-E72D297353CC}">
                <c16:uniqueId val="{00000005-E49F-7E47-B7C5-459BFAC39391}"/>
              </c:ext>
            </c:extLst>
          </c:dPt>
          <c:dLbls>
            <c:dLbl>
              <c:idx val="0"/>
              <c:spPr/>
              <c:txPr>
                <a:bodyPr wrap="square"/>
                <a:lstStyle/>
                <a:p>
                  <a:pPr>
                    <a:defRPr sz="1000" b="1"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E49F-7E47-B7C5-459BFAC39391}"/>
                </c:ext>
              </c:extLst>
            </c:dLbl>
            <c:dLbl>
              <c:idx val="1"/>
              <c:spPr/>
              <c:txPr>
                <a:bodyPr wrap="square"/>
                <a:lstStyle/>
                <a:p>
                  <a:pPr>
                    <a:defRPr sz="1000" b="1"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E49F-7E47-B7C5-459BFAC39391}"/>
                </c:ext>
              </c:extLst>
            </c:dLbl>
            <c:dLbl>
              <c:idx val="2"/>
              <c:spPr/>
              <c:txPr>
                <a:bodyPr wrap="square"/>
                <a:lstStyle/>
                <a:p>
                  <a:pPr>
                    <a:defRPr sz="1000" b="1"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E49F-7E47-B7C5-459BFAC39391}"/>
                </c:ext>
              </c:extLst>
            </c:dLbl>
            <c:spPr>
              <a:noFill/>
              <a:ln>
                <a:noFill/>
              </a:ln>
              <a:effectLst/>
            </c:spPr>
            <c:txPr>
              <a:bodyPr wrap="square"/>
              <a:lstStyle/>
              <a:p>
                <a:pPr>
                  <a:defRPr sz="1000" b="1"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Data'!$A$42:$A$44</c:f>
              <c:strCache>
                <c:ptCount val="3"/>
                <c:pt idx="0">
                  <c:v>Equity funds</c:v>
                </c:pt>
                <c:pt idx="1">
                  <c:v>Equity funds</c:v>
                </c:pt>
                <c:pt idx="2">
                  <c:v>Growth funds</c:v>
                </c:pt>
              </c:strCache>
            </c:strRef>
          </c:cat>
          <c:val>
            <c:numRef>
              <c:f>'Chart Data'!$C$42:$C$44</c:f>
              <c:numCache>
                <c:formatCode>0.0</c:formatCode>
                <c:ptCount val="3"/>
                <c:pt idx="0">
                  <c:v>42.9</c:v>
                </c:pt>
                <c:pt idx="1">
                  <c:v>95.3</c:v>
                </c:pt>
                <c:pt idx="2">
                  <c:v>-23.3</c:v>
                </c:pt>
              </c:numCache>
            </c:numRef>
          </c:val>
          <c:extLst>
            <c:ext xmlns:c16="http://schemas.microsoft.com/office/drawing/2014/chart" uri="{C3380CC4-5D6E-409C-BE32-E72D297353CC}">
              <c16:uniqueId val="{00000006-E49F-7E47-B7C5-459BFAC39391}"/>
            </c:ext>
          </c:extLst>
        </c:ser>
        <c:dLbls>
          <c:showLegendKey val="0"/>
          <c:showVal val="0"/>
          <c:showCatName val="0"/>
          <c:showSerName val="0"/>
          <c:showPercent val="0"/>
          <c:showBubbleSize val="0"/>
        </c:dLbls>
        <c:gapWidth val="150"/>
        <c:axId val="64550938"/>
        <c:axId val="61911006"/>
      </c:barChart>
      <c:catAx>
        <c:axId val="64550938"/>
        <c:scaling>
          <c:orientation val="minMax"/>
        </c:scaling>
        <c:delete val="1"/>
        <c:axPos val="b"/>
        <c:numFmt formatCode="General" sourceLinked="1"/>
        <c:majorTickMark val="none"/>
        <c:minorTickMark val="none"/>
        <c:tickLblPos val="nextTo"/>
        <c:crossAx val="61911006"/>
        <c:crosses val="autoZero"/>
        <c:auto val="1"/>
        <c:lblAlgn val="ctr"/>
        <c:lblOffset val="100"/>
        <c:noMultiLvlLbl val="0"/>
      </c:catAx>
      <c:valAx>
        <c:axId val="61911006"/>
        <c:scaling>
          <c:orientation val="minMax"/>
          <c:max val="110"/>
          <c:min val="-30"/>
        </c:scaling>
        <c:delete val="0"/>
        <c:axPos val="l"/>
        <c:majorGridlines>
          <c:spPr>
            <a:ln w="0">
              <a:solidFill>
                <a:srgbClr val="B3B3B3"/>
              </a:solidFill>
            </a:ln>
          </c:spPr>
        </c:majorGridlines>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Net flows (EUR billion)</a:t>
                </a:r>
              </a:p>
            </c:rich>
          </c:tx>
          <c:overlay val="0"/>
          <c:spPr>
            <a:noFill/>
            <a:ln w="0">
              <a:noFill/>
            </a:ln>
          </c:spPr>
        </c:title>
        <c:numFmt formatCode="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64550938"/>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Helvetica" pitchFamily="2" charset="0"/>
            </a:defRPr>
          </a:pPr>
          <a:endParaRPr lang="en-US"/>
        </a:p>
      </c:txPr>
    </c:legend>
    <c:plotVisOnly val="1"/>
    <c:dispBlanksAs val="gap"/>
    <c:showDLblsOverMax val="1"/>
  </c:chart>
  <c:spPr>
    <a:solidFill>
      <a:srgbClr val="FFFFFF"/>
    </a:solidFill>
    <a:ln w="9360">
      <a:noFill/>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000" b="1" strike="noStrike" spc="-1">
                <a:solidFill>
                  <a:srgbClr val="000000"/>
                </a:solidFill>
                <a:latin typeface="Calibri"/>
              </a:defRPr>
            </a:pPr>
            <a:r>
              <a:rPr lang="en-US" sz="1000" b="1" strike="noStrike" spc="-1">
                <a:solidFill>
                  <a:srgbClr val="000000"/>
                </a:solidFill>
                <a:latin typeface="Helvetica" pitchFamily="2" charset="0"/>
              </a:rPr>
              <a:t>Figure 7.  Source European sleeve allocation (regional note)</a:t>
            </a:r>
          </a:p>
        </c:rich>
      </c:tx>
      <c:overlay val="0"/>
      <c:spPr>
        <a:noFill/>
        <a:ln w="0">
          <a:noFill/>
        </a:ln>
      </c:spPr>
    </c:title>
    <c:autoTitleDeleted val="0"/>
    <c:plotArea>
      <c:layout/>
      <c:doughnutChart>
        <c:varyColors val="1"/>
        <c:ser>
          <c:idx val="0"/>
          <c:order val="0"/>
          <c:tx>
            <c:strRef>
              <c:f>'Chart Data'!$G$41</c:f>
              <c:strCache>
                <c:ptCount val="1"/>
                <c:pt idx="0">
                  <c:v>Allocation (%)</c:v>
                </c:pt>
              </c:strCache>
            </c:strRef>
          </c:tx>
          <c:spPr>
            <a:solidFill>
              <a:srgbClr val="4F81BD"/>
            </a:solidFill>
            <a:ln w="0">
              <a:solidFill>
                <a:srgbClr val="000000"/>
              </a:solidFill>
            </a:ln>
          </c:spPr>
          <c:dPt>
            <c:idx val="0"/>
            <c:bubble3D val="0"/>
            <c:spPr>
              <a:solidFill>
                <a:srgbClr val="212D85"/>
              </a:solidFill>
              <a:ln w="0">
                <a:solidFill>
                  <a:srgbClr val="000000"/>
                </a:solidFill>
              </a:ln>
            </c:spPr>
            <c:extLst>
              <c:ext xmlns:c16="http://schemas.microsoft.com/office/drawing/2014/chart" uri="{C3380CC4-5D6E-409C-BE32-E72D297353CC}">
                <c16:uniqueId val="{00000001-F166-E945-971F-89E49BACBDA7}"/>
              </c:ext>
            </c:extLst>
          </c:dPt>
          <c:dPt>
            <c:idx val="1"/>
            <c:bubble3D val="0"/>
            <c:spPr>
              <a:solidFill>
                <a:srgbClr val="3D5BCC"/>
              </a:solidFill>
              <a:ln w="0">
                <a:solidFill>
                  <a:srgbClr val="000000"/>
                </a:solidFill>
              </a:ln>
            </c:spPr>
            <c:extLst>
              <c:ext xmlns:c16="http://schemas.microsoft.com/office/drawing/2014/chart" uri="{C3380CC4-5D6E-409C-BE32-E72D297353CC}">
                <c16:uniqueId val="{00000003-F166-E945-971F-89E49BACBDA7}"/>
              </c:ext>
            </c:extLst>
          </c:dPt>
          <c:dPt>
            <c:idx val="2"/>
            <c:bubble3D val="0"/>
            <c:spPr>
              <a:solidFill>
                <a:srgbClr val="A8B8E8"/>
              </a:solidFill>
              <a:ln w="0">
                <a:solidFill>
                  <a:srgbClr val="000000"/>
                </a:solidFill>
              </a:ln>
            </c:spPr>
            <c:extLst>
              <c:ext xmlns:c16="http://schemas.microsoft.com/office/drawing/2014/chart" uri="{C3380CC4-5D6E-409C-BE32-E72D297353CC}">
                <c16:uniqueId val="{00000005-F166-E945-971F-89E49BACBDA7}"/>
              </c:ext>
            </c:extLst>
          </c:dPt>
          <c:dPt>
            <c:idx val="3"/>
            <c:bubble3D val="0"/>
            <c:spPr>
              <a:solidFill>
                <a:schemeClr val="tx2">
                  <a:lumMod val="25000"/>
                  <a:lumOff val="75000"/>
                </a:schemeClr>
              </a:solidFill>
              <a:ln w="0">
                <a:solidFill>
                  <a:srgbClr val="000000"/>
                </a:solidFill>
              </a:ln>
            </c:spPr>
            <c:extLst>
              <c:ext xmlns:c16="http://schemas.microsoft.com/office/drawing/2014/chart" uri="{C3380CC4-5D6E-409C-BE32-E72D297353CC}">
                <c16:uniqueId val="{00000007-F166-E945-971F-89E49BACBDA7}"/>
              </c:ext>
            </c:extLst>
          </c:dPt>
          <c:dPt>
            <c:idx val="4"/>
            <c:bubble3D val="0"/>
            <c:spPr>
              <a:solidFill>
                <a:srgbClr val="85C8BF"/>
              </a:solidFill>
              <a:ln w="0">
                <a:solidFill>
                  <a:srgbClr val="000000"/>
                </a:solidFill>
              </a:ln>
            </c:spPr>
            <c:extLst>
              <c:ext xmlns:c16="http://schemas.microsoft.com/office/drawing/2014/chart" uri="{C3380CC4-5D6E-409C-BE32-E72D297353CC}">
                <c16:uniqueId val="{00000009-F166-E945-971F-89E49BACBDA7}"/>
              </c:ext>
            </c:extLst>
          </c:dPt>
          <c:dLbls>
            <c:dLbl>
              <c:idx val="0"/>
              <c:spPr/>
              <c:txPr>
                <a:bodyPr wrap="none"/>
                <a:lstStyle/>
                <a:p>
                  <a:pPr>
                    <a:defRPr sz="1000" b="0" strike="noStrike" spc="-1">
                      <a:latin typeface="Arial"/>
                    </a:defRPr>
                  </a:pPr>
                  <a:endParaRPr lang="en-US"/>
                </a:p>
              </c:txPr>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F166-E945-971F-89E49BACBDA7}"/>
                </c:ext>
              </c:extLst>
            </c:dLbl>
            <c:dLbl>
              <c:idx val="1"/>
              <c:spPr/>
              <c:txPr>
                <a:bodyPr wrap="none"/>
                <a:lstStyle/>
                <a:p>
                  <a:pPr>
                    <a:defRPr sz="1000" b="0" strike="noStrike" spc="-1">
                      <a:latin typeface="Arial"/>
                    </a:defRPr>
                  </a:pPr>
                  <a:endParaRPr lang="en-US"/>
                </a:p>
              </c:txPr>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F166-E945-971F-89E49BACBDA7}"/>
                </c:ext>
              </c:extLst>
            </c:dLbl>
            <c:dLbl>
              <c:idx val="2"/>
              <c:spPr/>
              <c:txPr>
                <a:bodyPr wrap="none"/>
                <a:lstStyle/>
                <a:p>
                  <a:pPr>
                    <a:defRPr sz="1000" b="0" strike="noStrike" spc="-1">
                      <a:latin typeface="Arial"/>
                    </a:defRPr>
                  </a:pPr>
                  <a:endParaRPr lang="en-US"/>
                </a:p>
              </c:txPr>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F166-E945-971F-89E49BACBDA7}"/>
                </c:ext>
              </c:extLst>
            </c:dLbl>
            <c:dLbl>
              <c:idx val="3"/>
              <c:spPr/>
              <c:txPr>
                <a:bodyPr wrap="none"/>
                <a:lstStyle/>
                <a:p>
                  <a:pPr>
                    <a:defRPr sz="1000" b="0" strike="noStrike" spc="-1">
                      <a:latin typeface="Arial"/>
                    </a:defRPr>
                  </a:pPr>
                  <a:endParaRPr lang="en-US"/>
                </a:p>
              </c:txPr>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F166-E945-971F-89E49BACBDA7}"/>
                </c:ext>
              </c:extLst>
            </c:dLbl>
            <c:dLbl>
              <c:idx val="4"/>
              <c:spPr/>
              <c:txPr>
                <a:bodyPr wrap="none"/>
                <a:lstStyle/>
                <a:p>
                  <a:pPr>
                    <a:defRPr sz="1000" b="0" strike="noStrike" spc="-1">
                      <a:latin typeface="Arial"/>
                    </a:defRPr>
                  </a:pPr>
                  <a:endParaRPr lang="en-US"/>
                </a:p>
              </c:txPr>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9-F166-E945-971F-89E49BACBDA7}"/>
                </c:ext>
              </c:extLst>
            </c:dLbl>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1"/>
            <c:extLst>
              <c:ext xmlns:c15="http://schemas.microsoft.com/office/drawing/2012/chart" uri="{CE6537A1-D6FC-4f65-9D91-7224C49458BB}"/>
            </c:extLst>
          </c:dLbls>
          <c:cat>
            <c:strRef>
              <c:f>'Chart Data'!$F$42:$F$46</c:f>
              <c:strCache>
                <c:ptCount val="5"/>
                <c:pt idx="0">
                  <c:v>STOXX 600 core</c:v>
                </c:pt>
                <c:pt idx="1">
                  <c:v>STOXX 50 core</c:v>
                </c:pt>
                <c:pt idx="2">
                  <c:v>Banks (OW)</c:v>
                </c:pt>
                <c:pt idx="3">
                  <c:v>Energy (OW)</c:v>
                </c:pt>
                <c:pt idx="4">
                  <c:v>Defence (OW)</c:v>
                </c:pt>
              </c:strCache>
            </c:strRef>
          </c:cat>
          <c:val>
            <c:numRef>
              <c:f>'Chart Data'!$G$42:$G$46</c:f>
              <c:numCache>
                <c:formatCode>0%</c:formatCode>
                <c:ptCount val="5"/>
                <c:pt idx="0">
                  <c:v>0.4</c:v>
                </c:pt>
                <c:pt idx="1">
                  <c:v>0.2</c:v>
                </c:pt>
                <c:pt idx="2">
                  <c:v>0.2</c:v>
                </c:pt>
                <c:pt idx="3">
                  <c:v>0.1</c:v>
                </c:pt>
                <c:pt idx="4">
                  <c:v>0.1</c:v>
                </c:pt>
              </c:numCache>
            </c:numRef>
          </c:val>
          <c:extLst>
            <c:ext xmlns:c16="http://schemas.microsoft.com/office/drawing/2014/chart" uri="{C3380CC4-5D6E-409C-BE32-E72D297353CC}">
              <c16:uniqueId val="{0000000A-F166-E945-971F-89E49BACBDA7}"/>
            </c:ext>
          </c:extLst>
        </c:ser>
        <c:dLbls>
          <c:showLegendKey val="0"/>
          <c:showVal val="0"/>
          <c:showCatName val="0"/>
          <c:showSerName val="0"/>
          <c:showPercent val="0"/>
          <c:showBubbleSize val="0"/>
          <c:showLeaderLines val="1"/>
        </c:dLbls>
        <c:firstSliceAng val="0"/>
        <c:holeSize val="50"/>
      </c:doughnutChart>
      <c:spPr>
        <a:noFill/>
        <a:ln w="0">
          <a:noFill/>
        </a:ln>
      </c:spPr>
    </c:plotArea>
    <c:legend>
      <c:legendPos val="r"/>
      <c:layout>
        <c:manualLayout>
          <c:xMode val="edge"/>
          <c:yMode val="edge"/>
          <c:x val="0.63788956798112084"/>
          <c:y val="0.23803234273135207"/>
          <c:w val="0.20963598312318671"/>
          <c:h val="0.61144171494692201"/>
        </c:manualLayout>
      </c:layout>
      <c:overlay val="0"/>
      <c:spPr>
        <a:noFill/>
        <a:ln w="0">
          <a:noFill/>
        </a:ln>
      </c:spPr>
      <c:txPr>
        <a:bodyPr/>
        <a:lstStyle/>
        <a:p>
          <a:pPr>
            <a:defRPr sz="1000" b="0" strike="noStrike" spc="-1">
              <a:solidFill>
                <a:srgbClr val="000000"/>
              </a:solidFill>
              <a:latin typeface="Helvetica" pitchFamily="2" charset="0"/>
            </a:defRPr>
          </a:pPr>
          <a:endParaRPr lang="en-US"/>
        </a:p>
      </c:txPr>
    </c:legend>
    <c:plotVisOnly val="1"/>
    <c:dispBlanksAs val="gap"/>
    <c:showDLblsOverMax val="1"/>
  </c:chart>
  <c:spPr>
    <a:solidFill>
      <a:srgbClr val="FFFFFF"/>
    </a:solidFill>
    <a:ln w="9360">
      <a:noFill/>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Helvetica" pitchFamily="2" charset="0"/>
              </a:defRPr>
            </a:pPr>
            <a:r>
              <a:rPr lang="en-US" sz="1000" b="1" strike="noStrike" spc="-1">
                <a:solidFill>
                  <a:srgbClr val="000000"/>
                </a:solidFill>
                <a:latin typeface="Helvetica" pitchFamily="2" charset="0"/>
              </a:rPr>
              <a:t>Figure 8.  Recommended combined portfolio — 60% core / 40% satellites</a:t>
            </a:r>
          </a:p>
        </c:rich>
      </c:tx>
      <c:overlay val="0"/>
      <c:spPr>
        <a:noFill/>
        <a:ln w="0">
          <a:noFill/>
        </a:ln>
      </c:spPr>
    </c:title>
    <c:autoTitleDeleted val="0"/>
    <c:plotArea>
      <c:layout/>
      <c:barChart>
        <c:barDir val="bar"/>
        <c:grouping val="clustered"/>
        <c:varyColors val="0"/>
        <c:ser>
          <c:idx val="0"/>
          <c:order val="0"/>
          <c:tx>
            <c:strRef>
              <c:f>'Chart Data'!$B$51</c:f>
              <c:strCache>
                <c:ptCount val="1"/>
                <c:pt idx="0">
                  <c:v>Portfolio Weight (%)</c:v>
                </c:pt>
              </c:strCache>
            </c:strRef>
          </c:tx>
          <c:spPr>
            <a:solidFill>
              <a:srgbClr val="4F81BD"/>
            </a:solidFill>
            <a:ln w="9360">
              <a:noFill/>
            </a:ln>
          </c:spPr>
          <c:invertIfNegative val="0"/>
          <c:dPt>
            <c:idx val="0"/>
            <c:invertIfNegative val="0"/>
            <c:bubble3D val="0"/>
            <c:spPr>
              <a:solidFill>
                <a:srgbClr val="212D85"/>
              </a:solidFill>
              <a:ln w="9360">
                <a:noFill/>
              </a:ln>
            </c:spPr>
            <c:extLst>
              <c:ext xmlns:c16="http://schemas.microsoft.com/office/drawing/2014/chart" uri="{C3380CC4-5D6E-409C-BE32-E72D297353CC}">
                <c16:uniqueId val="{00000001-941C-F440-9957-B76F51683E26}"/>
              </c:ext>
            </c:extLst>
          </c:dPt>
          <c:dPt>
            <c:idx val="1"/>
            <c:invertIfNegative val="0"/>
            <c:bubble3D val="0"/>
            <c:spPr>
              <a:solidFill>
                <a:srgbClr val="3D5BCC"/>
              </a:solidFill>
              <a:ln w="9360">
                <a:noFill/>
              </a:ln>
            </c:spPr>
            <c:extLst>
              <c:ext xmlns:c16="http://schemas.microsoft.com/office/drawing/2014/chart" uri="{C3380CC4-5D6E-409C-BE32-E72D297353CC}">
                <c16:uniqueId val="{00000003-941C-F440-9957-B76F51683E26}"/>
              </c:ext>
            </c:extLst>
          </c:dPt>
          <c:dPt>
            <c:idx val="2"/>
            <c:invertIfNegative val="0"/>
            <c:bubble3D val="0"/>
            <c:spPr>
              <a:solidFill>
                <a:srgbClr val="A8B8E8"/>
              </a:solidFill>
              <a:ln w="9360">
                <a:noFill/>
              </a:ln>
            </c:spPr>
            <c:extLst>
              <c:ext xmlns:c16="http://schemas.microsoft.com/office/drawing/2014/chart" uri="{C3380CC4-5D6E-409C-BE32-E72D297353CC}">
                <c16:uniqueId val="{00000005-941C-F440-9957-B76F51683E26}"/>
              </c:ext>
            </c:extLst>
          </c:dPt>
          <c:dPt>
            <c:idx val="3"/>
            <c:invertIfNegative val="0"/>
            <c:bubble3D val="0"/>
            <c:spPr>
              <a:solidFill>
                <a:srgbClr val="80A6D0"/>
              </a:solidFill>
              <a:ln w="9360">
                <a:noFill/>
              </a:ln>
            </c:spPr>
            <c:extLst>
              <c:ext xmlns:c16="http://schemas.microsoft.com/office/drawing/2014/chart" uri="{C3380CC4-5D6E-409C-BE32-E72D297353CC}">
                <c16:uniqueId val="{00000007-941C-F440-9957-B76F51683E26}"/>
              </c:ext>
            </c:extLst>
          </c:dPt>
          <c:dPt>
            <c:idx val="4"/>
            <c:invertIfNegative val="0"/>
            <c:bubble3D val="0"/>
            <c:spPr>
              <a:solidFill>
                <a:schemeClr val="accent1">
                  <a:lumMod val="75000"/>
                </a:schemeClr>
              </a:solidFill>
              <a:ln w="9360">
                <a:noFill/>
              </a:ln>
            </c:spPr>
            <c:extLst>
              <c:ext xmlns:c16="http://schemas.microsoft.com/office/drawing/2014/chart" uri="{C3380CC4-5D6E-409C-BE32-E72D297353CC}">
                <c16:uniqueId val="{00000009-941C-F440-9957-B76F51683E26}"/>
              </c:ext>
            </c:extLst>
          </c:dPt>
          <c:dPt>
            <c:idx val="5"/>
            <c:invertIfNegative val="0"/>
            <c:bubble3D val="0"/>
            <c:spPr>
              <a:solidFill>
                <a:schemeClr val="accent1">
                  <a:lumMod val="50000"/>
                </a:schemeClr>
              </a:solidFill>
              <a:ln w="9360">
                <a:noFill/>
              </a:ln>
            </c:spPr>
            <c:extLst>
              <c:ext xmlns:c16="http://schemas.microsoft.com/office/drawing/2014/chart" uri="{C3380CC4-5D6E-409C-BE32-E72D297353CC}">
                <c16:uniqueId val="{0000000B-941C-F440-9957-B76F51683E26}"/>
              </c:ext>
            </c:extLst>
          </c:dPt>
          <c:dPt>
            <c:idx val="6"/>
            <c:invertIfNegative val="0"/>
            <c:bubble3D val="0"/>
            <c:spPr>
              <a:solidFill>
                <a:schemeClr val="tx2">
                  <a:lumMod val="75000"/>
                  <a:lumOff val="25000"/>
                </a:schemeClr>
              </a:solidFill>
              <a:ln w="9360">
                <a:noFill/>
              </a:ln>
            </c:spPr>
            <c:extLst>
              <c:ext xmlns:c16="http://schemas.microsoft.com/office/drawing/2014/chart" uri="{C3380CC4-5D6E-409C-BE32-E72D297353CC}">
                <c16:uniqueId val="{0000000D-941C-F440-9957-B76F51683E26}"/>
              </c:ext>
            </c:extLst>
          </c:dPt>
          <c:dPt>
            <c:idx val="7"/>
            <c:invertIfNegative val="0"/>
            <c:bubble3D val="0"/>
            <c:spPr>
              <a:solidFill>
                <a:schemeClr val="tx2">
                  <a:lumMod val="50000"/>
                  <a:lumOff val="50000"/>
                </a:schemeClr>
              </a:solidFill>
              <a:ln w="9360">
                <a:noFill/>
              </a:ln>
            </c:spPr>
            <c:extLst>
              <c:ext xmlns:c16="http://schemas.microsoft.com/office/drawing/2014/chart" uri="{C3380CC4-5D6E-409C-BE32-E72D297353CC}">
                <c16:uniqueId val="{0000000F-941C-F440-9957-B76F51683E26}"/>
              </c:ext>
            </c:extLst>
          </c:dPt>
          <c:dPt>
            <c:idx val="8"/>
            <c:invertIfNegative val="0"/>
            <c:bubble3D val="0"/>
            <c:spPr>
              <a:solidFill>
                <a:schemeClr val="tx2">
                  <a:lumMod val="10000"/>
                  <a:lumOff val="90000"/>
                </a:schemeClr>
              </a:solidFill>
              <a:ln w="9360">
                <a:noFill/>
              </a:ln>
            </c:spPr>
            <c:extLst>
              <c:ext xmlns:c16="http://schemas.microsoft.com/office/drawing/2014/chart" uri="{C3380CC4-5D6E-409C-BE32-E72D297353CC}">
                <c16:uniqueId val="{00000011-941C-F440-9957-B76F51683E26}"/>
              </c:ext>
            </c:extLst>
          </c:dPt>
          <c:dLbls>
            <c:dLbl>
              <c:idx val="0"/>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941C-F440-9957-B76F51683E26}"/>
                </c:ext>
              </c:extLst>
            </c:dLbl>
            <c:dLbl>
              <c:idx val="1"/>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941C-F440-9957-B76F51683E26}"/>
                </c:ext>
              </c:extLst>
            </c:dLbl>
            <c:dLbl>
              <c:idx val="2"/>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941C-F440-9957-B76F51683E26}"/>
                </c:ext>
              </c:extLst>
            </c:dLbl>
            <c:dLbl>
              <c:idx val="3"/>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941C-F440-9957-B76F51683E26}"/>
                </c:ext>
              </c:extLst>
            </c:dLbl>
            <c:dLbl>
              <c:idx val="4"/>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9-941C-F440-9957-B76F51683E26}"/>
                </c:ext>
              </c:extLst>
            </c:dLbl>
            <c:dLbl>
              <c:idx val="5"/>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B-941C-F440-9957-B76F51683E26}"/>
                </c:ext>
              </c:extLst>
            </c:dLbl>
            <c:dLbl>
              <c:idx val="6"/>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D-941C-F440-9957-B76F51683E26}"/>
                </c:ext>
              </c:extLst>
            </c:dLbl>
            <c:dLbl>
              <c:idx val="7"/>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941C-F440-9957-B76F51683E26}"/>
                </c:ext>
              </c:extLst>
            </c:dLbl>
            <c:dLbl>
              <c:idx val="8"/>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941C-F440-9957-B76F51683E26}"/>
                </c:ext>
              </c:extLst>
            </c:dLbl>
            <c:spPr>
              <a:noFill/>
              <a:ln>
                <a:noFill/>
              </a:ln>
              <a:effectLst/>
            </c:spPr>
            <c:txPr>
              <a:bodyPr wrap="square"/>
              <a:lstStyle/>
              <a:p>
                <a:pPr>
                  <a:defRPr sz="1000" b="0" strike="noStrike" spc="-1">
                    <a:solidFill>
                      <a:srgbClr val="000000"/>
                    </a:solidFill>
                    <a:latin typeface="Helvetica" pitchFamily="2" charset="0"/>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'Chart Data'!$A$52:$A$60</c:f>
              <c:strCache>
                <c:ptCount val="9"/>
                <c:pt idx="0">
                  <c:v>US core (S&amp;P 500)</c:v>
                </c:pt>
                <c:pt idx="1">
                  <c:v>Europe core (STOXX 600)</c:v>
                </c:pt>
                <c:pt idx="2">
                  <c:v>European banks</c:v>
                </c:pt>
                <c:pt idx="3">
                  <c:v>Global defense</c:v>
                </c:pt>
                <c:pt idx="4">
                  <c:v>Health care</c:v>
                </c:pt>
                <c:pt idx="5">
                  <c:v>Staples / food</c:v>
                </c:pt>
                <c:pt idx="6">
                  <c:v>Energy</c:v>
                </c:pt>
                <c:pt idx="7">
                  <c:v>US financials</c:v>
                </c:pt>
                <c:pt idx="8">
                  <c:v>Rare earths</c:v>
                </c:pt>
              </c:strCache>
            </c:strRef>
          </c:cat>
          <c:val>
            <c:numRef>
              <c:f>'Chart Data'!$B$52:$B$60</c:f>
              <c:numCache>
                <c:formatCode>0%</c:formatCode>
                <c:ptCount val="9"/>
                <c:pt idx="0">
                  <c:v>0.34</c:v>
                </c:pt>
                <c:pt idx="1">
                  <c:v>0.26</c:v>
                </c:pt>
                <c:pt idx="2">
                  <c:v>0.08</c:v>
                </c:pt>
                <c:pt idx="3">
                  <c:v>0.08</c:v>
                </c:pt>
                <c:pt idx="4">
                  <c:v>0.06</c:v>
                </c:pt>
                <c:pt idx="5">
                  <c:v>0.06</c:v>
                </c:pt>
                <c:pt idx="6">
                  <c:v>0.05</c:v>
                </c:pt>
                <c:pt idx="7">
                  <c:v>0.04</c:v>
                </c:pt>
                <c:pt idx="8">
                  <c:v>0.03</c:v>
                </c:pt>
              </c:numCache>
            </c:numRef>
          </c:val>
          <c:extLst>
            <c:ext xmlns:c16="http://schemas.microsoft.com/office/drawing/2014/chart" uri="{C3380CC4-5D6E-409C-BE32-E72D297353CC}">
              <c16:uniqueId val="{00000012-941C-F440-9957-B76F51683E26}"/>
            </c:ext>
          </c:extLst>
        </c:ser>
        <c:dLbls>
          <c:showLegendKey val="0"/>
          <c:showVal val="0"/>
          <c:showCatName val="0"/>
          <c:showSerName val="0"/>
          <c:showPercent val="0"/>
          <c:showBubbleSize val="0"/>
        </c:dLbls>
        <c:gapWidth val="150"/>
        <c:axId val="52992937"/>
        <c:axId val="18085899"/>
      </c:barChart>
      <c:catAx>
        <c:axId val="52992937"/>
        <c:scaling>
          <c:orientation val="minMax"/>
        </c:scaling>
        <c:delete val="0"/>
        <c:axPos val="l"/>
        <c:title>
          <c:tx>
            <c:rich>
              <a:bodyPr rot="-5400000"/>
              <a:lstStyle/>
              <a:p>
                <a:pPr>
                  <a:defRPr sz="1000" b="1" strike="noStrike" spc="-1">
                    <a:solidFill>
                      <a:srgbClr val="000000"/>
                    </a:solidFill>
                    <a:latin typeface="Helvetica" pitchFamily="2" charset="0"/>
                  </a:defRPr>
                </a:pPr>
                <a:r>
                  <a:rPr lang="en-US" sz="1000" b="1" strike="noStrike" spc="-1">
                    <a:solidFill>
                      <a:srgbClr val="000000"/>
                    </a:solidFill>
                    <a:latin typeface="Helvetica" pitchFamily="2" charset="0"/>
                  </a:rPr>
                  <a:t>Portfolio weight (%)</a:t>
                </a:r>
              </a:p>
            </c:rich>
          </c:tx>
          <c:overlay val="0"/>
          <c:spPr>
            <a:noFill/>
            <a:ln w="0">
              <a:noFill/>
            </a:ln>
          </c:spPr>
        </c:title>
        <c:numFmt formatCode="0%" sourceLinked="0"/>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18085899"/>
        <c:crosses val="autoZero"/>
        <c:auto val="1"/>
        <c:lblAlgn val="ctr"/>
        <c:lblOffset val="100"/>
        <c:noMultiLvlLbl val="0"/>
      </c:catAx>
      <c:valAx>
        <c:axId val="18085899"/>
        <c:scaling>
          <c:orientation val="minMax"/>
        </c:scaling>
        <c:delete val="0"/>
        <c:axPos val="b"/>
        <c:numFmt formatCode="0%" sourceLinked="1"/>
        <c:majorTickMark val="none"/>
        <c:minorTickMark val="none"/>
        <c:tickLblPos val="nextTo"/>
        <c:spPr>
          <a:ln w="0">
            <a:solidFill>
              <a:srgbClr val="B3B3B3"/>
            </a:solidFill>
          </a:ln>
        </c:spPr>
        <c:txPr>
          <a:bodyPr/>
          <a:lstStyle/>
          <a:p>
            <a:pPr>
              <a:defRPr sz="1000" b="0" strike="noStrike" spc="-1">
                <a:solidFill>
                  <a:srgbClr val="000000"/>
                </a:solidFill>
                <a:latin typeface="Helvetica" pitchFamily="2" charset="0"/>
              </a:defRPr>
            </a:pPr>
            <a:endParaRPr lang="en-US"/>
          </a:p>
        </c:txPr>
        <c:crossAx val="52992937"/>
        <c:crosses val="autoZero"/>
        <c:crossBetween val="between"/>
      </c:valAx>
      <c:spPr>
        <a:noFill/>
        <a:ln w="0">
          <a:noFill/>
        </a:ln>
      </c:spPr>
    </c:plotArea>
    <c:plotVisOnly val="1"/>
    <c:dispBlanksAs val="gap"/>
    <c:showDLblsOverMax val="1"/>
  </c:chart>
  <c:spPr>
    <a:solidFill>
      <a:srgbClr val="FFFFFF"/>
    </a:solidFill>
    <a:ln w="9360">
      <a:no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4332</Words>
  <Characters>24694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Global Developed Equities — Initiating Allocation</vt:lpstr>
    </vt:vector>
  </TitlesOfParts>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Developed Equities — Initiating Allocation</dc:title>
  <dc:creator>Equity Research</dc:creator>
  <cp:lastModifiedBy>Timur Khairullin</cp:lastModifiedBy>
  <cp:revision>3</cp:revision>
  <dcterms:created xsi:type="dcterms:W3CDTF">2026-06-26T13:39:00Z</dcterms:created>
  <dcterms:modified xsi:type="dcterms:W3CDTF">2026-06-26T13:41:00Z</dcterms:modified>
</cp:coreProperties>
</file>