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pPr>
      <w:r>
        <w:rPr>
          <w:rFonts w:ascii="Arial" w:cs="Arial" w:eastAsia="Arial" w:hAnsi="Arial"/>
          <w:color w:val="4D5C84"/>
          <w:sz w:val="18"/>
          <w:szCs w:val="18"/>
        </w:rPr>
        <w:t xml:space="preserve">Europa 2032 · Documento di policy · 20 ottobre 2026</w:t>
      </w:r>
    </w:p>
    <w:p>
      <w:pPr>
        <w:spacing w:after="80"/>
      </w:pPr>
      <w:r>
        <w:rPr>
          <w:rFonts w:ascii="Arial" w:cs="Arial" w:eastAsia="Arial" w:hAnsi="Arial"/>
          <w:b/>
          <w:bCs/>
          <w:color w:val="0C1A42"/>
          <w:sz w:val="52"/>
          <w:szCs w:val="52"/>
        </w:rPr>
        <w:t xml:space="preserve">The Great Remigration Plan (“GRP”)</w:t>
      </w:r>
    </w:p>
    <w:p>
      <w:pPr>
        <w:pBdr>
          <w:bottom w:val="single" w:color="A87400" w:sz="18" w:space="6"/>
        </w:pBdr>
        <w:spacing w:after="240"/>
      </w:pPr>
      <w:r>
        <w:rPr>
          <w:rFonts w:ascii="Arial" w:cs="Arial" w:eastAsia="Arial" w:hAnsi="Arial"/>
          <w:b/>
          <w:bCs/>
          <w:color w:val="A87400"/>
          <w:sz w:val="22"/>
          <w:szCs w:val="22"/>
        </w:rPr>
        <w:t xml:space="preserve">Preambolo</w:t>
      </w:r>
    </w:p>
    <w:p>
      <w:pPr>
        <w:spacing w:after="140"/>
      </w:pPr>
      <w:r>
        <w:rPr>
          <w:rFonts w:ascii="Arial" w:cs="Arial" w:eastAsia="Arial" w:hAnsi="Arial"/>
          <w:color w:val="1A2340"/>
          <w:sz w:val="19"/>
          <w:szCs w:val="19"/>
        </w:rPr>
        <w:t xml:space="preserve">Questo documento è scritto per Futuro Nazionale. Nasce dentro Europa 2032, l’osservatorio che segue l’ascesa della destra nazionale in trenta paesi europei: governi, sondaggi, peso nel Consiglio, dossier legislativi. La tesi dell’osservatorio è dichiarata: l’Europa va letta a partire dall’aspettativa che la destra arrivi al governo nei principali Stati membri entro il 2032. The Great Remigration Plan (“GRP”) è la parte esecutiva di quella tesi applicata al tema che il programma di Futuro Nazionale mette al centro, la remigrazione: non cosa si vorrebbe fare, ma cosa si può fare, con quali numeri, a quale costo e con quale legge.</w:t>
      </w:r>
    </w:p>
    <w:p>
      <w:pPr>
        <w:spacing w:after="140"/>
      </w:pPr>
      <w:r>
        <w:rPr>
          <w:rFonts w:ascii="Arial" w:cs="Arial" w:eastAsia="Arial" w:hAnsi="Arial"/>
          <w:color w:val="1A2340"/>
          <w:sz w:val="19"/>
          <w:szCs w:val="19"/>
        </w:rPr>
        <w:t xml:space="preserve">Il punto di partenza è un dato: nel 2025 l’Unione ha emesso 486.705 ordini di lasciare il territorio e ne ha eseguiti 139.270, il 28,6%. L’Italia è al 22,4%. Il piano divide le persone presenti in Italia in cinque gruppi, secondo il livello di cambiamento normativo necessario per remigrarle, e per ciascuno dice quanti sono, cosa si può fare oggi e cosa serve per andare oltre. Le 22 misure del capitolo “Assimilazione e Remigrazione” del programma di Futuro Nazionale sono mappate su questi cinque gruppi.</w:t>
      </w:r>
    </w:p>
    <w:p>
      <w:pPr>
        <w:spacing w:after="140"/>
      </w:pPr>
      <w:r>
        <w:rPr>
          <w:rFonts w:ascii="Arial" w:cs="Arial" w:eastAsia="Arial" w:hAnsi="Arial"/>
          <w:color w:val="1A2340"/>
          <w:sz w:val="19"/>
          <w:szCs w:val="19"/>
        </w:rPr>
        <w:t xml:space="preserve">La Fase 1 si può attuare subito, con una maggioranza italiana e nessun permesso da chiedere. Riguarda i 339 mila irregolari e i detenuti stranieri: la legge italiana li rende già espellibili, e dal 2026 il Patto europeo e il regolamento sui rimpatri danno strumenti in più (procedura di frontiera, atto unico, trattenimento fino a 24 mesi). Quello che manca è esecuzione: identificazione, un canale volontario che oggi non esiste, accordi con i paesi d’origine, un’autorità unica. L’obiettivo è il 100% di esecuzione degli ordini entro il 2032, con 100 mila rimpatri l’anno a regime contro i 4.780 di oggi, e il modello di costo lo quantifica. È il capitolo che un governo di Futuro Nazionale può aprire il primo giorno.</w:t>
      </w:r>
    </w:p>
    <w:p>
      <w:pPr>
        <w:spacing w:after="140"/>
      </w:pPr>
      <w:r>
        <w:rPr>
          <w:rFonts w:ascii="Arial" w:cs="Arial" w:eastAsia="Arial" w:hAnsi="Arial"/>
          <w:color w:val="1A2340"/>
          <w:sz w:val="19"/>
          <w:szCs w:val="19"/>
        </w:rPr>
        <w:t xml:space="preserve">Le Fasi 2, 3 e 4 hanno bisogno di una volontà europea che oggi non c’è e che, nello scenario dell’osservatorio, si forma nei prossimi anni. L’ipotesi di base del piano è che entro pochi anni le norme europee vengano cambiate in senso favorevole alla sua esecuzione, senza grandi ostacoli: il piano è quindi scritto come se quelle norme fossero già cambiate, e considera un obiettivo difficile solo quando sono terzi, cioè i paesi d’origine, a non cooperare. La Fase 2 (3,65 milioni di regolari extra-UE) si muove con leggi ordinarie, ma la leva decisiva, la riammissione da parte di Marocco, Algeria, Pakistan e Bangladesh, è nelle mani dell’Unione: visti, commercio, aiuti. La Fase 3 (3,25 milioni di cittadini italiani di origine straniera) richiede una riforma costituzionale e una revisione del Protocollo 4 della CEDU, che nessuno Stato può ottenere da solo. La Fase 4 (Romania e protezione temporanea) dipende dai trattati e dalle direttive.</w:t>
      </w:r>
    </w:p>
    <w:p>
      <w:pPr>
        <w:spacing w:after="140"/>
      </w:pPr>
      <w:r>
        <w:rPr>
          <w:rFonts w:ascii="Arial" w:cs="Arial" w:eastAsia="Arial" w:hAnsi="Arial"/>
          <w:color w:val="1A2340"/>
          <w:sz w:val="19"/>
          <w:szCs w:val="19"/>
        </w:rPr>
        <w:t xml:space="preserve">Gli alleati di cui abbiamo bisogno sono tre. La Francia del Rassemblement National di Marine Le Pen e Jordan Bardella, perché è il paese dove i numeri pesano di più: 137.550 ordini nel 2025, più di uno su quattro in Europa, eseguiti al 10,9%; portare la Francia al 50% sposterebbe da solo il tasso europeo di undici punti, e la Francia è il paese che più ha bisogno del GRP. La Germania dell’AfD, perché esegue già il 53% e ha la capacità amministrativa che gli altri non hanno: con 55.240 ordini e 29.295 rimpatri è il modello operativo della Fase 1, e un governo con l’AfD è l’unico che può aprire il tema della cittadinanza su scala europea. L’Austria della FPÖ, perché è già oltre il 60% ed è il laboratorio politico più avanzato sul tema. Nello scenario 2032 dell’osservatorio, i governi di destra nazionale emetterebbero il 51,2% degli ordini europei: una maggioranza numerica, non ancora una maggioranza nel Consiglio. Il lavoro politico dei prossimi anni è trasformare la prima nella seconda.</w:t>
      </w:r>
    </w:p>
    <w:p>
      <w:pPr>
        <w:spacing w:after="140"/>
      </w:pPr>
      <w:r>
        <w:rPr>
          <w:rFonts w:ascii="Arial" w:cs="Arial" w:eastAsia="Arial" w:hAnsi="Arial"/>
          <w:color w:val="1A2340"/>
          <w:sz w:val="19"/>
          <w:szCs w:val="19"/>
        </w:rPr>
        <w:t xml:space="preserve">Da qui la struttura del documento. Prima l’Italia, perché è il caso che si può misurare fino in fondo e perché la Fase 1 non aspetta nessuno. Poi lo stesso funnel applicato ai 27 Stati, con le stesse categorie e le stesse fasi, per dire a ciascun alleato quanto vale il suo pezzo. Ogni numero è collegato a un file di lavoro aperto; ogni ipotesi è segnata come tale, perché il piano possa essere discusso misura per misura.</w:t>
      </w:r>
    </w:p>
    <w:p>
      <w:r>
        <w:br w:type="page"/>
      </w:r>
    </w:p>
    <w:p>
      <w:pPr>
        <w:pBdr>
          <w:bottom w:val="single" w:color="A87400" w:sz="18" w:space="6"/>
        </w:pBdr>
        <w:spacing w:after="200" w:before="200"/>
      </w:pPr>
      <w:r>
        <w:rPr>
          <w:rFonts w:ascii="Arial" w:cs="Arial" w:eastAsia="Arial" w:hAnsi="Arial"/>
          <w:b/>
          <w:bCs/>
          <w:color w:val="0C1A42"/>
          <w:sz w:val="28"/>
          <w:szCs w:val="28"/>
        </w:rPr>
        <w:t xml:space="preserve">Italia · Sintesi</w:t>
      </w:r>
    </w:p>
    <w:p>
      <w:pPr>
        <w:spacing w:after="140"/>
      </w:pPr>
      <w:r>
        <w:rPr>
          <w:rFonts w:ascii="Arial" w:cs="Arial" w:eastAsia="Arial" w:hAnsi="Arial"/>
          <w:color w:val="1A2340"/>
          <w:sz w:val="21"/>
          <w:szCs w:val="21"/>
        </w:rPr>
        <w:t xml:space="preserve">Il piano divide le persone presenti in Italia in cinque gruppi, secondo quello che la legge permette oggi di fare. Per ogni gruppo dice quanti sono, qual è il loro stato giuridico, cosa si può fare subito e quale cambio di legge serve per andare oltre. Un tracker 2027-2032 fissa un obiettivo per anno. Numeri in migliaia (k).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3213"/>
        <w:gridCol w:w="1285"/>
        <w:gridCol w:w="4016"/>
      </w:tblGrid>
      <w:tr>
        <w:trPr>
          <w:cantSplit/>
          <w:tblHeader/>
        </w:trPr>
        <w:tc>
          <w:tcPr>
            <w:tcW w:type="dxa" w:w="112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Fase</w:t>
            </w:r>
          </w:p>
        </w:tc>
        <w:tc>
          <w:tcPr>
            <w:tcW w:type="dxa" w:w="3213"/>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Chi</w:t>
            </w:r>
          </w:p>
        </w:tc>
        <w:tc>
          <w:tcPr>
            <w:tcW w:type="dxa" w:w="1285"/>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Persone</w:t>
            </w:r>
          </w:p>
        </w:tc>
        <w:tc>
          <w:tcPr>
            <w:tcW w:type="dxa" w:w="401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Cosa serve per remigrarli</w:t>
            </w:r>
          </w:p>
        </w:tc>
      </w:tr>
      <w:tr>
        <w:trPr>
          <w:cantSplit/>
        </w:trPr>
        <w:tc>
          <w:tcPr>
            <w:tcW w:type="dxa" w:w="1124"/>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Fase 1</w:t>
            </w:r>
          </w:p>
        </w:tc>
        <w:tc>
          <w:tcPr>
            <w:tcW w:type="dxa" w:w="3213"/>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Irregolari (e detenuti stranieri)</w:t>
            </w:r>
          </w:p>
        </w:tc>
        <w:tc>
          <w:tcPr>
            <w:tcW w:type="dxa" w:w="1285"/>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right"/>
            </w:pPr>
            <w:r>
              <w:rPr>
                <w:rFonts w:ascii="Arial" w:cs="Arial" w:eastAsia="Arial" w:hAnsi="Arial"/>
                <w:color w:val="1A2340"/>
                <w:sz w:val="17"/>
                <w:szCs w:val="17"/>
              </w:rPr>
              <w:t xml:space="preserve">339k</w:t>
            </w:r>
          </w:p>
        </w:tc>
        <w:tc>
          <w:tcPr>
            <w:tcW w:type="dxa" w:w="4016"/>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Nulla: la legge attuale basta. Manca l’esecuzione</w:t>
            </w:r>
          </w:p>
        </w:tc>
      </w:tr>
      <w:tr>
        <w:trPr>
          <w:cantSplit/>
        </w:trPr>
        <w:tc>
          <w:tcPr>
            <w:tcW w:type="dxa" w:w="1124"/>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Fase 2</w:t>
            </w:r>
          </w:p>
        </w:tc>
        <w:tc>
          <w:tcPr>
            <w:tcW w:type="dxa" w:w="3213"/>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Regolari extra-UE: lungo soggiornanti, permessi a termine, asilo</w:t>
            </w:r>
          </w:p>
        </w:tc>
        <w:tc>
          <w:tcPr>
            <w:tcW w:type="dxa" w:w="1285"/>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right"/>
            </w:pPr>
            <w:r>
              <w:rPr>
                <w:rFonts w:ascii="Arial" w:cs="Arial" w:eastAsia="Arial" w:hAnsi="Arial"/>
                <w:color w:val="1A2340"/>
                <w:sz w:val="17"/>
                <w:szCs w:val="17"/>
              </w:rPr>
              <w:t xml:space="preserve">3.650k</w:t>
            </w:r>
          </w:p>
        </w:tc>
        <w:tc>
          <w:tcPr>
            <w:tcW w:type="dxa" w:w="4016"/>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Entrano quando perdono il titolo. Legge ordinaria e accordi di riammissione</w:t>
            </w:r>
          </w:p>
        </w:tc>
      </w:tr>
      <w:tr>
        <w:trPr>
          <w:cantSplit/>
        </w:trPr>
        <w:tc>
          <w:tcPr>
            <w:tcW w:type="dxa" w:w="1124"/>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Fase 3</w:t>
            </w:r>
          </w:p>
        </w:tc>
        <w:tc>
          <w:tcPr>
            <w:tcW w:type="dxa" w:w="3213"/>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Cittadini italiani di origine straniera: seconda generazione, naturalizzati</w:t>
            </w:r>
          </w:p>
        </w:tc>
        <w:tc>
          <w:tcPr>
            <w:tcW w:type="dxa" w:w="1285"/>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right"/>
            </w:pPr>
            <w:r>
              <w:rPr>
                <w:rFonts w:ascii="Arial" w:cs="Arial" w:eastAsia="Arial" w:hAnsi="Arial"/>
                <w:color w:val="1A2340"/>
                <w:sz w:val="17"/>
                <w:szCs w:val="17"/>
              </w:rPr>
              <w:t xml:space="preserve">3.246k</w:t>
            </w:r>
          </w:p>
        </w:tc>
        <w:tc>
          <w:tcPr>
            <w:tcW w:type="dxa" w:w="4016"/>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Riforma costituzionale (artt. 3 e 22) e revisione del Protocollo 4 CEDU</w:t>
            </w:r>
          </w:p>
        </w:tc>
      </w:tr>
      <w:tr>
        <w:trPr>
          <w:cantSplit/>
        </w:trPr>
        <w:tc>
          <w:tcPr>
            <w:tcW w:type="dxa" w:w="1124"/>
            <w:tcBorders>
              <w:top w:val="single" w:color="D6DDEC" w:sz="4"/>
              <w:left w:val="single" w:color="D6DDEC" w:sz="4"/>
              <w:bottom w:val="single" w:color="D6DDEC" w:sz="4"/>
              <w:right w:val="single" w:color="D6DDEC" w:sz="4"/>
            </w:tcBorders>
            <w:shd w:fill="DDEBF7"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Fase 4</w:t>
            </w:r>
          </w:p>
        </w:tc>
        <w:tc>
          <w:tcPr>
            <w:tcW w:type="dxa" w:w="3213"/>
            <w:tcBorders>
              <w:top w:val="single" w:color="D6DDEC" w:sz="4"/>
              <w:left w:val="single" w:color="D6DDEC" w:sz="4"/>
              <w:bottom w:val="single" w:color="D6DDEC" w:sz="4"/>
              <w:right w:val="single" w:color="D6DDEC" w:sz="4"/>
            </w:tcBorders>
            <w:shd w:fill="DDEBF7"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Romania e protezione temporanea (Ucraina)</w:t>
            </w:r>
          </w:p>
        </w:tc>
        <w:tc>
          <w:tcPr>
            <w:tcW w:type="dxa" w:w="1285"/>
            <w:tcBorders>
              <w:top w:val="single" w:color="D6DDEC" w:sz="4"/>
              <w:left w:val="single" w:color="D6DDEC" w:sz="4"/>
              <w:bottom w:val="single" w:color="D6DDEC" w:sz="4"/>
              <w:right w:val="single" w:color="D6DDEC" w:sz="4"/>
            </w:tcBorders>
            <w:shd w:fill="DDEBF7" w:color="auto" w:val="clear"/>
            <w:tcMar>
              <w:top w:type="dxa" w:w="50"/>
              <w:left w:type="dxa" w:w="90"/>
              <w:bottom w:type="dxa" w:w="50"/>
              <w:right w:type="dxa" w:w="90"/>
            </w:tcMar>
          </w:tcPr>
          <w:p>
            <w:pPr>
              <w:jc w:val="right"/>
            </w:pPr>
            <w:r>
              <w:rPr>
                <w:rFonts w:ascii="Arial" w:cs="Arial" w:eastAsia="Arial" w:hAnsi="Arial"/>
                <w:color w:val="1A2340"/>
                <w:sz w:val="17"/>
                <w:szCs w:val="17"/>
              </w:rPr>
              <w:t xml:space="preserve">1.214k</w:t>
            </w:r>
          </w:p>
        </w:tc>
        <w:tc>
          <w:tcPr>
            <w:tcW w:type="dxa" w:w="4016"/>
            <w:tcBorders>
              <w:top w:val="single" w:color="D6DDEC" w:sz="4"/>
              <w:left w:val="single" w:color="D6DDEC" w:sz="4"/>
              <w:bottom w:val="single" w:color="D6DDEC" w:sz="4"/>
              <w:right w:val="single" w:color="D6DDEC" w:sz="4"/>
            </w:tcBorders>
            <w:shd w:fill="DDEBF7"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Diritto dell’Unione: libera circolazione e direttiva 2001/55</w:t>
            </w:r>
          </w:p>
        </w:tc>
      </w:tr>
      <w:tr>
        <w:trPr>
          <w:cantSplit/>
        </w:trPr>
        <w:tc>
          <w:tcPr>
            <w:tcW w:type="dxa" w:w="1124"/>
            <w:tcBorders>
              <w:top w:val="single" w:color="D6DDEC" w:sz="4"/>
              <w:left w:val="single" w:color="D6DDEC" w:sz="4"/>
              <w:bottom w:val="single" w:color="D6DDEC" w:sz="4"/>
              <w:right w:val="single" w:color="D6DDEC" w:sz="4"/>
            </w:tcBorders>
            <w:shd w:fill="E7E6E6"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FUORI</w:t>
            </w:r>
          </w:p>
        </w:tc>
        <w:tc>
          <w:tcPr>
            <w:tcW w:type="dxa" w:w="3213"/>
            <w:tcBorders>
              <w:top w:val="single" w:color="D6DDEC" w:sz="4"/>
              <w:left w:val="single" w:color="D6DDEC" w:sz="4"/>
              <w:bottom w:val="single" w:color="D6DDEC" w:sz="4"/>
              <w:right w:val="single" w:color="D6DDEC" w:sz="4"/>
            </w:tcBorders>
            <w:shd w:fill="E7E6E6"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Italiani da genitori italiani, italiani nati all’estero, altri cittadini UE</w:t>
            </w:r>
          </w:p>
        </w:tc>
        <w:tc>
          <w:tcPr>
            <w:tcW w:type="dxa" w:w="1285"/>
            <w:tcBorders>
              <w:top w:val="single" w:color="D6DDEC" w:sz="4"/>
              <w:left w:val="single" w:color="D6DDEC" w:sz="4"/>
              <w:bottom w:val="single" w:color="D6DDEC" w:sz="4"/>
              <w:right w:val="single" w:color="D6DDEC" w:sz="4"/>
            </w:tcBorders>
            <w:shd w:fill="E7E6E6" w:color="auto" w:val="clear"/>
            <w:tcMar>
              <w:top w:type="dxa" w:w="50"/>
              <w:left w:type="dxa" w:w="90"/>
              <w:bottom w:type="dxa" w:w="50"/>
              <w:right w:type="dxa" w:w="90"/>
            </w:tcMar>
          </w:tcPr>
          <w:p>
            <w:pPr>
              <w:jc w:val="right"/>
            </w:pPr>
            <w:r>
              <w:rPr>
                <w:rFonts w:ascii="Arial" w:cs="Arial" w:eastAsia="Arial" w:hAnsi="Arial"/>
                <w:color w:val="1A2340"/>
                <w:sz w:val="17"/>
                <w:szCs w:val="17"/>
              </w:rPr>
              <w:t xml:space="preserve">50.647k</w:t>
            </w:r>
          </w:p>
        </w:tc>
        <w:tc>
          <w:tcPr>
            <w:tcW w:type="dxa" w:w="4016"/>
            <w:tcBorders>
              <w:top w:val="single" w:color="D6DDEC" w:sz="4"/>
              <w:left w:val="single" w:color="D6DDEC" w:sz="4"/>
              <w:bottom w:val="single" w:color="D6DDEC" w:sz="4"/>
              <w:right w:val="single" w:color="D6DDEC" w:sz="4"/>
            </w:tcBorders>
            <w:shd w:fill="E7E6E6"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Nessuna remigrazione</w:t>
            </w:r>
          </w:p>
        </w:tc>
      </w:tr>
    </w:tbl>
    <w:p>
      <w:pPr>
        <w:spacing w:after="120"/>
      </w:pPr>
    </w:p>
    <w:p>
      <w:pPr>
        <w:spacing w:after="110"/>
      </w:pPr>
      <w:r>
        <w:rPr>
          <w:rFonts w:ascii="Arial" w:cs="Arial" w:eastAsia="Arial" w:hAnsi="Arial"/>
          <w:b/>
          <w:bCs/>
          <w:color w:val="0C1A42"/>
          <w:sz w:val="19"/>
          <w:szCs w:val="19"/>
        </w:rPr>
        <w:t xml:space="preserve">Il perimetro operativo. </w:t>
      </w:r>
      <w:r>
        <w:rPr>
          <w:rFonts w:ascii="Arial" w:cs="Arial" w:eastAsia="Arial" w:hAnsi="Arial"/>
          <w:color w:val="1A2340"/>
          <w:sz w:val="19"/>
          <w:szCs w:val="19"/>
        </w:rPr>
        <w:t xml:space="preserve">Su 59,3 milioni di presenti, 339 mila sono irregolari (Fase 1). Nel 2025 ne sono stati trovati 82,5 mila, 21,3 mila hanno ricevuto un ordine di lasciare l’Italia, 4,8 mila sono stati rimpatriati: il 22,4%.</w:t>
      </w:r>
    </w:p>
    <w:p>
      <w:pPr>
        <w:spacing w:after="110"/>
      </w:pPr>
      <w:r>
        <w:rPr>
          <w:rFonts w:ascii="Arial" w:cs="Arial" w:eastAsia="Arial" w:hAnsi="Arial"/>
          <w:b/>
          <w:bCs/>
          <w:color w:val="0C1A42"/>
          <w:sz w:val="19"/>
          <w:szCs w:val="19"/>
        </w:rPr>
        <w:t xml:space="preserve">Obiettivo Fase 1: 100% nel 2032. </w:t>
      </w:r>
      <w:r>
        <w:rPr>
          <w:rFonts w:ascii="Arial" w:cs="Arial" w:eastAsia="Arial" w:hAnsi="Arial"/>
          <w:color w:val="1A2340"/>
          <w:sz w:val="19"/>
          <w:szCs w:val="19"/>
        </w:rPr>
        <w:t xml:space="preserve">Ogni irregolare trovato riceve un ordine e ogni ordine viene eseguito: da 21 mila a 100 mila ordini l’anno, tasso di esecuzione dal 22,4% al 100%, 100 mila rimpatri l’anno a regime, metà volontari. Lo stock di irregolari scende da 339 mila a 262 mila nel 2032 nonostante 50 mila nuovi irregolari l’anno. Servono circa 3.200 posti CPR a 60 giorni medi.</w:t>
      </w:r>
    </w:p>
    <w:p>
      <w:pPr>
        <w:spacing w:after="110"/>
      </w:pPr>
      <w:r>
        <w:rPr>
          <w:rFonts w:ascii="Arial" w:cs="Arial" w:eastAsia="Arial" w:hAnsi="Arial"/>
          <w:b/>
          <w:bCs/>
          <w:color w:val="0C1A42"/>
          <w:sz w:val="19"/>
          <w:szCs w:val="19"/>
        </w:rPr>
        <w:t xml:space="preserve">La Fase 2 è il bacino che si muove. </w:t>
      </w:r>
      <w:r>
        <w:rPr>
          <w:rFonts w:ascii="Arial" w:cs="Arial" w:eastAsia="Arial" w:hAnsi="Arial"/>
          <w:color w:val="1A2340"/>
          <w:sz w:val="19"/>
          <w:szCs w:val="19"/>
        </w:rPr>
        <w:t xml:space="preserve">3,65 milioni di extra-UE regolari entrano nel perimetro quando perdono il titolo: mancato rinnovo, diniego d’asilo, condanna, revoca. Obiettivo: ogni diniego produce un rimpatrio, ogni permesso scaduto produce un ordine, ogni condannato lungo soggiornante viene espulso.</w:t>
      </w:r>
    </w:p>
    <w:p>
      <w:pPr>
        <w:spacing w:after="110"/>
      </w:pPr>
      <w:r>
        <w:rPr>
          <w:rFonts w:ascii="Arial" w:cs="Arial" w:eastAsia="Arial" w:hAnsi="Arial"/>
          <w:b/>
          <w:bCs/>
          <w:color w:val="0C1A42"/>
          <w:sz w:val="19"/>
          <w:szCs w:val="19"/>
        </w:rPr>
        <w:t xml:space="preserve">La Fase 3 si apre con la riforma. </w:t>
      </w:r>
      <w:r>
        <w:rPr>
          <w:rFonts w:ascii="Arial" w:cs="Arial" w:eastAsia="Arial" w:hAnsi="Arial"/>
          <w:color w:val="1A2340"/>
          <w:sz w:val="19"/>
          <w:szCs w:val="19"/>
        </w:rPr>
        <w:t xml:space="preserve">3,25 milioni di cittadini di origine straniera. Nel 2027 la legge sulla revoca della cittadinanza per reati gravi; nel 2027-2029 la riforma costituzionale con referendum; dal 2030 l’allontanamento dei condannati; dal 2027 un programma di rientro volontario incentivato con rinuncia alla cittadinanza, fino a 10 mila l’anno. Le acquisizioni scendono da 217 mila a 30 mila l’anno.</w:t>
      </w:r>
    </w:p>
    <w:p>
      <w:pPr>
        <w:spacing w:after="110"/>
      </w:pPr>
      <w:r>
        <w:rPr>
          <w:rFonts w:ascii="Arial" w:cs="Arial" w:eastAsia="Arial" w:hAnsi="Arial"/>
          <w:b/>
          <w:bCs/>
          <w:color w:val="0C1A42"/>
          <w:sz w:val="19"/>
          <w:szCs w:val="19"/>
        </w:rPr>
        <w:t xml:space="preserve">Cosa costa. </w:t>
      </w:r>
      <w:r>
        <w:rPr>
          <w:rFonts w:ascii="Arial" w:cs="Arial" w:eastAsia="Arial" w:hAnsi="Arial"/>
          <w:color w:val="1A2340"/>
          <w:sz w:val="19"/>
          <w:szCs w:val="19"/>
        </w:rPr>
        <w:t xml:space="preserve">Da 360 a 690 milioni l’anno lordi, 3,3 miliardi in sei anni, contro i 96 milioni spesi nel 2024 per il solo trattenimento; costo variabile per rimpatrio da 7,1 mila a 3,8 mila euro. I risparmi su accoglienza e carcere coprono il costo dal 2029, con ipotesi dichiarate.</w:t>
      </w:r>
    </w:p>
    <w:p>
      <w:pPr>
        <w:spacing w:after="110"/>
      </w:pPr>
      <w:r>
        <w:rPr>
          <w:rFonts w:ascii="Arial" w:cs="Arial" w:eastAsia="Arial" w:hAnsi="Arial"/>
          <w:b/>
          <w:bCs/>
          <w:color w:val="0C1A42"/>
          <w:sz w:val="19"/>
          <w:szCs w:val="19"/>
        </w:rPr>
        <w:t xml:space="preserve">Come si fa. </w:t>
      </w:r>
      <w:r>
        <w:rPr>
          <w:rFonts w:ascii="Arial" w:cs="Arial" w:eastAsia="Arial" w:hAnsi="Arial"/>
          <w:color w:val="1A2340"/>
          <w:sz w:val="19"/>
          <w:szCs w:val="19"/>
        </w:rPr>
        <w:t xml:space="preserve">Sette modalità (volontario assistito, volo di linea scortato, charter nazionale e Frontex, CPR, trasferimento della pena, allontanamento UE), una catena in otto passaggi con un indicatore ciascuno, undici paesi d’origine con una leva ciascuno, otto soluzioni alternative quando un paese non riammette.</w:t>
      </w:r>
    </w:p>
    <w:p>
      <w:pPr>
        <w:spacing w:after="110"/>
      </w:pPr>
      <w:r>
        <w:rPr>
          <w:rFonts w:ascii="Arial" w:cs="Arial" w:eastAsia="Arial" w:hAnsi="Arial"/>
          <w:b/>
          <w:bCs/>
          <w:color w:val="0C1A42"/>
          <w:sz w:val="19"/>
          <w:szCs w:val="19"/>
        </w:rPr>
        <w:t xml:space="preserve">Garanzie. </w:t>
      </w:r>
      <w:r>
        <w:rPr>
          <w:rFonts w:ascii="Arial" w:cs="Arial" w:eastAsia="Arial" w:hAnsi="Arial"/>
          <w:color w:val="1A2340"/>
          <w:sz w:val="19"/>
          <w:szCs w:val="19"/>
        </w:rPr>
        <w:t xml:space="preserve">Nessun rimpatrio verso tortura; ogni decisione individuale e impugnabile; minori mai espulsi; monitoraggio indipendente.</w:t>
      </w:r>
    </w:p>
    <w:p>
      <w:r>
        <w:br w:type="page"/>
      </w:r>
    </w:p>
    <w:p>
      <w:pPr>
        <w:pStyle w:val="Heading1"/>
      </w:pPr>
      <w:r>
        <w:t xml:space="preserve">1. Il metodo: funnel e fasi</w:t>
      </w:r>
    </w:p>
    <w:p>
      <w:pPr>
        <w:spacing w:after="140"/>
      </w:pPr>
      <w:r>
        <w:rPr>
          <w:rFonts w:ascii="Arial" w:cs="Arial" w:eastAsia="Arial" w:hAnsi="Arial"/>
          <w:color w:val="1A2340"/>
          <w:sz w:val="19"/>
          <w:szCs w:val="19"/>
        </w:rPr>
        <w:t xml:space="preserve">Il funnel parte dalla popolazione residente e la scompone in un albero additivo: ogni voce è la somma delle voci sotto; le voci “residuo” sono calcolate per differenza. A ogni voce finale è assegnata una fase, cioè il livello di cambiamento normativo necessario per remigrarla.</w:t>
      </w:r>
    </w:p>
    <w:p>
      <w:pPr>
        <w:pStyle w:val="Heading2"/>
      </w:pPr>
      <w:r>
        <w:t xml:space="preserve">1.1 Le cinque fasi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4819"/>
        <w:gridCol w:w="3470"/>
      </w:tblGrid>
      <w:tr>
        <w:trPr>
          <w:cantSplit/>
          <w:tblHeader/>
        </w:trPr>
        <w:tc>
          <w:tcPr>
            <w:tcW w:type="dxa" w:w="1349"/>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Fase</w:t>
            </w:r>
          </w:p>
        </w:tc>
        <w:tc>
          <w:tcPr>
            <w:tcW w:type="dxa" w:w="4819"/>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Definizione</w:t>
            </w:r>
          </w:p>
        </w:tc>
        <w:tc>
          <w:tcPr>
            <w:tcW w:type="dxa" w:w="3470"/>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Strumento normativo</w:t>
            </w:r>
          </w:p>
        </w:tc>
      </w:tr>
      <w:tr>
        <w:trPr>
          <w:cantSplit/>
        </w:trPr>
        <w:tc>
          <w:tcPr>
            <w:tcW w:type="dxa" w:w="1349"/>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Fase 1</w:t>
            </w:r>
          </w:p>
        </w:tc>
        <w:tc>
          <w:tcPr>
            <w:tcW w:type="dxa" w:w="4819"/>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Chi non ha titolo di soggiorno</w:t>
            </w:r>
          </w:p>
        </w:tc>
        <w:tc>
          <w:tcPr>
            <w:tcW w:type="dxa" w:w="3470"/>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Nessun cambio di legge: TU immigrazione artt. 13-16, regolamento UE rimpatri</w:t>
            </w:r>
          </w:p>
        </w:tc>
      </w:tr>
      <w:tr>
        <w:trPr>
          <w:cantSplit/>
        </w:trPr>
        <w:tc>
          <w:tcPr>
            <w:tcW w:type="dxa" w:w="1349"/>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Fase 2</w:t>
            </w:r>
          </w:p>
        </w:tc>
        <w:tc>
          <w:tcPr>
            <w:tcW w:type="dxa" w:w="4819"/>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Chi ha un titolo a termine o revocabile</w:t>
            </w:r>
          </w:p>
        </w:tc>
        <w:tc>
          <w:tcPr>
            <w:tcW w:type="dxa" w:w="3470"/>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Legge ordinaria (requisiti, rinnovi, reati ostativi) e accordi di riammissione</w:t>
            </w:r>
          </w:p>
        </w:tc>
      </w:tr>
      <w:tr>
        <w:trPr>
          <w:cantSplit/>
        </w:trPr>
        <w:tc>
          <w:tcPr>
            <w:tcW w:type="dxa" w:w="1349"/>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Fase 3</w:t>
            </w:r>
          </w:p>
        </w:tc>
        <w:tc>
          <w:tcPr>
            <w:tcW w:type="dxa" w:w="4819"/>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Chi è cittadino italiano di origine straniera</w:t>
            </w:r>
          </w:p>
        </w:tc>
        <w:tc>
          <w:tcPr>
            <w:tcW w:type="dxa" w:w="3470"/>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Riforma costituzionale e revisione dei vincoli CEDU, con gli alleati</w:t>
            </w:r>
          </w:p>
        </w:tc>
      </w:tr>
      <w:tr>
        <w:trPr>
          <w:cantSplit/>
        </w:trPr>
        <w:tc>
          <w:tcPr>
            <w:tcW w:type="dxa" w:w="1349"/>
            <w:tcBorders>
              <w:top w:val="single" w:color="D6DDEC" w:sz="4"/>
              <w:left w:val="single" w:color="D6DDEC" w:sz="4"/>
              <w:bottom w:val="single" w:color="D6DDEC" w:sz="4"/>
              <w:right w:val="single" w:color="D6DDEC" w:sz="4"/>
            </w:tcBorders>
            <w:shd w:fill="DDEBF7"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Fase 4</w:t>
            </w:r>
          </w:p>
        </w:tc>
        <w:tc>
          <w:tcPr>
            <w:tcW w:type="dxa" w:w="4819"/>
            <w:tcBorders>
              <w:top w:val="single" w:color="D6DDEC" w:sz="4"/>
              <w:left w:val="single" w:color="D6DDEC" w:sz="4"/>
              <w:bottom w:val="single" w:color="D6DDEC" w:sz="4"/>
              <w:right w:val="single" w:color="D6DDEC" w:sz="4"/>
            </w:tcBorders>
            <w:shd w:fill="DDEBF7"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Cittadini UE (Romania) e protezione temporanea</w:t>
            </w:r>
          </w:p>
        </w:tc>
        <w:tc>
          <w:tcPr>
            <w:tcW w:type="dxa" w:w="3470"/>
            <w:tcBorders>
              <w:top w:val="single" w:color="D6DDEC" w:sz="4"/>
              <w:left w:val="single" w:color="D6DDEC" w:sz="4"/>
              <w:bottom w:val="single" w:color="D6DDEC" w:sz="4"/>
              <w:right w:val="single" w:color="D6DDEC" w:sz="4"/>
            </w:tcBorders>
            <w:shd w:fill="DDEBF7"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Diritto dell’Unione: trattati, direttiva 2004/38, direttiva 2001/55</w:t>
            </w:r>
          </w:p>
        </w:tc>
      </w:tr>
      <w:tr>
        <w:trPr>
          <w:cantSplit/>
        </w:trPr>
        <w:tc>
          <w:tcPr>
            <w:tcW w:type="dxa" w:w="1349"/>
            <w:tcBorders>
              <w:top w:val="single" w:color="D6DDEC" w:sz="4"/>
              <w:left w:val="single" w:color="D6DDEC" w:sz="4"/>
              <w:bottom w:val="single" w:color="D6DDEC" w:sz="4"/>
              <w:right w:val="single" w:color="D6DDEC" w:sz="4"/>
            </w:tcBorders>
            <w:shd w:fill="E7E6E6"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FUORI</w:t>
            </w:r>
          </w:p>
        </w:tc>
        <w:tc>
          <w:tcPr>
            <w:tcW w:type="dxa" w:w="4819"/>
            <w:tcBorders>
              <w:top w:val="single" w:color="D6DDEC" w:sz="4"/>
              <w:left w:val="single" w:color="D6DDEC" w:sz="4"/>
              <w:bottom w:val="single" w:color="D6DDEC" w:sz="4"/>
              <w:right w:val="single" w:color="D6DDEC" w:sz="4"/>
            </w:tcBorders>
            <w:shd w:fill="E7E6E6"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Tutti gli altri</w:t>
            </w:r>
          </w:p>
        </w:tc>
        <w:tc>
          <w:tcPr>
            <w:tcW w:type="dxa" w:w="3470"/>
            <w:tcBorders>
              <w:top w:val="single" w:color="D6DDEC" w:sz="4"/>
              <w:left w:val="single" w:color="D6DDEC" w:sz="4"/>
              <w:bottom w:val="single" w:color="D6DDEC" w:sz="4"/>
              <w:right w:val="single" w:color="D6DDEC" w:sz="4"/>
            </w:tcBorders>
            <w:shd w:fill="E7E6E6" w:color="auto" w:val="clear"/>
            <w:tcMar>
              <w:top w:type="dxa" w:w="50"/>
              <w:left w:type="dxa" w:w="90"/>
              <w:bottom w:type="dxa" w:w="50"/>
              <w:right w:type="dxa" w:w="90"/>
            </w:tcMar>
          </w:tcPr>
          <w:p>
            <w:pPr>
              <w:jc w:val="left"/>
            </w:pPr>
            <w:r>
              <w:rPr>
                <w:rFonts w:ascii="Arial" w:cs="Arial" w:eastAsia="Arial" w:hAnsi="Arial"/>
                <w:color w:val="1A2340"/>
                <w:sz w:val="17"/>
                <w:szCs w:val="17"/>
              </w:rPr>
              <w:t xml:space="preserve">Nessuna remigrazione</w:t>
            </w:r>
          </w:p>
        </w:tc>
      </w:tr>
    </w:tbl>
    <w:p>
      <w:pPr>
        <w:spacing w:after="120"/>
      </w:pPr>
    </w:p>
    <w:p>
      <w:pPr>
        <w:pStyle w:val="Heading2"/>
      </w:pPr>
      <w:r>
        <w:t xml:space="preserve">1.2 Il funnel dell’Italia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397"/>
        <w:gridCol w:w="1349"/>
        <w:gridCol w:w="964"/>
        <w:gridCol w:w="964"/>
      </w:tblGrid>
      <w:tr>
        <w:trPr>
          <w:cantSplit/>
          <w:tblHeader/>
        </w:trPr>
        <w:tc>
          <w:tcPr>
            <w:tcW w:type="dxa" w:w="96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Codice</w:t>
            </w:r>
          </w:p>
        </w:tc>
        <w:tc>
          <w:tcPr>
            <w:tcW w:type="dxa" w:w="539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Categoria</w:t>
            </w:r>
          </w:p>
        </w:tc>
        <w:tc>
          <w:tcPr>
            <w:tcW w:type="dxa" w:w="1349"/>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Persone</w:t>
            </w:r>
          </w:p>
        </w:tc>
        <w:tc>
          <w:tcPr>
            <w:tcW w:type="dxa" w:w="96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 tot.</w:t>
            </w:r>
          </w:p>
        </w:tc>
        <w:tc>
          <w:tcPr>
            <w:tcW w:type="dxa" w:w="96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Fase</w:t>
            </w:r>
          </w:p>
        </w:tc>
      </w:tr>
      <w:tr>
        <w:trPr>
          <w:cantSplit/>
        </w:trPr>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
            </w:r>
          </w:p>
        </w:tc>
        <w:tc>
          <w:tcPr>
            <w:tcW w:type="dxa" w:w="5397"/>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PRESENTI IN ITALIA (residenti + irregolari stimati)</w:t>
            </w:r>
          </w:p>
        </w:tc>
        <w:tc>
          <w:tcPr>
            <w:tcW w:type="dxa" w:w="1349"/>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59.282k</w:t>
            </w:r>
          </w:p>
        </w:tc>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100%</w:t>
            </w:r>
          </w:p>
        </w:tc>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
            </w:r>
          </w:p>
        </w:tc>
      </w:tr>
      <w:tr>
        <w:trPr>
          <w:cantSplit/>
        </w:trPr>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A</w:t>
            </w:r>
          </w:p>
        </w:tc>
        <w:tc>
          <w:tcPr>
            <w:tcW w:type="dxa" w:w="5397"/>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Cittadini italiani</w:t>
            </w:r>
          </w:p>
        </w:tc>
        <w:tc>
          <w:tcPr>
            <w:tcW w:type="dxa" w:w="1349"/>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53.572k</w:t>
            </w:r>
          </w:p>
        </w:tc>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90,4%</w:t>
            </w:r>
          </w:p>
        </w:tc>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
            </w:r>
          </w:p>
        </w:tc>
      </w:tr>
      <w:tr>
        <w:trPr>
          <w:cantSplit/>
        </w:trPr>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A1</w:t>
            </w:r>
          </w:p>
        </w:tc>
        <w:tc>
          <w:tcPr>
            <w:tcW w:type="dxa" w:w="5397"/>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ind w:left="200"/>
              <w:jc w:val="left"/>
            </w:pPr>
            <w:r>
              <w:rPr>
                <w:rFonts w:ascii="Arial" w:cs="Arial" w:eastAsia="Arial" w:hAnsi="Arial"/>
                <w:b/>
                <w:bCs/>
                <w:color w:val="1A2340"/>
                <w:sz w:val="15"/>
                <w:szCs w:val="15"/>
              </w:rPr>
              <w:t xml:space="preserve">Nati in Italia</w:t>
            </w:r>
          </w:p>
        </w:tc>
        <w:tc>
          <w:tcPr>
            <w:tcW w:type="dxa" w:w="1349"/>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51.213k</w:t>
            </w:r>
          </w:p>
        </w:tc>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86,4%</w:t>
            </w:r>
          </w:p>
        </w:tc>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A1a</w:t>
            </w:r>
          </w:p>
        </w:tc>
        <w:tc>
          <w:tcPr>
            <w:tcW w:type="dxa" w:w="5397"/>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400"/>
              <w:jc w:val="left"/>
            </w:pPr>
            <w:r>
              <w:rPr>
                <w:rFonts w:ascii="Arial" w:cs="Arial" w:eastAsia="Arial" w:hAnsi="Arial"/>
                <w:color w:val="1A2340"/>
                <w:sz w:val="15"/>
                <w:szCs w:val="15"/>
              </w:rPr>
              <w:t xml:space="preserve">da genitori nati in Italia (residuo)</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50.057k</w:t>
            </w:r>
          </w:p>
        </w:tc>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84,4%</w:t>
            </w:r>
          </w:p>
        </w:tc>
        <w:tc>
          <w:tcPr>
            <w:tcW w:type="dxa" w:w="964"/>
            <w:tcBorders>
              <w:top w:val="single" w:color="D6DDEC" w:sz="4"/>
              <w:left w:val="single" w:color="D6DDEC" w:sz="4"/>
              <w:bottom w:val="single" w:color="D6DDEC" w:sz="4"/>
              <w:right w:val="single" w:color="D6DDEC" w:sz="4"/>
            </w:tcBorders>
            <w:shd w:fill="E7E6E6"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FUORI</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A1b</w:t>
            </w:r>
          </w:p>
        </w:tc>
        <w:tc>
          <w:tcPr>
            <w:tcW w:type="dxa" w:w="5397"/>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400"/>
              <w:jc w:val="left"/>
            </w:pPr>
            <w:r>
              <w:rPr>
                <w:rFonts w:ascii="Arial" w:cs="Arial" w:eastAsia="Arial" w:hAnsi="Arial"/>
                <w:color w:val="1A2340"/>
                <w:sz w:val="15"/>
                <w:szCs w:val="15"/>
              </w:rPr>
              <w:t xml:space="preserve">seconda generazione: almeno un genitore nato all’estero</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1.156k</w:t>
            </w:r>
          </w:p>
        </w:tc>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2,0%</w:t>
            </w:r>
          </w:p>
        </w:tc>
        <w:tc>
          <w:tcPr>
            <w:tcW w:type="dxa" w:w="964"/>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3</w:t>
            </w:r>
          </w:p>
        </w:tc>
      </w:tr>
      <w:tr>
        <w:trPr>
          <w:cantSplit/>
        </w:trPr>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A2</w:t>
            </w:r>
          </w:p>
        </w:tc>
        <w:tc>
          <w:tcPr>
            <w:tcW w:type="dxa" w:w="5397"/>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ind w:left="200"/>
              <w:jc w:val="left"/>
            </w:pPr>
            <w:r>
              <w:rPr>
                <w:rFonts w:ascii="Arial" w:cs="Arial" w:eastAsia="Arial" w:hAnsi="Arial"/>
                <w:b/>
                <w:bCs/>
                <w:color w:val="1A2340"/>
                <w:sz w:val="15"/>
                <w:szCs w:val="15"/>
              </w:rPr>
              <w:t xml:space="preserve">Nati all’estero</w:t>
            </w:r>
          </w:p>
        </w:tc>
        <w:tc>
          <w:tcPr>
            <w:tcW w:type="dxa" w:w="1349"/>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2.359k</w:t>
            </w:r>
          </w:p>
        </w:tc>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4,0%</w:t>
            </w:r>
          </w:p>
        </w:tc>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A2a</w:t>
            </w:r>
          </w:p>
        </w:tc>
        <w:tc>
          <w:tcPr>
            <w:tcW w:type="dxa" w:w="5397"/>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400"/>
              <w:jc w:val="left"/>
            </w:pPr>
            <w:r>
              <w:rPr>
                <w:rFonts w:ascii="Arial" w:cs="Arial" w:eastAsia="Arial" w:hAnsi="Arial"/>
                <w:color w:val="1A2340"/>
                <w:sz w:val="15"/>
                <w:szCs w:val="15"/>
              </w:rPr>
              <w:t xml:space="preserve">italiani per acquisizione della cittadinanza</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2.090k</w:t>
            </w:r>
          </w:p>
        </w:tc>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3,5%</w:t>
            </w:r>
          </w:p>
        </w:tc>
        <w:tc>
          <w:tcPr>
            <w:tcW w:type="dxa" w:w="964"/>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3</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A2b</w:t>
            </w:r>
          </w:p>
        </w:tc>
        <w:tc>
          <w:tcPr>
            <w:tcW w:type="dxa" w:w="5397"/>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400"/>
              <w:jc w:val="left"/>
            </w:pPr>
            <w:r>
              <w:rPr>
                <w:rFonts w:ascii="Arial" w:cs="Arial" w:eastAsia="Arial" w:hAnsi="Arial"/>
                <w:color w:val="1A2340"/>
                <w:sz w:val="15"/>
                <w:szCs w:val="15"/>
              </w:rPr>
              <w:t xml:space="preserve">italiani dalla nascita nati all’estero (residuo)</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269k</w:t>
            </w:r>
          </w:p>
        </w:tc>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0,5%</w:t>
            </w:r>
          </w:p>
        </w:tc>
        <w:tc>
          <w:tcPr>
            <w:tcW w:type="dxa" w:w="964"/>
            <w:tcBorders>
              <w:top w:val="single" w:color="D6DDEC" w:sz="4"/>
              <w:left w:val="single" w:color="D6DDEC" w:sz="4"/>
              <w:bottom w:val="single" w:color="D6DDEC" w:sz="4"/>
              <w:right w:val="single" w:color="D6DDEC" w:sz="4"/>
            </w:tcBorders>
            <w:shd w:fill="E7E6E6"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FUORI</w:t>
            </w:r>
          </w:p>
        </w:tc>
      </w:tr>
      <w:tr>
        <w:trPr>
          <w:cantSplit/>
        </w:trPr>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B</w:t>
            </w:r>
          </w:p>
        </w:tc>
        <w:tc>
          <w:tcPr>
            <w:tcW w:type="dxa" w:w="5397"/>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Cittadini di altri Stati UE</w:t>
            </w:r>
          </w:p>
        </w:tc>
        <w:tc>
          <w:tcPr>
            <w:tcW w:type="dxa" w:w="1349"/>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1.374k</w:t>
            </w:r>
          </w:p>
        </w:tc>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2,3%</w:t>
            </w:r>
          </w:p>
        </w:tc>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B1</w:t>
            </w:r>
          </w:p>
        </w:tc>
        <w:tc>
          <w:tcPr>
            <w:tcW w:type="dxa" w:w="5397"/>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Romania</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1.053k</w:t>
            </w:r>
          </w:p>
        </w:tc>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1,8%</w:t>
            </w:r>
          </w:p>
        </w:tc>
        <w:tc>
          <w:tcPr>
            <w:tcW w:type="dxa" w:w="964"/>
            <w:tcBorders>
              <w:top w:val="single" w:color="D6DDEC" w:sz="4"/>
              <w:left w:val="single" w:color="D6DDEC" w:sz="4"/>
              <w:bottom w:val="single" w:color="D6DDEC" w:sz="4"/>
              <w:right w:val="single" w:color="D6DDEC" w:sz="4"/>
            </w:tcBorders>
            <w:shd w:fill="DDEBF7"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4</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B2</w:t>
            </w:r>
          </w:p>
        </w:tc>
        <w:tc>
          <w:tcPr>
            <w:tcW w:type="dxa" w:w="5397"/>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altri Stati UE (residuo)</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321k</w:t>
            </w:r>
          </w:p>
        </w:tc>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0,5%</w:t>
            </w:r>
          </w:p>
        </w:tc>
        <w:tc>
          <w:tcPr>
            <w:tcW w:type="dxa" w:w="964"/>
            <w:tcBorders>
              <w:top w:val="single" w:color="D6DDEC" w:sz="4"/>
              <w:left w:val="single" w:color="D6DDEC" w:sz="4"/>
              <w:bottom w:val="single" w:color="D6DDEC" w:sz="4"/>
              <w:right w:val="single" w:color="D6DDEC" w:sz="4"/>
            </w:tcBorders>
            <w:shd w:fill="E7E6E6"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FUORI</w:t>
            </w:r>
          </w:p>
        </w:tc>
      </w:tr>
      <w:tr>
        <w:trPr>
          <w:cantSplit/>
        </w:trPr>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C</w:t>
            </w:r>
          </w:p>
        </w:tc>
        <w:tc>
          <w:tcPr>
            <w:tcW w:type="dxa" w:w="5397"/>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Cittadini extra-UE residenti</w:t>
            </w:r>
          </w:p>
        </w:tc>
        <w:tc>
          <w:tcPr>
            <w:tcW w:type="dxa" w:w="1349"/>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3.997k</w:t>
            </w:r>
          </w:p>
        </w:tc>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6,7%</w:t>
            </w:r>
          </w:p>
        </w:tc>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
            </w:r>
          </w:p>
        </w:tc>
      </w:tr>
      <w:tr>
        <w:trPr>
          <w:cantSplit/>
        </w:trPr>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C1</w:t>
            </w:r>
          </w:p>
        </w:tc>
        <w:tc>
          <w:tcPr>
            <w:tcW w:type="dxa" w:w="5397"/>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ind w:left="200"/>
              <w:jc w:val="left"/>
            </w:pPr>
            <w:r>
              <w:rPr>
                <w:rFonts w:ascii="Arial" w:cs="Arial" w:eastAsia="Arial" w:hAnsi="Arial"/>
                <w:b/>
                <w:bCs/>
                <w:color w:val="1A2340"/>
                <w:sz w:val="15"/>
                <w:szCs w:val="15"/>
              </w:rPr>
              <w:t xml:space="preserve">con permesso di soggiorno valido</w:t>
            </w:r>
          </w:p>
        </w:tc>
        <w:tc>
          <w:tcPr>
            <w:tcW w:type="dxa" w:w="1349"/>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3.811k</w:t>
            </w:r>
          </w:p>
        </w:tc>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6,4%</w:t>
            </w:r>
          </w:p>
        </w:tc>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C1a</w:t>
            </w:r>
          </w:p>
        </w:tc>
        <w:tc>
          <w:tcPr>
            <w:tcW w:type="dxa" w:w="5397"/>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400"/>
              <w:jc w:val="left"/>
            </w:pPr>
            <w:r>
              <w:rPr>
                <w:rFonts w:ascii="Arial" w:cs="Arial" w:eastAsia="Arial" w:hAnsi="Arial"/>
                <w:color w:val="1A2340"/>
                <w:sz w:val="15"/>
                <w:szCs w:val="15"/>
              </w:rPr>
              <w:t xml:space="preserve">lungo soggiornanti (permesso UE senza scadenza)</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2.012k</w:t>
            </w:r>
          </w:p>
        </w:tc>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3,4%</w:t>
            </w:r>
          </w:p>
        </w:tc>
        <w:tc>
          <w:tcPr>
            <w:tcW w:type="dxa" w:w="964"/>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2</w:t>
            </w:r>
          </w:p>
        </w:tc>
      </w:tr>
      <w:tr>
        <w:trPr>
          <w:cantSplit/>
        </w:trPr>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C1b</w:t>
            </w:r>
          </w:p>
        </w:tc>
        <w:tc>
          <w:tcPr>
            <w:tcW w:type="dxa" w:w="5397"/>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ind w:left="400"/>
              <w:jc w:val="left"/>
            </w:pPr>
            <w:r>
              <w:rPr>
                <w:rFonts w:ascii="Arial" w:cs="Arial" w:eastAsia="Arial" w:hAnsi="Arial"/>
                <w:b/>
                <w:bCs/>
                <w:color w:val="1A2340"/>
                <w:sz w:val="15"/>
                <w:szCs w:val="15"/>
              </w:rPr>
              <w:t xml:space="preserve">permessi a termine</w:t>
            </w:r>
          </w:p>
        </w:tc>
        <w:tc>
          <w:tcPr>
            <w:tcW w:type="dxa" w:w="1349"/>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1.799k</w:t>
            </w:r>
          </w:p>
        </w:tc>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3,0%</w:t>
            </w:r>
          </w:p>
        </w:tc>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
            </w:r>
          </w:p>
        </w:tc>
      </w:tr>
      <w:tr>
        <w:trPr>
          <w:cantSplit/>
        </w:trPr>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C1b.1</w:t>
            </w:r>
          </w:p>
        </w:tc>
        <w:tc>
          <w:tcPr>
            <w:tcW w:type="dxa" w:w="5397"/>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ind w:left="600"/>
              <w:jc w:val="left"/>
            </w:pPr>
            <w:r>
              <w:rPr>
                <w:rFonts w:ascii="Arial" w:cs="Arial" w:eastAsia="Arial" w:hAnsi="Arial"/>
                <w:b/>
                <w:bCs/>
                <w:color w:val="1A2340"/>
                <w:sz w:val="15"/>
                <w:szCs w:val="15"/>
              </w:rPr>
              <w:t xml:space="preserve">asilo e protezione</w:t>
            </w:r>
          </w:p>
        </w:tc>
        <w:tc>
          <w:tcPr>
            <w:tcW w:type="dxa" w:w="1349"/>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484k</w:t>
            </w:r>
          </w:p>
        </w:tc>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0,8%</w:t>
            </w:r>
          </w:p>
        </w:tc>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C1b.1a</w:t>
            </w:r>
          </w:p>
        </w:tc>
        <w:tc>
          <w:tcPr>
            <w:tcW w:type="dxa" w:w="5397"/>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800"/>
              <w:jc w:val="left"/>
            </w:pPr>
            <w:r>
              <w:rPr>
                <w:rFonts w:ascii="Arial" w:cs="Arial" w:eastAsia="Arial" w:hAnsi="Arial"/>
                <w:color w:val="1A2340"/>
                <w:sz w:val="15"/>
                <w:szCs w:val="15"/>
              </w:rPr>
              <w:t xml:space="preserve">protezione temporanea (Ucraina)</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161k</w:t>
            </w:r>
          </w:p>
        </w:tc>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0,3%</w:t>
            </w:r>
          </w:p>
        </w:tc>
        <w:tc>
          <w:tcPr>
            <w:tcW w:type="dxa" w:w="964"/>
            <w:tcBorders>
              <w:top w:val="single" w:color="D6DDEC" w:sz="4"/>
              <w:left w:val="single" w:color="D6DDEC" w:sz="4"/>
              <w:bottom w:val="single" w:color="D6DDEC" w:sz="4"/>
              <w:right w:val="single" w:color="D6DDEC" w:sz="4"/>
            </w:tcBorders>
            <w:shd w:fill="DDEBF7"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4</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C1b.1b</w:t>
            </w:r>
          </w:p>
        </w:tc>
        <w:tc>
          <w:tcPr>
            <w:tcW w:type="dxa" w:w="5397"/>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800"/>
              <w:jc w:val="left"/>
            </w:pPr>
            <w:r>
              <w:rPr>
                <w:rFonts w:ascii="Arial" w:cs="Arial" w:eastAsia="Arial" w:hAnsi="Arial"/>
                <w:color w:val="1A2340"/>
                <w:sz w:val="15"/>
                <w:szCs w:val="15"/>
              </w:rPr>
              <w:t xml:space="preserve">richiesta asilo in attesa di decisione</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151k</w:t>
            </w:r>
          </w:p>
        </w:tc>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0,3%</w:t>
            </w:r>
          </w:p>
        </w:tc>
        <w:tc>
          <w:tcPr>
            <w:tcW w:type="dxa" w:w="964"/>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2</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C1b.1c</w:t>
            </w:r>
          </w:p>
        </w:tc>
        <w:tc>
          <w:tcPr>
            <w:tcW w:type="dxa" w:w="5397"/>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800"/>
              <w:jc w:val="left"/>
            </w:pPr>
            <w:r>
              <w:rPr>
                <w:rFonts w:ascii="Arial" w:cs="Arial" w:eastAsia="Arial" w:hAnsi="Arial"/>
                <w:color w:val="1A2340"/>
                <w:sz w:val="15"/>
                <w:szCs w:val="15"/>
              </w:rPr>
              <w:t xml:space="preserve">status di rifugiato</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59,7k</w:t>
            </w:r>
          </w:p>
        </w:tc>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0,1%</w:t>
            </w:r>
          </w:p>
        </w:tc>
        <w:tc>
          <w:tcPr>
            <w:tcW w:type="dxa" w:w="964"/>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2</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C1b.1d</w:t>
            </w:r>
          </w:p>
        </w:tc>
        <w:tc>
          <w:tcPr>
            <w:tcW w:type="dxa" w:w="5397"/>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800"/>
              <w:jc w:val="left"/>
            </w:pPr>
            <w:r>
              <w:rPr>
                <w:rFonts w:ascii="Arial" w:cs="Arial" w:eastAsia="Arial" w:hAnsi="Arial"/>
                <w:color w:val="1A2340"/>
                <w:sz w:val="15"/>
                <w:szCs w:val="15"/>
              </w:rPr>
              <w:t xml:space="preserve">protezione sussidiaria</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54,8k</w:t>
            </w:r>
          </w:p>
        </w:tc>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0,1%</w:t>
            </w:r>
          </w:p>
        </w:tc>
        <w:tc>
          <w:tcPr>
            <w:tcW w:type="dxa" w:w="964"/>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2</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C1b.1e</w:t>
            </w:r>
          </w:p>
        </w:tc>
        <w:tc>
          <w:tcPr>
            <w:tcW w:type="dxa" w:w="5397"/>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800"/>
              <w:jc w:val="left"/>
            </w:pPr>
            <w:r>
              <w:rPr>
                <w:rFonts w:ascii="Arial" w:cs="Arial" w:eastAsia="Arial" w:hAnsi="Arial"/>
                <w:color w:val="1A2340"/>
                <w:sz w:val="15"/>
                <w:szCs w:val="15"/>
              </w:rPr>
              <w:t xml:space="preserve">protezione speciale e altre (residuo)</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57,6k</w:t>
            </w:r>
          </w:p>
        </w:tc>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0,1%</w:t>
            </w:r>
          </w:p>
        </w:tc>
        <w:tc>
          <w:tcPr>
            <w:tcW w:type="dxa" w:w="964"/>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2</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C1b.2</w:t>
            </w:r>
          </w:p>
        </w:tc>
        <w:tc>
          <w:tcPr>
            <w:tcW w:type="dxa" w:w="5397"/>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600"/>
              <w:jc w:val="left"/>
            </w:pPr>
            <w:r>
              <w:rPr>
                <w:rFonts w:ascii="Arial" w:cs="Arial" w:eastAsia="Arial" w:hAnsi="Arial"/>
                <w:color w:val="1A2340"/>
                <w:sz w:val="15"/>
                <w:szCs w:val="15"/>
              </w:rPr>
              <w:t xml:space="preserve">lavoro, famiglia, studio, altri motivi (residuo)</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1.315k</w:t>
            </w:r>
          </w:p>
        </w:tc>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2,2%</w:t>
            </w:r>
          </w:p>
        </w:tc>
        <w:tc>
          <w:tcPr>
            <w:tcW w:type="dxa" w:w="964"/>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2</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C2</w:t>
            </w:r>
          </w:p>
        </w:tc>
        <w:tc>
          <w:tcPr>
            <w:tcW w:type="dxa" w:w="5397"/>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scarto tra residenti anagrafici e titoli validi (residuo)</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186k</w:t>
            </w:r>
          </w:p>
        </w:tc>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0,3%</w:t>
            </w:r>
          </w:p>
        </w:tc>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
            </w:r>
          </w:p>
        </w:tc>
      </w:tr>
      <w:tr>
        <w:trPr>
          <w:cantSplit/>
        </w:trPr>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D</w:t>
            </w:r>
          </w:p>
        </w:tc>
        <w:tc>
          <w:tcPr>
            <w:tcW w:type="dxa" w:w="5397"/>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Irregolari presenti, non residenti (stima)</w:t>
            </w:r>
          </w:p>
        </w:tc>
        <w:tc>
          <w:tcPr>
            <w:tcW w:type="dxa" w:w="1349"/>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339k</w:t>
            </w:r>
          </w:p>
        </w:tc>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0,6%</w:t>
            </w:r>
          </w:p>
        </w:tc>
        <w:tc>
          <w:tcPr>
            <w:tcW w:type="dxa" w:w="964"/>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Fase 1</w:t>
            </w:r>
          </w:p>
        </w:tc>
      </w:tr>
    </w:tbl>
    <w:p>
      <w:pPr>
        <w:spacing w:after="120"/>
      </w:pPr>
    </w:p>
    <w:p>
      <w:pPr>
        <w:spacing w:after="140"/>
      </w:pPr>
      <w:r>
        <w:rPr>
          <w:rFonts w:ascii="Arial" w:cs="Arial" w:eastAsia="Arial" w:hAnsi="Arial"/>
          <w:i/>
          <w:iCs/>
          <w:color w:val="4D5C84"/>
          <w:sz w:val="16"/>
          <w:szCs w:val="16"/>
        </w:rPr>
        <w:t xml:space="preserve">A1b, A2a, C1a e D sono stime; C2 è una differenza di fonte, non una categoria di persone.</w:t>
      </w:r>
    </w:p>
    <w:p>
      <w:pPr>
        <w:pStyle w:val="Heading2"/>
      </w:pPr>
      <w:r>
        <w:t xml:space="preserve">1.3 Flussi 2025 nel perimetro operativo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6168"/>
        <w:gridCol w:w="1349"/>
        <w:gridCol w:w="1157"/>
      </w:tblGrid>
      <w:tr>
        <w:trPr>
          <w:cantSplit/>
          <w:tblHeader/>
        </w:trPr>
        <w:tc>
          <w:tcPr>
            <w:tcW w:type="dxa" w:w="96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Codice</w:t>
            </w:r>
          </w:p>
        </w:tc>
        <w:tc>
          <w:tcPr>
            <w:tcW w:type="dxa" w:w="616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Passaggio</w:t>
            </w:r>
          </w:p>
        </w:tc>
        <w:tc>
          <w:tcPr>
            <w:tcW w:type="dxa" w:w="1349"/>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Persone</w:t>
            </w:r>
          </w:p>
        </w:tc>
        <w:tc>
          <w:tcPr>
            <w:tcW w:type="dxa" w:w="115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 ordini</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F1</w:t>
            </w:r>
          </w:p>
        </w:tc>
        <w:tc>
          <w:tcPr>
            <w:tcW w:type="dxa" w:w="616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Trovati in posizione irregolare</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82,5k</w:t>
            </w:r>
          </w:p>
        </w:tc>
        <w:tc>
          <w:tcPr>
            <w:tcW w:type="dxa" w:w="11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387,4%</w:t>
            </w:r>
          </w:p>
        </w:tc>
      </w:tr>
      <w:tr>
        <w:trPr>
          <w:cantSplit/>
        </w:trPr>
        <w:tc>
          <w:tcPr>
            <w:tcW w:type="dxa" w:w="964"/>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F2</w:t>
            </w:r>
          </w:p>
        </w:tc>
        <w:tc>
          <w:tcPr>
            <w:tcW w:type="dxa" w:w="6168"/>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Ordini di lasciare il territorio</w:t>
            </w:r>
          </w:p>
        </w:tc>
        <w:tc>
          <w:tcPr>
            <w:tcW w:type="dxa" w:w="1349"/>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21,3k</w:t>
            </w:r>
          </w:p>
        </w:tc>
        <w:tc>
          <w:tcPr>
            <w:tcW w:type="dxa" w:w="115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100%</w:t>
            </w:r>
          </w:p>
        </w:tc>
      </w:tr>
      <w:tr>
        <w:trPr>
          <w:cantSplit/>
        </w:trPr>
        <w:tc>
          <w:tcPr>
            <w:tcW w:type="dxa" w:w="964"/>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F3</w:t>
            </w:r>
          </w:p>
        </w:tc>
        <w:tc>
          <w:tcPr>
            <w:tcW w:type="dxa" w:w="6168"/>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Rimpatri verso paesi terzi eseguiti</w:t>
            </w:r>
          </w:p>
        </w:tc>
        <w:tc>
          <w:tcPr>
            <w:tcW w:type="dxa" w:w="1349"/>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4.780</w:t>
            </w:r>
          </w:p>
        </w:tc>
        <w:tc>
          <w:tcPr>
            <w:tcW w:type="dxa" w:w="115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22,4%</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F3a</w:t>
            </w:r>
          </w:p>
        </w:tc>
        <w:tc>
          <w:tcPr>
            <w:tcW w:type="dxa" w:w="616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di cui dopo trattenimento in CPR</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1.732</w:t>
            </w:r>
          </w:p>
        </w:tc>
        <w:tc>
          <w:tcPr>
            <w:tcW w:type="dxa" w:w="11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8,1%</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F3b</w:t>
            </w:r>
          </w:p>
        </w:tc>
        <w:tc>
          <w:tcPr>
            <w:tcW w:type="dxa" w:w="616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di cui senza CPR (residuo)</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3.048</w:t>
            </w:r>
          </w:p>
        </w:tc>
        <w:tc>
          <w:tcPr>
            <w:tcW w:type="dxa" w:w="11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14,3%</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F4</w:t>
            </w:r>
          </w:p>
        </w:tc>
        <w:tc>
          <w:tcPr>
            <w:tcW w:type="dxa" w:w="616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Rimpatri volontari assistiti (RVA)</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717</w:t>
            </w:r>
          </w:p>
        </w:tc>
        <w:tc>
          <w:tcPr>
            <w:tcW w:type="dxa" w:w="11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3,4%</w:t>
            </w:r>
          </w:p>
        </w:tc>
      </w:tr>
    </w:tbl>
    <w:p>
      <w:pPr>
        <w:spacing w:after="120"/>
      </w:pPr>
    </w:p>
    <w:p>
      <w:pPr>
        <w:spacing w:after="140"/>
      </w:pPr>
      <w:r>
        <w:rPr>
          <w:rFonts w:ascii="Arial" w:cs="Arial" w:eastAsia="Arial" w:hAnsi="Arial"/>
          <w:color w:val="1A2340"/>
          <w:sz w:val="19"/>
          <w:szCs w:val="19"/>
        </w:rPr>
        <w:t xml:space="preserve">Due categorie trasversali tagliano il funnel e non si sommano: 870 mila stranieri nati in Italia senza cittadinanza (in gran parte minori, Fase 2) e 19,8 mila detenuti stranieri (Fase 1).</w:t>
      </w:r>
    </w:p>
    <w:p>
      <w:r>
        <w:br w:type="page"/>
      </w:r>
    </w:p>
    <w:p>
      <w:pPr>
        <w:pStyle w:val="Heading1"/>
      </w:pPr>
      <w:r>
        <w:t xml:space="preserve">2. Fase 1 · Irregolari e condannati</w:t>
      </w:r>
    </w:p>
    <w:p>
      <w:pPr>
        <w:spacing w:after="140"/>
      </w:pPr>
      <w:r>
        <w:rPr>
          <w:rFonts w:ascii="Arial" w:cs="Arial" w:eastAsia="Arial" w:hAnsi="Arial"/>
          <w:color w:val="1A2340"/>
          <w:sz w:val="19"/>
          <w:szCs w:val="19"/>
        </w:rPr>
        <w:t xml:space="preserve">Rimpatriabili con la legge attuale. Il problema è l’esecuzione, non la norma.</w:t>
      </w:r>
    </w:p>
    <w:p>
      <w:pPr>
        <w:pStyle w:val="Heading2"/>
      </w:pPr>
      <w:r>
        <w:t xml:space="preserve">Chi sono e quanti sono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976"/>
        <w:gridCol w:w="1542"/>
        <w:gridCol w:w="1157"/>
      </w:tblGrid>
      <w:tr>
        <w:trPr>
          <w:cantSplit/>
          <w:tblHeader/>
        </w:trPr>
        <w:tc>
          <w:tcPr>
            <w:tcW w:type="dxa" w:w="96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Codice</w:t>
            </w:r>
          </w:p>
        </w:tc>
        <w:tc>
          <w:tcPr>
            <w:tcW w:type="dxa" w:w="597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Voce</w:t>
            </w:r>
          </w:p>
        </w:tc>
        <w:tc>
          <w:tcPr>
            <w:tcW w:type="dxa" w:w="1542"/>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Persone</w:t>
            </w:r>
          </w:p>
        </w:tc>
        <w:tc>
          <w:tcPr>
            <w:tcW w:type="dxa" w:w="115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Fase</w:t>
            </w:r>
          </w:p>
        </w:tc>
      </w:tr>
      <w:tr>
        <w:trPr>
          <w:cantSplit/>
        </w:trPr>
        <w:tc>
          <w:tcPr>
            <w:tcW w:type="dxa" w:w="964"/>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TOT</w:t>
            </w:r>
          </w:p>
        </w:tc>
        <w:tc>
          <w:tcPr>
            <w:tcW w:type="dxa" w:w="5976"/>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Fase 1: persone nel perimetro operativo</w:t>
            </w:r>
          </w:p>
        </w:tc>
        <w:tc>
          <w:tcPr>
            <w:tcW w:type="dxa" w:w="1542"/>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339k</w:t>
            </w:r>
          </w:p>
        </w:tc>
        <w:tc>
          <w:tcPr>
            <w:tcW w:type="dxa" w:w="1157"/>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Fase 1</w:t>
            </w:r>
          </w:p>
        </w:tc>
      </w:tr>
      <w:tr>
        <w:trPr>
          <w:cantSplit/>
        </w:trPr>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A</w:t>
            </w:r>
          </w:p>
        </w:tc>
        <w:tc>
          <w:tcPr>
            <w:tcW w:type="dxa" w:w="5976"/>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Irregolari presenti (stima)</w:t>
            </w:r>
          </w:p>
        </w:tc>
        <w:tc>
          <w:tcPr>
            <w:tcW w:type="dxa" w:w="1542"/>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339k</w:t>
            </w:r>
          </w:p>
        </w:tc>
        <w:tc>
          <w:tcPr>
            <w:tcW w:type="dxa" w:w="1157"/>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Fase 1</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A1</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di cui per cittadinanza</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n.d.</w:t>
            </w:r>
          </w:p>
        </w:tc>
        <w:tc>
          <w:tcPr>
            <w:tcW w:type="dxa" w:w="1157"/>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1</w:t>
            </w:r>
          </w:p>
        </w:tc>
      </w:tr>
      <w:tr>
        <w:trPr>
          <w:cantSplit/>
        </w:trPr>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T</w:t>
            </w:r>
          </w:p>
        </w:tc>
        <w:tc>
          <w:tcPr>
            <w:tcW w:type="dxa" w:w="5976"/>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Trasversale: detenuti stranieri (dentro A, Fase 2 e Fase 4)</w:t>
            </w:r>
          </w:p>
        </w:tc>
        <w:tc>
          <w:tcPr>
            <w:tcW w:type="dxa" w:w="1542"/>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19,8k</w:t>
            </w:r>
          </w:p>
        </w:tc>
        <w:tc>
          <w:tcPr>
            <w:tcW w:type="dxa" w:w="1157"/>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Fase 1</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T1</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cittadini UE</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2.819</w:t>
            </w:r>
          </w:p>
        </w:tc>
        <w:tc>
          <w:tcPr>
            <w:tcW w:type="dxa" w:w="1157"/>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1</w:t>
            </w:r>
          </w:p>
        </w:tc>
      </w:tr>
      <w:tr>
        <w:trPr>
          <w:cantSplit/>
        </w:trPr>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T2</w:t>
            </w:r>
          </w:p>
        </w:tc>
        <w:tc>
          <w:tcPr>
            <w:tcW w:type="dxa" w:w="5976"/>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ind w:left="200"/>
              <w:jc w:val="left"/>
            </w:pPr>
            <w:r>
              <w:rPr>
                <w:rFonts w:ascii="Arial" w:cs="Arial" w:eastAsia="Arial" w:hAnsi="Arial"/>
                <w:b/>
                <w:bCs/>
                <w:color w:val="1A2340"/>
                <w:sz w:val="15"/>
                <w:szCs w:val="15"/>
              </w:rPr>
              <w:t xml:space="preserve">extra-UE</w:t>
            </w:r>
          </w:p>
        </w:tc>
        <w:tc>
          <w:tcPr>
            <w:tcW w:type="dxa" w:w="1542"/>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17,0k</w:t>
            </w:r>
          </w:p>
        </w:tc>
        <w:tc>
          <w:tcPr>
            <w:tcW w:type="dxa" w:w="1157"/>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Fase 1</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T2a</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400"/>
              <w:jc w:val="left"/>
            </w:pPr>
            <w:r>
              <w:rPr>
                <w:rFonts w:ascii="Arial" w:cs="Arial" w:eastAsia="Arial" w:hAnsi="Arial"/>
                <w:color w:val="1A2340"/>
                <w:sz w:val="15"/>
                <w:szCs w:val="15"/>
              </w:rPr>
              <w:t xml:space="preserve">Marocco</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4.358</w:t>
            </w:r>
          </w:p>
        </w:tc>
        <w:tc>
          <w:tcPr>
            <w:tcW w:type="dxa" w:w="1157"/>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1</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T2b</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400"/>
              <w:jc w:val="left"/>
            </w:pPr>
            <w:r>
              <w:rPr>
                <w:rFonts w:ascii="Arial" w:cs="Arial" w:eastAsia="Arial" w:hAnsi="Arial"/>
                <w:color w:val="1A2340"/>
                <w:sz w:val="15"/>
                <w:szCs w:val="15"/>
              </w:rPr>
              <w:t xml:space="preserve">Tunisia</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2.186</w:t>
            </w:r>
          </w:p>
        </w:tc>
        <w:tc>
          <w:tcPr>
            <w:tcW w:type="dxa" w:w="1157"/>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1</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T2c</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400"/>
              <w:jc w:val="left"/>
            </w:pPr>
            <w:r>
              <w:rPr>
                <w:rFonts w:ascii="Arial" w:cs="Arial" w:eastAsia="Arial" w:hAnsi="Arial"/>
                <w:color w:val="1A2340"/>
                <w:sz w:val="15"/>
                <w:szCs w:val="15"/>
              </w:rPr>
              <w:t xml:space="preserve">altre cittadinanze (residuo)</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10,5k</w:t>
            </w:r>
          </w:p>
        </w:tc>
        <w:tc>
          <w:tcPr>
            <w:tcW w:type="dxa" w:w="1157"/>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1</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T3</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Stranieri in esecuzione penale esterna</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29,0k</w:t>
            </w:r>
          </w:p>
        </w:tc>
        <w:tc>
          <w:tcPr>
            <w:tcW w:type="dxa" w:w="1157"/>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1</w:t>
            </w:r>
          </w:p>
        </w:tc>
      </w:tr>
    </w:tbl>
    <w:p>
      <w:pPr>
        <w:spacing w:after="120"/>
      </w:pPr>
    </w:p>
    <w:p>
      <w:pPr>
        <w:pStyle w:val="Heading2"/>
      </w:pPr>
      <w:r>
        <w:t xml:space="preserve">Stato giuridico, cosa si può fare, cambio di legge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6"/>
        <w:gridCol w:w="2506"/>
        <w:gridCol w:w="2506"/>
      </w:tblGrid>
      <w:tr>
        <w:trPr>
          <w:cantSplit/>
          <w:tblHeader/>
        </w:trPr>
        <w:tc>
          <w:tcPr>
            <w:tcW w:type="dxa" w:w="2120"/>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Voce</w:t>
            </w:r>
          </w:p>
        </w:tc>
        <w:tc>
          <w:tcPr>
            <w:tcW w:type="dxa" w:w="250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Stato giuridico oggi</w:t>
            </w:r>
          </w:p>
        </w:tc>
        <w:tc>
          <w:tcPr>
            <w:tcW w:type="dxa" w:w="250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Cosa si può fare oggi</w:t>
            </w:r>
          </w:p>
        </w:tc>
        <w:tc>
          <w:tcPr>
            <w:tcW w:type="dxa" w:w="250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Cambio di legge per remigrare</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Irregolari presenti (stima)</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Espellibili (TU art. 13)</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Ordine → partenza volontaria 7-30 gg o accompagnamento; CPR fino a 18 mesi (24+6 dal 16.10.2026)</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Nessuno. Servono accordi di riammissione (Marocco, Algeria, Pakistan, Bangladesh), canale volontario, identificazione</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Trasversale: detenuti stranieri (dentro A, Fase 2 e Fase 4)</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Espulsione come misura di sicurezza (c.p. 235; TU art. 15) o sostitutiva/alternativa (art. 16)</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Identificare in carcere; lasciapassare pronto al fine pena; charter</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Nessuno: nel 2018 solo 825 espulsioni ex art. 16. Serve riammissione</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cittadini UE</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Dir. 2004/38 artt. 27-28</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Allontanamento art. 20 D.Lgs. 30/2007; esecuzione pena in patria (DQ 2008/909)</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Marocco</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Idem</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Accordo di riammissione da negoziare (visti art. 25a)</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Tunisia</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Idem</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Tetto 80 rimpatri/settimana da alzare</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altre cittadinanze (residuo)</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Idem</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Albania ≈ 1.960, Nigeria ≈ 1.000, Egitto, Senegal, Algeria 400-600</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Stranieri in esecuzione penale esterna</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Misure alternative</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Espulsione alternativa (art. 16 c. 5) se residuo ≤ 2 anni</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w:t>
            </w:r>
          </w:p>
        </w:tc>
      </w:tr>
    </w:tbl>
    <w:p>
      <w:pPr>
        <w:spacing w:after="120"/>
      </w:pPr>
    </w:p>
    <w:p>
      <w:r>
        <w:br w:type="page"/>
      </w:r>
    </w:p>
    <w:p>
      <w:pPr>
        <w:pStyle w:val="Heading1"/>
      </w:pPr>
      <w:r>
        <w:t xml:space="preserve">3. Fase 2 · Regolari extra-UE</w:t>
      </w:r>
    </w:p>
    <w:p>
      <w:pPr>
        <w:spacing w:after="140"/>
      </w:pPr>
      <w:r>
        <w:rPr>
          <w:rFonts w:ascii="Arial" w:cs="Arial" w:eastAsia="Arial" w:hAnsi="Arial"/>
          <w:color w:val="1A2340"/>
          <w:sz w:val="19"/>
          <w:szCs w:val="19"/>
        </w:rPr>
        <w:t xml:space="preserve">Entrano nel perimetro quando perdono il titolo. Leve: legge ordinaria e accordi di riammissione.</w:t>
      </w:r>
    </w:p>
    <w:p>
      <w:pPr>
        <w:pStyle w:val="Heading2"/>
      </w:pPr>
      <w:r>
        <w:t xml:space="preserve">Chi sono e quanti sono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976"/>
        <w:gridCol w:w="1542"/>
        <w:gridCol w:w="1157"/>
      </w:tblGrid>
      <w:tr>
        <w:trPr>
          <w:cantSplit/>
          <w:tblHeader/>
        </w:trPr>
        <w:tc>
          <w:tcPr>
            <w:tcW w:type="dxa" w:w="96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Codice</w:t>
            </w:r>
          </w:p>
        </w:tc>
        <w:tc>
          <w:tcPr>
            <w:tcW w:type="dxa" w:w="597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Voce</w:t>
            </w:r>
          </w:p>
        </w:tc>
        <w:tc>
          <w:tcPr>
            <w:tcW w:type="dxa" w:w="1542"/>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Persone</w:t>
            </w:r>
          </w:p>
        </w:tc>
        <w:tc>
          <w:tcPr>
            <w:tcW w:type="dxa" w:w="115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Fase</w:t>
            </w:r>
          </w:p>
        </w:tc>
      </w:tr>
      <w:tr>
        <w:trPr>
          <w:cantSplit/>
        </w:trPr>
        <w:tc>
          <w:tcPr>
            <w:tcW w:type="dxa" w:w="964"/>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TOT</w:t>
            </w:r>
          </w:p>
        </w:tc>
        <w:tc>
          <w:tcPr>
            <w:tcW w:type="dxa" w:w="5976"/>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Fase 2: extra-UE con titolo di soggiorno (esclusa protezione temporanea)</w:t>
            </w:r>
          </w:p>
        </w:tc>
        <w:tc>
          <w:tcPr>
            <w:tcW w:type="dxa" w:w="1542"/>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3.650k</w:t>
            </w:r>
          </w:p>
        </w:tc>
        <w:tc>
          <w:tcPr>
            <w:tcW w:type="dxa" w:w="115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Fase 2</w:t>
            </w:r>
          </w:p>
        </w:tc>
      </w:tr>
      <w:tr>
        <w:trPr>
          <w:cantSplit/>
        </w:trPr>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A</w:t>
            </w:r>
          </w:p>
        </w:tc>
        <w:tc>
          <w:tcPr>
            <w:tcW w:type="dxa" w:w="5976"/>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Lungo soggiornanti</w:t>
            </w:r>
          </w:p>
        </w:tc>
        <w:tc>
          <w:tcPr>
            <w:tcW w:type="dxa" w:w="1542"/>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2.012k</w:t>
            </w:r>
          </w:p>
        </w:tc>
        <w:tc>
          <w:tcPr>
            <w:tcW w:type="dxa" w:w="115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Fase 2</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A1</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di cui per cittadinanza</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n.d.</w:t>
            </w:r>
          </w:p>
        </w:tc>
        <w:tc>
          <w:tcPr>
            <w:tcW w:type="dxa" w:w="115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2</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A2</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di cui con condanna per reati gravi (artt. 380-381 c.p.p.)</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n.d.</w:t>
            </w:r>
          </w:p>
        </w:tc>
        <w:tc>
          <w:tcPr>
            <w:tcW w:type="dxa" w:w="1157"/>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1</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A3</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di cui assenti dall’UE &gt; 12 mesi</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n.d.</w:t>
            </w:r>
          </w:p>
        </w:tc>
        <w:tc>
          <w:tcPr>
            <w:tcW w:type="dxa" w:w="115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2</w:t>
            </w:r>
          </w:p>
        </w:tc>
      </w:tr>
      <w:tr>
        <w:trPr>
          <w:cantSplit/>
        </w:trPr>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B</w:t>
            </w:r>
          </w:p>
        </w:tc>
        <w:tc>
          <w:tcPr>
            <w:tcW w:type="dxa" w:w="5976"/>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Permessi a termine: lavoro, famiglia, studio, altro</w:t>
            </w:r>
          </w:p>
        </w:tc>
        <w:tc>
          <w:tcPr>
            <w:tcW w:type="dxa" w:w="1542"/>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1.315k</w:t>
            </w:r>
          </w:p>
        </w:tc>
        <w:tc>
          <w:tcPr>
            <w:tcW w:type="dxa" w:w="115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Fase 2</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B1</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di cui per motivo (lavoro / famiglia / studio)</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n.d.</w:t>
            </w:r>
          </w:p>
        </w:tc>
        <w:tc>
          <w:tcPr>
            <w:tcW w:type="dxa" w:w="115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2</w:t>
            </w:r>
          </w:p>
        </w:tc>
      </w:tr>
      <w:tr>
        <w:trPr>
          <w:cantSplit/>
        </w:trPr>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C</w:t>
            </w:r>
          </w:p>
        </w:tc>
        <w:tc>
          <w:tcPr>
            <w:tcW w:type="dxa" w:w="5976"/>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Asilo e protezione (esclusa temporanea)</w:t>
            </w:r>
          </w:p>
        </w:tc>
        <w:tc>
          <w:tcPr>
            <w:tcW w:type="dxa" w:w="1542"/>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323k</w:t>
            </w:r>
          </w:p>
        </w:tc>
        <w:tc>
          <w:tcPr>
            <w:tcW w:type="dxa" w:w="115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Fase 2</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C1</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richiesta asilo in attesa</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151k</w:t>
            </w:r>
          </w:p>
        </w:tc>
        <w:tc>
          <w:tcPr>
            <w:tcW w:type="dxa" w:w="115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2</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C2</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status di rifugiato</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59,7k</w:t>
            </w:r>
          </w:p>
        </w:tc>
        <w:tc>
          <w:tcPr>
            <w:tcW w:type="dxa" w:w="115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2</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C3</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protezione sussidiaria</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54,8k</w:t>
            </w:r>
          </w:p>
        </w:tc>
        <w:tc>
          <w:tcPr>
            <w:tcW w:type="dxa" w:w="115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2</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C4</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protezione speciale e altre (residuo)</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57,6k</w:t>
            </w:r>
          </w:p>
        </w:tc>
        <w:tc>
          <w:tcPr>
            <w:tcW w:type="dxa" w:w="115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2</w:t>
            </w:r>
          </w:p>
        </w:tc>
      </w:tr>
      <w:tr>
        <w:trPr>
          <w:cantSplit/>
        </w:trPr>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T</w:t>
            </w:r>
          </w:p>
        </w:tc>
        <w:tc>
          <w:tcPr>
            <w:tcW w:type="dxa" w:w="5976"/>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Trasversale: stranieri nati in Italia senza cittadinanza (dentro B e C)</w:t>
            </w:r>
          </w:p>
        </w:tc>
        <w:tc>
          <w:tcPr>
            <w:tcW w:type="dxa" w:w="1542"/>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870k</w:t>
            </w:r>
          </w:p>
        </w:tc>
        <w:tc>
          <w:tcPr>
            <w:tcW w:type="dxa" w:w="115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Fase 2</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T1</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adulti 15-74</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195k</w:t>
            </w:r>
          </w:p>
        </w:tc>
        <w:tc>
          <w:tcPr>
            <w:tcW w:type="dxa" w:w="115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2</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T2</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minori (residuo)</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675k</w:t>
            </w:r>
          </w:p>
        </w:tc>
        <w:tc>
          <w:tcPr>
            <w:tcW w:type="dxa" w:w="115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2</w:t>
            </w:r>
          </w:p>
        </w:tc>
      </w:tr>
    </w:tbl>
    <w:p>
      <w:pPr>
        <w:spacing w:after="120"/>
      </w:pPr>
    </w:p>
    <w:p>
      <w:pPr>
        <w:pStyle w:val="Heading2"/>
      </w:pPr>
      <w:r>
        <w:t xml:space="preserve">Stato giuridico, cosa si può fare, cambio di legge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6"/>
        <w:gridCol w:w="2506"/>
        <w:gridCol w:w="2506"/>
      </w:tblGrid>
      <w:tr>
        <w:trPr>
          <w:cantSplit/>
          <w:tblHeader/>
        </w:trPr>
        <w:tc>
          <w:tcPr>
            <w:tcW w:type="dxa" w:w="2120"/>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Voce</w:t>
            </w:r>
          </w:p>
        </w:tc>
        <w:tc>
          <w:tcPr>
            <w:tcW w:type="dxa" w:w="250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Stato giuridico oggi</w:t>
            </w:r>
          </w:p>
        </w:tc>
        <w:tc>
          <w:tcPr>
            <w:tcW w:type="dxa" w:w="250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Cosa si può fare oggi</w:t>
            </w:r>
          </w:p>
        </w:tc>
        <w:tc>
          <w:tcPr>
            <w:tcW w:type="dxa" w:w="250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Cambio di legge per remigrare</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Lungo soggiornanti</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Status permanente (dir. 2003/109; TU art. 9)</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Espulsione solo per gravi motivi di ordine pubblico (art. 9 c. 10); revoca per assenza 12 mesi UE / 6 anni Italia o frode</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Senza reati: modifica dir. 2003/109 (unanimità UE). Oggi solo condizionale</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di cui con condanna per reati gravi (artt. 380-381 c.p.p.)</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Revocabile ed espellibile (art. 9 c. 4 e c. 10)</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Revoca + espulsione</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serve il dato DAP</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di cui assenti dall’UE &gt; 12 mesi</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Status decaduto (art. 9 c. 7)</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Revoca d’ufficio con controllo EES/SIS</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serve il controllo</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Permessi a termine: lavoro, famiglia, studio, altro</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Permesso 1-3 anni rinnovabile se restano i requisiti (TU art. 5 c. 5)</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Mancato rinnovo per perdita reddito/lavoro (dopo 12 mesi attesa occupazione) o reati ostativi → ordine</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Legge ordinaria: attesa occupazione 12→6 mesi (art. 22 c. 11), soglie di reddito, reati ostativi (art. 4 c. 3). Limite art. 8 CEDU</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richiesta asilo in attesa</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Soggiorno legittimo fino alla decisione</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Procedura di frontiera 12 settimane per paesi &lt; 20% (Patto UE); diniego + ordine in un atto</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in vigore dal 12.6.2026</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status di rifugiato</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Non-refoulement (Ginevra art. 33; TU art. 19)</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Solo revoca/cessazione (D.Lgs. 251/07 artt. 9, 13)</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Impossibile: Ginevra e Cost. art. 10</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protezione sussidiaria</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Permesso 5 anni</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Cessazione se cambia la situazione nel paese (art. 15)</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Riesame sistematico alla scadenza: prassi</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protezione speciale e altre (residuo)</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Permesso 2 anni (TU art. 19)</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Non rinnovo se cessano i presupposti</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Legge ordinaria: restringere art. 19 c. 1.1; limite art. 8 CEDU</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adulti 15-74</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Permesso ordinario</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Non rinnovo se perde i requisiti; espulsione per reati</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i giudici applicano art. 8 CEDU a chi è nato in Italia</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minori (residuo)</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Non espellibili (TU art. 19 c. 2); a 18 anni elezione di cittadinanza</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Nulla fino a 18 anni</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Abrogare art. 4 c. 2 L. 91/92: resterebbero in Fase 2</w:t>
            </w:r>
          </w:p>
        </w:tc>
      </w:tr>
    </w:tbl>
    <w:p>
      <w:pPr>
        <w:spacing w:after="120"/>
      </w:pPr>
    </w:p>
    <w:p>
      <w:pPr>
        <w:pStyle w:val="Heading2"/>
      </w:pPr>
      <w:r>
        <w:t xml:space="preserve">Flussi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3662"/>
        <w:gridCol w:w="1157"/>
        <w:gridCol w:w="867"/>
        <w:gridCol w:w="3084"/>
      </w:tblGrid>
      <w:tr>
        <w:trPr>
          <w:cantSplit/>
          <w:tblHeader/>
        </w:trPr>
        <w:tc>
          <w:tcPr>
            <w:tcW w:type="dxa" w:w="86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Codice</w:t>
            </w:r>
          </w:p>
        </w:tc>
        <w:tc>
          <w:tcPr>
            <w:tcW w:type="dxa" w:w="3662"/>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Voce</w:t>
            </w:r>
          </w:p>
        </w:tc>
        <w:tc>
          <w:tcPr>
            <w:tcW w:type="dxa" w:w="115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Persone</w:t>
            </w:r>
          </w:p>
        </w:tc>
        <w:tc>
          <w:tcPr>
            <w:tcW w:type="dxa" w:w="86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Fase</w:t>
            </w:r>
          </w:p>
        </w:tc>
        <w:tc>
          <w:tcPr>
            <w:tcW w:type="dxa" w:w="308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Cosa si può fare oggi</w:t>
            </w:r>
          </w:p>
        </w:tc>
      </w:tr>
      <w:tr>
        <w:trPr>
          <w:cantSplit/>
        </w:trPr>
        <w:tc>
          <w:tcPr>
            <w:tcW w:type="dxa" w:w="867"/>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4"/>
                <w:szCs w:val="14"/>
              </w:rPr>
              <w:t xml:space="preserve">F</w:t>
            </w:r>
          </w:p>
        </w:tc>
        <w:tc>
          <w:tcPr>
            <w:tcW w:type="dxa" w:w="3662"/>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4"/>
                <w:szCs w:val="14"/>
              </w:rPr>
              <w:t xml:space="preserve">Nuovi permessi rilasciati</w:t>
            </w:r>
          </w:p>
        </w:tc>
        <w:tc>
          <w:tcPr>
            <w:tcW w:type="dxa" w:w="1157"/>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4"/>
                <w:szCs w:val="14"/>
              </w:rPr>
              <w:t xml:space="preserve">290k</w:t>
            </w:r>
          </w:p>
        </w:tc>
        <w:tc>
          <w:tcPr>
            <w:tcW w:type="dxa" w:w="86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4"/>
                <w:szCs w:val="14"/>
              </w:rPr>
              <w:t xml:space="preserve">Fase 2</w:t>
            </w:r>
          </w:p>
        </w:tc>
        <w:tc>
          <w:tcPr>
            <w:tcW w:type="dxa" w:w="308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4"/>
                <w:szCs w:val="14"/>
              </w:rPr>
              <w:t xml:space="preserve"/>
            </w:r>
          </w:p>
        </w:tc>
      </w:tr>
      <w:tr>
        <w:trPr>
          <w:cantSplit/>
        </w:trPr>
        <w:tc>
          <w:tcPr>
            <w:tcW w:type="dxa" w:w="8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4"/>
                <w:szCs w:val="14"/>
              </w:rPr>
              <w:t xml:space="preserve">F1</w:t>
            </w:r>
          </w:p>
        </w:tc>
        <w:tc>
          <w:tcPr>
            <w:tcW w:type="dxa" w:w="3662"/>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4"/>
                <w:szCs w:val="14"/>
              </w:rPr>
              <w:t xml:space="preserve">famiglia</w:t>
            </w:r>
          </w:p>
        </w:tc>
        <w:tc>
          <w:tcPr>
            <w:tcW w:type="dxa" w:w="11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105k</w:t>
            </w:r>
          </w:p>
        </w:tc>
        <w:tc>
          <w:tcPr>
            <w:tcW w:type="dxa" w:w="86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4"/>
                <w:szCs w:val="14"/>
              </w:rPr>
              <w:t xml:space="preserve">Fase 2</w:t>
            </w:r>
          </w:p>
        </w:tc>
        <w:tc>
          <w:tcPr>
            <w:tcW w:type="dxa" w:w="308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Requisiti di reddito e alloggio</w:t>
            </w:r>
          </w:p>
        </w:tc>
      </w:tr>
      <w:tr>
        <w:trPr>
          <w:cantSplit/>
        </w:trPr>
        <w:tc>
          <w:tcPr>
            <w:tcW w:type="dxa" w:w="8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4"/>
                <w:szCs w:val="14"/>
              </w:rPr>
              <w:t xml:space="preserve">F2</w:t>
            </w:r>
          </w:p>
        </w:tc>
        <w:tc>
          <w:tcPr>
            <w:tcW w:type="dxa" w:w="3662"/>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4"/>
                <w:szCs w:val="14"/>
              </w:rPr>
              <w:t xml:space="preserve">asilo e protezione</w:t>
            </w:r>
          </w:p>
        </w:tc>
        <w:tc>
          <w:tcPr>
            <w:tcW w:type="dxa" w:w="11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104k</w:t>
            </w:r>
          </w:p>
        </w:tc>
        <w:tc>
          <w:tcPr>
            <w:tcW w:type="dxa" w:w="86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4"/>
                <w:szCs w:val="14"/>
              </w:rPr>
              <w:t xml:space="preserve">Fase 2</w:t>
            </w:r>
          </w:p>
        </w:tc>
        <w:tc>
          <w:tcPr>
            <w:tcW w:type="dxa" w:w="308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
            </w:r>
          </w:p>
        </w:tc>
      </w:tr>
      <w:tr>
        <w:trPr>
          <w:cantSplit/>
        </w:trPr>
        <w:tc>
          <w:tcPr>
            <w:tcW w:type="dxa" w:w="8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4"/>
                <w:szCs w:val="14"/>
              </w:rPr>
              <w:t xml:space="preserve">F3</w:t>
            </w:r>
          </w:p>
        </w:tc>
        <w:tc>
          <w:tcPr>
            <w:tcW w:type="dxa" w:w="3662"/>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4"/>
                <w:szCs w:val="14"/>
              </w:rPr>
              <w:t xml:space="preserve">lavoro</w:t>
            </w:r>
          </w:p>
        </w:tc>
        <w:tc>
          <w:tcPr>
            <w:tcW w:type="dxa" w:w="11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40,5k</w:t>
            </w:r>
          </w:p>
        </w:tc>
        <w:tc>
          <w:tcPr>
            <w:tcW w:type="dxa" w:w="86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4"/>
                <w:szCs w:val="14"/>
              </w:rPr>
              <w:t xml:space="preserve">Fase 2</w:t>
            </w:r>
          </w:p>
        </w:tc>
        <w:tc>
          <w:tcPr>
            <w:tcW w:type="dxa" w:w="308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Verifica rientro stagionali (EES)</w:t>
            </w:r>
          </w:p>
        </w:tc>
      </w:tr>
      <w:tr>
        <w:trPr>
          <w:cantSplit/>
        </w:trPr>
        <w:tc>
          <w:tcPr>
            <w:tcW w:type="dxa" w:w="8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4"/>
                <w:szCs w:val="14"/>
              </w:rPr>
              <w:t xml:space="preserve">F4</w:t>
            </w:r>
          </w:p>
        </w:tc>
        <w:tc>
          <w:tcPr>
            <w:tcW w:type="dxa" w:w="3662"/>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4"/>
                <w:szCs w:val="14"/>
              </w:rPr>
              <w:t xml:space="preserve">studio</w:t>
            </w:r>
          </w:p>
        </w:tc>
        <w:tc>
          <w:tcPr>
            <w:tcW w:type="dxa" w:w="11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20,1k</w:t>
            </w:r>
          </w:p>
        </w:tc>
        <w:tc>
          <w:tcPr>
            <w:tcW w:type="dxa" w:w="86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4"/>
                <w:szCs w:val="14"/>
              </w:rPr>
              <w:t xml:space="preserve">Fase 2</w:t>
            </w:r>
          </w:p>
        </w:tc>
        <w:tc>
          <w:tcPr>
            <w:tcW w:type="dxa" w:w="308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Rientro a fine corso</w:t>
            </w:r>
          </w:p>
        </w:tc>
      </w:tr>
      <w:tr>
        <w:trPr>
          <w:cantSplit/>
        </w:trPr>
        <w:tc>
          <w:tcPr>
            <w:tcW w:type="dxa" w:w="8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4"/>
                <w:szCs w:val="14"/>
              </w:rPr>
              <w:t xml:space="preserve">F5</w:t>
            </w:r>
          </w:p>
        </w:tc>
        <w:tc>
          <w:tcPr>
            <w:tcW w:type="dxa" w:w="3662"/>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4"/>
                <w:szCs w:val="14"/>
              </w:rPr>
              <w:t xml:space="preserve">altri motivi (residuo)</w:t>
            </w:r>
          </w:p>
        </w:tc>
        <w:tc>
          <w:tcPr>
            <w:tcW w:type="dxa" w:w="11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20,7k</w:t>
            </w:r>
          </w:p>
        </w:tc>
        <w:tc>
          <w:tcPr>
            <w:tcW w:type="dxa" w:w="86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4"/>
                <w:szCs w:val="14"/>
              </w:rPr>
              <w:t xml:space="preserve">Fase 2</w:t>
            </w:r>
          </w:p>
        </w:tc>
        <w:tc>
          <w:tcPr>
            <w:tcW w:type="dxa" w:w="308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
            </w:r>
          </w:p>
        </w:tc>
      </w:tr>
      <w:tr>
        <w:trPr>
          <w:cantSplit/>
        </w:trPr>
        <w:tc>
          <w:tcPr>
            <w:tcW w:type="dxa" w:w="8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4"/>
                <w:szCs w:val="14"/>
              </w:rPr>
              <w:t xml:space="preserve">G</w:t>
            </w:r>
          </w:p>
        </w:tc>
        <w:tc>
          <w:tcPr>
            <w:tcW w:type="dxa" w:w="366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Prime domande di asilo</w:t>
            </w:r>
          </w:p>
        </w:tc>
        <w:tc>
          <w:tcPr>
            <w:tcW w:type="dxa" w:w="11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151k</w:t>
            </w:r>
          </w:p>
        </w:tc>
        <w:tc>
          <w:tcPr>
            <w:tcW w:type="dxa" w:w="86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4"/>
                <w:szCs w:val="14"/>
              </w:rPr>
              <w:t xml:space="preserve">Fase 2</w:t>
            </w:r>
          </w:p>
        </w:tc>
        <w:tc>
          <w:tcPr>
            <w:tcW w:type="dxa" w:w="308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
            </w:r>
          </w:p>
        </w:tc>
      </w:tr>
      <w:tr>
        <w:trPr>
          <w:cantSplit/>
        </w:trPr>
        <w:tc>
          <w:tcPr>
            <w:tcW w:type="dxa" w:w="8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4"/>
                <w:szCs w:val="14"/>
              </w:rPr>
              <w:t xml:space="preserve">G1</w:t>
            </w:r>
          </w:p>
        </w:tc>
        <w:tc>
          <w:tcPr>
            <w:tcW w:type="dxa" w:w="366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Prime istanze esaminate: respinte 50.380 (64%) → Fase 1 · accolte 28.185</w:t>
            </w:r>
          </w:p>
        </w:tc>
        <w:tc>
          <w:tcPr>
            <w:tcW w:type="dxa" w:w="11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78,6k</w:t>
            </w:r>
          </w:p>
        </w:tc>
        <w:tc>
          <w:tcPr>
            <w:tcW w:type="dxa" w:w="86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4"/>
                <w:szCs w:val="14"/>
              </w:rPr>
              <w:t xml:space="preserve">Fase 2</w:t>
            </w:r>
          </w:p>
        </w:tc>
        <w:tc>
          <w:tcPr>
            <w:tcW w:type="dxa" w:w="308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
            </w:r>
          </w:p>
        </w:tc>
      </w:tr>
    </w:tbl>
    <w:p>
      <w:pPr>
        <w:spacing w:after="120"/>
      </w:pPr>
    </w:p>
    <w:p>
      <w:pPr>
        <w:spacing w:after="140"/>
      </w:pPr>
      <w:r>
        <w:rPr>
          <w:rFonts w:ascii="Arial" w:cs="Arial" w:eastAsia="Arial" w:hAnsi="Arial"/>
          <w:i/>
          <w:iCs/>
          <w:color w:val="4D5C84"/>
          <w:sz w:val="16"/>
          <w:szCs w:val="16"/>
        </w:rPr>
        <w:t xml:space="preserve">Prime origini 2024 (nuovi permessi): Bangladesh 28.045 · Marocco 25.776 · Albania 24.430 · Egitto 20.217 · Pakistan 17.217 · India 16.907 · Tunisia 15.016</w:t>
      </w:r>
    </w:p>
    <w:p>
      <w:r>
        <w:br w:type="page"/>
      </w:r>
    </w:p>
    <w:p>
      <w:pPr>
        <w:pStyle w:val="Heading1"/>
      </w:pPr>
      <w:r>
        <w:t xml:space="preserve">4. Fase 3 · Cittadini italiani di origine straniera</w:t>
      </w:r>
    </w:p>
    <w:p>
      <w:pPr>
        <w:spacing w:after="140"/>
      </w:pPr>
      <w:r>
        <w:rPr>
          <w:rFonts w:ascii="Arial" w:cs="Arial" w:eastAsia="Arial" w:hAnsi="Arial"/>
          <w:color w:val="1A2340"/>
          <w:sz w:val="19"/>
          <w:szCs w:val="19"/>
        </w:rPr>
        <w:t xml:space="preserve">Oggi non esiste alcuno strumento. Serve una riforma costituzionale e l’uscita da vincoli CEDU.</w:t>
      </w:r>
    </w:p>
    <w:p>
      <w:pPr>
        <w:pStyle w:val="Heading2"/>
      </w:pPr>
      <w:r>
        <w:t xml:space="preserve">Chi sono e quanti sono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976"/>
        <w:gridCol w:w="1542"/>
        <w:gridCol w:w="1157"/>
      </w:tblGrid>
      <w:tr>
        <w:trPr>
          <w:cantSplit/>
          <w:tblHeader/>
        </w:trPr>
        <w:tc>
          <w:tcPr>
            <w:tcW w:type="dxa" w:w="96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Codice</w:t>
            </w:r>
          </w:p>
        </w:tc>
        <w:tc>
          <w:tcPr>
            <w:tcW w:type="dxa" w:w="597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Voce</w:t>
            </w:r>
          </w:p>
        </w:tc>
        <w:tc>
          <w:tcPr>
            <w:tcW w:type="dxa" w:w="1542"/>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Persone</w:t>
            </w:r>
          </w:p>
        </w:tc>
        <w:tc>
          <w:tcPr>
            <w:tcW w:type="dxa" w:w="115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Fase</w:t>
            </w:r>
          </w:p>
        </w:tc>
      </w:tr>
      <w:tr>
        <w:trPr>
          <w:cantSplit/>
        </w:trPr>
        <w:tc>
          <w:tcPr>
            <w:tcW w:type="dxa" w:w="964"/>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TOT</w:t>
            </w:r>
          </w:p>
        </w:tc>
        <w:tc>
          <w:tcPr>
            <w:tcW w:type="dxa" w:w="5976"/>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Fase 3: cittadini di origine straniera</w:t>
            </w:r>
          </w:p>
        </w:tc>
        <w:tc>
          <w:tcPr>
            <w:tcW w:type="dxa" w:w="1542"/>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3.246k</w:t>
            </w:r>
          </w:p>
        </w:tc>
        <w:tc>
          <w:tcPr>
            <w:tcW w:type="dxa" w:w="1157"/>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Fase 3</w:t>
            </w:r>
          </w:p>
        </w:tc>
      </w:tr>
      <w:tr>
        <w:trPr>
          <w:cantSplit/>
        </w:trPr>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A</w:t>
            </w:r>
          </w:p>
        </w:tc>
        <w:tc>
          <w:tcPr>
            <w:tcW w:type="dxa" w:w="5976"/>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Seconda generazione, cittadini 15-74</w:t>
            </w:r>
          </w:p>
        </w:tc>
        <w:tc>
          <w:tcPr>
            <w:tcW w:type="dxa" w:w="1542"/>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1.156k</w:t>
            </w:r>
          </w:p>
        </w:tc>
        <w:tc>
          <w:tcPr>
            <w:tcW w:type="dxa" w:w="1157"/>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Fase 3</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A1</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di cui per origine del genitore</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n.d.</w:t>
            </w:r>
          </w:p>
        </w:tc>
        <w:tc>
          <w:tcPr>
            <w:tcW w:type="dxa" w:w="1157"/>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3</w:t>
            </w:r>
          </w:p>
        </w:tc>
      </w:tr>
      <w:tr>
        <w:trPr>
          <w:cantSplit/>
        </w:trPr>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B</w:t>
            </w:r>
          </w:p>
        </w:tc>
        <w:tc>
          <w:tcPr>
            <w:tcW w:type="dxa" w:w="5976"/>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Italiani per acquisizione</w:t>
            </w:r>
          </w:p>
        </w:tc>
        <w:tc>
          <w:tcPr>
            <w:tcW w:type="dxa" w:w="1542"/>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2.090k</w:t>
            </w:r>
          </w:p>
        </w:tc>
        <w:tc>
          <w:tcPr>
            <w:tcW w:type="dxa" w:w="1157"/>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Fase 3</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B1</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di origine extra-UE</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1.790k</w:t>
            </w:r>
          </w:p>
        </w:tc>
        <w:tc>
          <w:tcPr>
            <w:tcW w:type="dxa" w:w="1157"/>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3</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B2</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di origine UE (residuo)</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300k</w:t>
            </w:r>
          </w:p>
        </w:tc>
        <w:tc>
          <w:tcPr>
            <w:tcW w:type="dxa" w:w="1157"/>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3</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T</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Trasversale: condannati con cittadinanza italiana di origine straniera</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n.d.</w:t>
            </w:r>
          </w:p>
        </w:tc>
        <w:tc>
          <w:tcPr>
            <w:tcW w:type="dxa" w:w="1157"/>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3</w:t>
            </w:r>
          </w:p>
        </w:tc>
      </w:tr>
    </w:tbl>
    <w:p>
      <w:pPr>
        <w:spacing w:after="120"/>
      </w:pPr>
    </w:p>
    <w:p>
      <w:pPr>
        <w:pStyle w:val="Heading2"/>
      </w:pPr>
      <w:r>
        <w:t xml:space="preserve">Stato giuridico, cosa si può fare, cambio di legge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6"/>
        <w:gridCol w:w="2506"/>
        <w:gridCol w:w="2506"/>
      </w:tblGrid>
      <w:tr>
        <w:trPr>
          <w:cantSplit/>
          <w:tblHeader/>
        </w:trPr>
        <w:tc>
          <w:tcPr>
            <w:tcW w:type="dxa" w:w="2120"/>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Voce</w:t>
            </w:r>
          </w:p>
        </w:tc>
        <w:tc>
          <w:tcPr>
            <w:tcW w:type="dxa" w:w="250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Stato giuridico oggi</w:t>
            </w:r>
          </w:p>
        </w:tc>
        <w:tc>
          <w:tcPr>
            <w:tcW w:type="dxa" w:w="250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Cosa si può fare oggi</w:t>
            </w:r>
          </w:p>
        </w:tc>
        <w:tc>
          <w:tcPr>
            <w:tcW w:type="dxa" w:w="250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Cambio di legge per remigrare</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Fase 3: cittadini di origine straniera</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Cittadini a tutti gli effetti (Cost. art. 22; CEDU Prot. 4 art. 3)</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Nulla. Solo revoca per terrorismo (L. 91/92 art. 10-bis) e annullamento per frode</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Riforma costituzionale artt. 3 e 22 (doppia lettura + referendum) e denuncia del Prot. 4 CEDU; nessun precedente in UE</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Seconda generazione, cittadini 15-74</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Cittadini dalla nascita o per elezione a 18 anni</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Nulla</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Come sopra; per i futuri: abrogare l’elezione a 18 anni (art. 4 c. 2) e la trasmissione ai minori (art. 14) → restano in Fase 2</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Italiani per acquisizione</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Cittadini a tutti gli effetti</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Revoca solo per terrorismo entro 3 anni (art. 10-bis)</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Revoca estesa ad altri reati: viola Cost. art. 3 (parità) → serve riforma costituzionale; rischio apolidia (Conv. 1961)</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di origine extra-UE</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Idem</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Idem</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Idem</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di origine UE (residuo)</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Idem</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Idem</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Idem</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Trasversale: condannati con cittadinanza italiana di origine straniera</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Non espellibili</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Revoca solo per terrorismo</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Riforma costituzionale</w:t>
            </w:r>
          </w:p>
        </w:tc>
      </w:tr>
    </w:tbl>
    <w:p>
      <w:pPr>
        <w:spacing w:after="120"/>
      </w:pPr>
    </w:p>
    <w:p>
      <w:pPr>
        <w:pStyle w:val="Heading2"/>
      </w:pPr>
      <w:r>
        <w:t xml:space="preserve">Flussi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3662"/>
        <w:gridCol w:w="1157"/>
        <w:gridCol w:w="867"/>
        <w:gridCol w:w="3084"/>
      </w:tblGrid>
      <w:tr>
        <w:trPr>
          <w:cantSplit/>
          <w:tblHeader/>
        </w:trPr>
        <w:tc>
          <w:tcPr>
            <w:tcW w:type="dxa" w:w="86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Codice</w:t>
            </w:r>
          </w:p>
        </w:tc>
        <w:tc>
          <w:tcPr>
            <w:tcW w:type="dxa" w:w="3662"/>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Voce</w:t>
            </w:r>
          </w:p>
        </w:tc>
        <w:tc>
          <w:tcPr>
            <w:tcW w:type="dxa" w:w="115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Persone</w:t>
            </w:r>
          </w:p>
        </w:tc>
        <w:tc>
          <w:tcPr>
            <w:tcW w:type="dxa" w:w="86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Fase</w:t>
            </w:r>
          </w:p>
        </w:tc>
        <w:tc>
          <w:tcPr>
            <w:tcW w:type="dxa" w:w="308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Cosa si può fare oggi</w:t>
            </w:r>
          </w:p>
        </w:tc>
      </w:tr>
      <w:tr>
        <w:trPr>
          <w:cantSplit/>
        </w:trPr>
        <w:tc>
          <w:tcPr>
            <w:tcW w:type="dxa" w:w="867"/>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4"/>
                <w:szCs w:val="14"/>
              </w:rPr>
              <w:t xml:space="preserve">F</w:t>
            </w:r>
          </w:p>
        </w:tc>
        <w:tc>
          <w:tcPr>
            <w:tcW w:type="dxa" w:w="3662"/>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4"/>
                <w:szCs w:val="14"/>
              </w:rPr>
              <w:t xml:space="preserve">Acquisizioni nell’anno</w:t>
            </w:r>
          </w:p>
        </w:tc>
        <w:tc>
          <w:tcPr>
            <w:tcW w:type="dxa" w:w="1157"/>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4"/>
                <w:szCs w:val="14"/>
              </w:rPr>
              <w:t xml:space="preserve">217k</w:t>
            </w:r>
          </w:p>
        </w:tc>
        <w:tc>
          <w:tcPr>
            <w:tcW w:type="dxa" w:w="867"/>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b/>
                <w:bCs/>
                <w:color w:val="1A2340"/>
                <w:sz w:val="14"/>
                <w:szCs w:val="14"/>
              </w:rPr>
              <w:t xml:space="preserve">Fase 3</w:t>
            </w:r>
          </w:p>
        </w:tc>
        <w:tc>
          <w:tcPr>
            <w:tcW w:type="dxa" w:w="308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4"/>
                <w:szCs w:val="14"/>
              </w:rPr>
              <w:t xml:space="preserve"/>
            </w:r>
          </w:p>
        </w:tc>
      </w:tr>
      <w:tr>
        <w:trPr>
          <w:cantSplit/>
        </w:trPr>
        <w:tc>
          <w:tcPr>
            <w:tcW w:type="dxa" w:w="8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4"/>
                <w:szCs w:val="14"/>
              </w:rPr>
              <w:t xml:space="preserve">F1</w:t>
            </w:r>
          </w:p>
        </w:tc>
        <w:tc>
          <w:tcPr>
            <w:tcW w:type="dxa" w:w="3662"/>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4"/>
                <w:szCs w:val="14"/>
              </w:rPr>
              <w:t xml:space="preserve">per residenza (10 anni)</w:t>
            </w:r>
          </w:p>
        </w:tc>
        <w:tc>
          <w:tcPr>
            <w:tcW w:type="dxa" w:w="11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85,0k</w:t>
            </w:r>
          </w:p>
        </w:tc>
        <w:tc>
          <w:tcPr>
            <w:tcW w:type="dxa" w:w="867"/>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color w:val="1A2340"/>
                <w:sz w:val="14"/>
                <w:szCs w:val="14"/>
              </w:rPr>
              <w:t xml:space="preserve">Fase 3</w:t>
            </w:r>
          </w:p>
        </w:tc>
        <w:tc>
          <w:tcPr>
            <w:tcW w:type="dxa" w:w="308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Irrigidire requisiti (reddito, lingua B1, reati)</w:t>
            </w:r>
          </w:p>
        </w:tc>
      </w:tr>
      <w:tr>
        <w:trPr>
          <w:cantSplit/>
        </w:trPr>
        <w:tc>
          <w:tcPr>
            <w:tcW w:type="dxa" w:w="8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4"/>
                <w:szCs w:val="14"/>
              </w:rPr>
              <w:t xml:space="preserve">F2</w:t>
            </w:r>
          </w:p>
        </w:tc>
        <w:tc>
          <w:tcPr>
            <w:tcW w:type="dxa" w:w="3662"/>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4"/>
                <w:szCs w:val="14"/>
              </w:rPr>
              <w:t xml:space="preserve">minori per trasmissione dai genitori</w:t>
            </w:r>
          </w:p>
        </w:tc>
        <w:tc>
          <w:tcPr>
            <w:tcW w:type="dxa" w:w="11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63,0k</w:t>
            </w:r>
          </w:p>
        </w:tc>
        <w:tc>
          <w:tcPr>
            <w:tcW w:type="dxa" w:w="867"/>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color w:val="1A2340"/>
                <w:sz w:val="14"/>
                <w:szCs w:val="14"/>
              </w:rPr>
              <w:t xml:space="preserve">Fase 3</w:t>
            </w:r>
          </w:p>
        </w:tc>
        <w:tc>
          <w:tcPr>
            <w:tcW w:type="dxa" w:w="308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
            </w:r>
          </w:p>
        </w:tc>
      </w:tr>
      <w:tr>
        <w:trPr>
          <w:cantSplit/>
        </w:trPr>
        <w:tc>
          <w:tcPr>
            <w:tcW w:type="dxa" w:w="8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4"/>
                <w:szCs w:val="14"/>
              </w:rPr>
              <w:t xml:space="preserve">F3</w:t>
            </w:r>
          </w:p>
        </w:tc>
        <w:tc>
          <w:tcPr>
            <w:tcW w:type="dxa" w:w="3662"/>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4"/>
                <w:szCs w:val="14"/>
              </w:rPr>
              <w:t xml:space="preserve">iure sanguinis (avo italiano)</w:t>
            </w:r>
          </w:p>
        </w:tc>
        <w:tc>
          <w:tcPr>
            <w:tcW w:type="dxa" w:w="11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22,0k</w:t>
            </w:r>
          </w:p>
        </w:tc>
        <w:tc>
          <w:tcPr>
            <w:tcW w:type="dxa" w:w="867"/>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color w:val="1A2340"/>
                <w:sz w:val="14"/>
                <w:szCs w:val="14"/>
              </w:rPr>
              <w:t xml:space="preserve">Fase 3</w:t>
            </w:r>
          </w:p>
        </w:tc>
        <w:tc>
          <w:tcPr>
            <w:tcW w:type="dxa" w:w="308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Già ristretto (D.L. 36/2025)</w:t>
            </w:r>
          </w:p>
        </w:tc>
      </w:tr>
      <w:tr>
        <w:trPr>
          <w:cantSplit/>
        </w:trPr>
        <w:tc>
          <w:tcPr>
            <w:tcW w:type="dxa" w:w="8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4"/>
                <w:szCs w:val="14"/>
              </w:rPr>
              <w:t xml:space="preserve">F4</w:t>
            </w:r>
          </w:p>
        </w:tc>
        <w:tc>
          <w:tcPr>
            <w:tcW w:type="dxa" w:w="3662"/>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4"/>
                <w:szCs w:val="14"/>
              </w:rPr>
              <w:t xml:space="preserve">per matrimonio</w:t>
            </w:r>
          </w:p>
        </w:tc>
        <w:tc>
          <w:tcPr>
            <w:tcW w:type="dxa" w:w="11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19,0k</w:t>
            </w:r>
          </w:p>
        </w:tc>
        <w:tc>
          <w:tcPr>
            <w:tcW w:type="dxa" w:w="867"/>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color w:val="1A2340"/>
                <w:sz w:val="14"/>
                <w:szCs w:val="14"/>
              </w:rPr>
              <w:t xml:space="preserve">Fase 3</w:t>
            </w:r>
          </w:p>
        </w:tc>
        <w:tc>
          <w:tcPr>
            <w:tcW w:type="dxa" w:w="308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Allungare i termini</w:t>
            </w:r>
          </w:p>
        </w:tc>
      </w:tr>
      <w:tr>
        <w:trPr>
          <w:cantSplit/>
        </w:trPr>
        <w:tc>
          <w:tcPr>
            <w:tcW w:type="dxa" w:w="8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4"/>
                <w:szCs w:val="14"/>
              </w:rPr>
              <w:t xml:space="preserve">F5</w:t>
            </w:r>
          </w:p>
        </w:tc>
        <w:tc>
          <w:tcPr>
            <w:tcW w:type="dxa" w:w="3662"/>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4"/>
                <w:szCs w:val="14"/>
              </w:rPr>
              <w:t xml:space="preserve">per elezione a 18 anni</w:t>
            </w:r>
          </w:p>
        </w:tc>
        <w:tc>
          <w:tcPr>
            <w:tcW w:type="dxa" w:w="11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11,0k</w:t>
            </w:r>
          </w:p>
        </w:tc>
        <w:tc>
          <w:tcPr>
            <w:tcW w:type="dxa" w:w="867"/>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color w:val="1A2340"/>
                <w:sz w:val="14"/>
                <w:szCs w:val="14"/>
              </w:rPr>
              <w:t xml:space="preserve">Fase 3</w:t>
            </w:r>
          </w:p>
        </w:tc>
        <w:tc>
          <w:tcPr>
            <w:tcW w:type="dxa" w:w="308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
            </w:r>
          </w:p>
        </w:tc>
      </w:tr>
      <w:tr>
        <w:trPr>
          <w:cantSplit/>
        </w:trPr>
        <w:tc>
          <w:tcPr>
            <w:tcW w:type="dxa" w:w="8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4"/>
                <w:szCs w:val="14"/>
              </w:rPr>
              <w:t xml:space="preserve">F6</w:t>
            </w:r>
          </w:p>
        </w:tc>
        <w:tc>
          <w:tcPr>
            <w:tcW w:type="dxa" w:w="3662"/>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4"/>
                <w:szCs w:val="14"/>
              </w:rPr>
              <w:t xml:space="preserve">altre modalità (residuo)</w:t>
            </w:r>
          </w:p>
        </w:tc>
        <w:tc>
          <w:tcPr>
            <w:tcW w:type="dxa" w:w="11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17,4k</w:t>
            </w:r>
          </w:p>
        </w:tc>
        <w:tc>
          <w:tcPr>
            <w:tcW w:type="dxa" w:w="867"/>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color w:val="1A2340"/>
                <w:sz w:val="14"/>
                <w:szCs w:val="14"/>
              </w:rPr>
              <w:t xml:space="preserve">Fase 3</w:t>
            </w:r>
          </w:p>
        </w:tc>
        <w:tc>
          <w:tcPr>
            <w:tcW w:type="dxa" w:w="308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
            </w:r>
          </w:p>
        </w:tc>
      </w:tr>
    </w:tbl>
    <w:p>
      <w:pPr>
        <w:spacing w:after="120"/>
      </w:pPr>
    </w:p>
    <w:p>
      <w:pPr>
        <w:spacing w:after="140"/>
      </w:pPr>
      <w:r>
        <w:rPr>
          <w:rFonts w:ascii="Arial" w:cs="Arial" w:eastAsia="Arial" w:hAnsi="Arial"/>
          <w:i/>
          <w:iCs/>
          <w:color w:val="4D5C84"/>
          <w:sz w:val="16"/>
          <w:szCs w:val="16"/>
        </w:rPr>
        <w:t xml:space="preserve">Prime origini 2024: Albania ≈ 32.000 · Marocco ≈ 28.000 · Argentina 13.559 · India 12.258 · Brasile 11.058</w:t>
      </w:r>
    </w:p>
    <w:p>
      <w:r>
        <w:br w:type="page"/>
      </w:r>
    </w:p>
    <w:p>
      <w:pPr>
        <w:pStyle w:val="Heading1"/>
      </w:pPr>
      <w:r>
        <w:t xml:space="preserve">5. Fase 4 · Cittadini UE (Romania) e protezione temporanea</w:t>
      </w:r>
    </w:p>
    <w:p>
      <w:pPr>
        <w:spacing w:after="140"/>
      </w:pPr>
      <w:r>
        <w:rPr>
          <w:rFonts w:ascii="Arial" w:cs="Arial" w:eastAsia="Arial" w:hAnsi="Arial"/>
          <w:color w:val="1A2340"/>
          <w:sz w:val="19"/>
          <w:szCs w:val="19"/>
        </w:rPr>
        <w:t xml:space="preserve">Dipende dal diritto dell’Unione, non dalla legge italiana.</w:t>
      </w:r>
    </w:p>
    <w:p>
      <w:pPr>
        <w:pStyle w:val="Heading2"/>
      </w:pPr>
      <w:r>
        <w:t xml:space="preserve">Chi sono e quanti sono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976"/>
        <w:gridCol w:w="1542"/>
        <w:gridCol w:w="1157"/>
      </w:tblGrid>
      <w:tr>
        <w:trPr>
          <w:cantSplit/>
          <w:tblHeader/>
        </w:trPr>
        <w:tc>
          <w:tcPr>
            <w:tcW w:type="dxa" w:w="96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Codice</w:t>
            </w:r>
          </w:p>
        </w:tc>
        <w:tc>
          <w:tcPr>
            <w:tcW w:type="dxa" w:w="597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Voce</w:t>
            </w:r>
          </w:p>
        </w:tc>
        <w:tc>
          <w:tcPr>
            <w:tcW w:type="dxa" w:w="1542"/>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Persone</w:t>
            </w:r>
          </w:p>
        </w:tc>
        <w:tc>
          <w:tcPr>
            <w:tcW w:type="dxa" w:w="115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Fase</w:t>
            </w:r>
          </w:p>
        </w:tc>
      </w:tr>
      <w:tr>
        <w:trPr>
          <w:cantSplit/>
        </w:trPr>
        <w:tc>
          <w:tcPr>
            <w:tcW w:type="dxa" w:w="964"/>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TOT</w:t>
            </w:r>
          </w:p>
        </w:tc>
        <w:tc>
          <w:tcPr>
            <w:tcW w:type="dxa" w:w="5976"/>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Fase 4</w:t>
            </w:r>
          </w:p>
        </w:tc>
        <w:tc>
          <w:tcPr>
            <w:tcW w:type="dxa" w:w="1542"/>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1.214k</w:t>
            </w:r>
          </w:p>
        </w:tc>
        <w:tc>
          <w:tcPr>
            <w:tcW w:type="dxa" w:w="1157"/>
            <w:tcBorders>
              <w:top w:val="single" w:color="D6DDEC" w:sz="4"/>
              <w:left w:val="single" w:color="D6DDEC" w:sz="4"/>
              <w:bottom w:val="single" w:color="D6DDEC" w:sz="4"/>
              <w:right w:val="single" w:color="D6DDEC" w:sz="4"/>
            </w:tcBorders>
            <w:shd w:fill="DDEBF7"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Fase 4</w:t>
            </w:r>
          </w:p>
        </w:tc>
      </w:tr>
      <w:tr>
        <w:trPr>
          <w:cantSplit/>
        </w:trPr>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A</w:t>
            </w:r>
          </w:p>
        </w:tc>
        <w:tc>
          <w:tcPr>
            <w:tcW w:type="dxa" w:w="5976"/>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Romania</w:t>
            </w:r>
          </w:p>
        </w:tc>
        <w:tc>
          <w:tcPr>
            <w:tcW w:type="dxa" w:w="1542"/>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1.053k</w:t>
            </w:r>
          </w:p>
        </w:tc>
        <w:tc>
          <w:tcPr>
            <w:tcW w:type="dxa" w:w="1157"/>
            <w:tcBorders>
              <w:top w:val="single" w:color="D6DDEC" w:sz="4"/>
              <w:left w:val="single" w:color="D6DDEC" w:sz="4"/>
              <w:bottom w:val="single" w:color="D6DDEC" w:sz="4"/>
              <w:right w:val="single" w:color="D6DDEC" w:sz="4"/>
            </w:tcBorders>
            <w:shd w:fill="DDEBF7"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Fase 4</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A1</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di cui con lavoro o risorse</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n.d.</w:t>
            </w:r>
          </w:p>
        </w:tc>
        <w:tc>
          <w:tcPr>
            <w:tcW w:type="dxa" w:w="1157"/>
            <w:tcBorders>
              <w:top w:val="single" w:color="D6DDEC" w:sz="4"/>
              <w:left w:val="single" w:color="D6DDEC" w:sz="4"/>
              <w:bottom w:val="single" w:color="D6DDEC" w:sz="4"/>
              <w:right w:val="single" w:color="D6DDEC" w:sz="4"/>
            </w:tcBorders>
            <w:shd w:fill="E7E6E6"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FUORI</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A2</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di cui senza risorse dopo 3 mesi</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n.d.</w:t>
            </w:r>
          </w:p>
        </w:tc>
        <w:tc>
          <w:tcPr>
            <w:tcW w:type="dxa" w:w="1157"/>
            <w:tcBorders>
              <w:top w:val="single" w:color="D6DDEC" w:sz="4"/>
              <w:left w:val="single" w:color="D6DDEC" w:sz="4"/>
              <w:bottom w:val="single" w:color="D6DDEC" w:sz="4"/>
              <w:right w:val="single" w:color="D6DDEC" w:sz="4"/>
            </w:tcBorders>
            <w:shd w:fill="DDEBF7"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4</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A3</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di cui detenuti (≈ 11% dei detenuti stranieri)</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n.d.</w:t>
            </w:r>
          </w:p>
        </w:tc>
        <w:tc>
          <w:tcPr>
            <w:tcW w:type="dxa" w:w="1157"/>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1</w:t>
            </w:r>
          </w:p>
        </w:tc>
      </w:tr>
      <w:tr>
        <w:trPr>
          <w:cantSplit/>
        </w:trPr>
        <w:tc>
          <w:tcPr>
            <w:tcW w:type="dxa" w:w="96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B</w:t>
            </w:r>
          </w:p>
        </w:tc>
        <w:tc>
          <w:tcPr>
            <w:tcW w:type="dxa" w:w="5976"/>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Protezione temporanea (Ucraina)</w:t>
            </w:r>
          </w:p>
        </w:tc>
        <w:tc>
          <w:tcPr>
            <w:tcW w:type="dxa" w:w="1542"/>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161k</w:t>
            </w:r>
          </w:p>
        </w:tc>
        <w:tc>
          <w:tcPr>
            <w:tcW w:type="dxa" w:w="1157"/>
            <w:tcBorders>
              <w:top w:val="single" w:color="D6DDEC" w:sz="4"/>
              <w:left w:val="single" w:color="D6DDEC" w:sz="4"/>
              <w:bottom w:val="single" w:color="D6DDEC" w:sz="4"/>
              <w:right w:val="single" w:color="D6DDEC" w:sz="4"/>
            </w:tcBorders>
            <w:shd w:fill="DDEBF7"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Fase 4</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B1</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di cui con lavoro (convertibili in Fase 2)</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n.d.</w:t>
            </w:r>
          </w:p>
        </w:tc>
        <w:tc>
          <w:tcPr>
            <w:tcW w:type="dxa" w:w="115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2</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B2</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ind w:left="200"/>
              <w:jc w:val="left"/>
            </w:pPr>
            <w:r>
              <w:rPr>
                <w:rFonts w:ascii="Arial" w:cs="Arial" w:eastAsia="Arial" w:hAnsi="Arial"/>
                <w:color w:val="1A2340"/>
                <w:sz w:val="15"/>
                <w:szCs w:val="15"/>
              </w:rPr>
              <w:t xml:space="preserve">di cui senza lavoro</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n.d.</w:t>
            </w:r>
          </w:p>
        </w:tc>
        <w:tc>
          <w:tcPr>
            <w:tcW w:type="dxa" w:w="1157"/>
            <w:tcBorders>
              <w:top w:val="single" w:color="D6DDEC" w:sz="4"/>
              <w:left w:val="single" w:color="D6DDEC" w:sz="4"/>
              <w:bottom w:val="single" w:color="D6DDEC" w:sz="4"/>
              <w:right w:val="single" w:color="D6DDEC" w:sz="4"/>
            </w:tcBorders>
            <w:shd w:fill="DDEBF7"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4</w:t>
            </w:r>
          </w:p>
        </w:tc>
      </w:tr>
    </w:tbl>
    <w:p>
      <w:pPr>
        <w:spacing w:after="120"/>
      </w:pPr>
    </w:p>
    <w:p>
      <w:pPr>
        <w:pStyle w:val="Heading2"/>
      </w:pPr>
      <w:r>
        <w:t xml:space="preserve">Stato giuridico, cosa si può fare, cambio di legge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6"/>
        <w:gridCol w:w="2506"/>
        <w:gridCol w:w="2506"/>
      </w:tblGrid>
      <w:tr>
        <w:trPr>
          <w:cantSplit/>
          <w:tblHeader/>
        </w:trPr>
        <w:tc>
          <w:tcPr>
            <w:tcW w:type="dxa" w:w="2120"/>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Voce</w:t>
            </w:r>
          </w:p>
        </w:tc>
        <w:tc>
          <w:tcPr>
            <w:tcW w:type="dxa" w:w="250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Stato giuridico oggi</w:t>
            </w:r>
          </w:p>
        </w:tc>
        <w:tc>
          <w:tcPr>
            <w:tcW w:type="dxa" w:w="250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Cosa si può fare oggi</w:t>
            </w:r>
          </w:p>
        </w:tc>
        <w:tc>
          <w:tcPr>
            <w:tcW w:type="dxa" w:w="250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Cambio di legge per remigrare</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Romania</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Libera circolazione (TFUE art. 21; dir. 2004/38)</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Allontanamento solo individuale: ordine pubblico (art. 20 D.Lgs. 30/2007) o senza risorse dopo 3 mesi (art. 21)</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Impossibile senza modificare i trattati / la dir. 2004/38 (unanimità); vietate le espulsioni collettive (CEDU Prot. 4 art. 4)</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di cui con lavoro o risorse</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Diritto di soggiorno</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Nulla</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Trattati UE</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di cui senza risorse dopo 3 mesi</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Allontanabili (art. 21)</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Allontanamento, senza divieto di reingresso</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di cui detenuti (≈ 11% dei detenuti stranieri)</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Allontanabili (art. 20)</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Allontanamento + divieto reingresso 5-10 anni; esecuzione pena in Romania (DQ 2008/909)</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Protezione temporanea (Ucraina)</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Dir. 2001/55; scade 4.3.2028</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Rientro volontario assistito; dal 2028 conversione in permesso ordinario (→ Fase 2) o rimpatrio</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4"/>
                <w:szCs w:val="14"/>
              </w:rPr>
              <w:t xml:space="preserve">Nessuno: decide il Consiglio UE</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di cui senza lavoro</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Rientro volontario con incentivo</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w:t>
            </w:r>
          </w:p>
        </w:tc>
      </w:tr>
    </w:tbl>
    <w:p>
      <w:pPr>
        <w:spacing w:after="120"/>
      </w:pPr>
    </w:p>
    <w:p>
      <w:r>
        <w:br w:type="page"/>
      </w:r>
    </w:p>
    <w:p>
      <w:pPr>
        <w:pStyle w:val="Heading1"/>
      </w:pPr>
      <w:r>
        <w:t xml:space="preserve">6. FUORI · Nessuna remigrazione</w:t>
      </w:r>
    </w:p>
    <w:p>
      <w:pPr>
        <w:spacing w:after="140"/>
      </w:pPr>
      <w:r>
        <w:rPr>
          <w:rFonts w:ascii="Arial" w:cs="Arial" w:eastAsia="Arial" w:hAnsi="Arial"/>
          <w:color w:val="1A2340"/>
          <w:sz w:val="19"/>
          <w:szCs w:val="19"/>
        </w:rPr>
        <w:t xml:space="preserve">Riportato per completezza: queste righe chiudono la somma del Funnel.</w:t>
      </w:r>
    </w:p>
    <w:p>
      <w:pPr>
        <w:pStyle w:val="Heading2"/>
      </w:pPr>
      <w:r>
        <w:t xml:space="preserve">Chi sono e quanti sono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976"/>
        <w:gridCol w:w="1542"/>
        <w:gridCol w:w="1157"/>
      </w:tblGrid>
      <w:tr>
        <w:trPr>
          <w:cantSplit/>
          <w:tblHeader/>
        </w:trPr>
        <w:tc>
          <w:tcPr>
            <w:tcW w:type="dxa" w:w="96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Codice</w:t>
            </w:r>
          </w:p>
        </w:tc>
        <w:tc>
          <w:tcPr>
            <w:tcW w:type="dxa" w:w="597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Voce</w:t>
            </w:r>
          </w:p>
        </w:tc>
        <w:tc>
          <w:tcPr>
            <w:tcW w:type="dxa" w:w="1542"/>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Persone</w:t>
            </w:r>
          </w:p>
        </w:tc>
        <w:tc>
          <w:tcPr>
            <w:tcW w:type="dxa" w:w="115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Fase</w:t>
            </w:r>
          </w:p>
        </w:tc>
      </w:tr>
      <w:tr>
        <w:trPr>
          <w:cantSplit/>
        </w:trPr>
        <w:tc>
          <w:tcPr>
            <w:tcW w:type="dxa" w:w="964"/>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4D5C84"/>
                <w:sz w:val="15"/>
                <w:szCs w:val="15"/>
              </w:rPr>
              <w:t xml:space="preserve">TOT</w:t>
            </w:r>
          </w:p>
        </w:tc>
        <w:tc>
          <w:tcPr>
            <w:tcW w:type="dxa" w:w="5976"/>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Fuori perimetro</w:t>
            </w:r>
          </w:p>
        </w:tc>
        <w:tc>
          <w:tcPr>
            <w:tcW w:type="dxa" w:w="1542"/>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50.647k</w:t>
            </w:r>
          </w:p>
        </w:tc>
        <w:tc>
          <w:tcPr>
            <w:tcW w:type="dxa" w:w="1157"/>
            <w:tcBorders>
              <w:top w:val="single" w:color="D6DDEC" w:sz="4"/>
              <w:left w:val="single" w:color="D6DDEC" w:sz="4"/>
              <w:bottom w:val="single" w:color="D6DDEC" w:sz="4"/>
              <w:right w:val="single" w:color="D6DDEC" w:sz="4"/>
            </w:tcBorders>
            <w:shd w:fill="E7E6E6"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FUORI</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A</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Italiani nati in Italia da genitori nati in Italia</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50.057k</w:t>
            </w:r>
          </w:p>
        </w:tc>
        <w:tc>
          <w:tcPr>
            <w:tcW w:type="dxa" w:w="1157"/>
            <w:tcBorders>
              <w:top w:val="single" w:color="D6DDEC" w:sz="4"/>
              <w:left w:val="single" w:color="D6DDEC" w:sz="4"/>
              <w:bottom w:val="single" w:color="D6DDEC" w:sz="4"/>
              <w:right w:val="single" w:color="D6DDEC" w:sz="4"/>
            </w:tcBorders>
            <w:shd w:fill="E7E6E6"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FUORI</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B</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Italiani dalla nascita nati all’estero (figli di emigrati, iure sanguinis)</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269k</w:t>
            </w:r>
          </w:p>
        </w:tc>
        <w:tc>
          <w:tcPr>
            <w:tcW w:type="dxa" w:w="1157"/>
            <w:tcBorders>
              <w:top w:val="single" w:color="D6DDEC" w:sz="4"/>
              <w:left w:val="single" w:color="D6DDEC" w:sz="4"/>
              <w:bottom w:val="single" w:color="D6DDEC" w:sz="4"/>
              <w:right w:val="single" w:color="D6DDEC" w:sz="4"/>
            </w:tcBorders>
            <w:shd w:fill="E7E6E6"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FUORI</w:t>
            </w:r>
          </w:p>
        </w:tc>
      </w:tr>
      <w:tr>
        <w:trPr>
          <w:cantSplit/>
        </w:trPr>
        <w:tc>
          <w:tcPr>
            <w:tcW w:type="dxa" w:w="96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4D5C84"/>
                <w:sz w:val="15"/>
                <w:szCs w:val="15"/>
              </w:rPr>
              <w:t xml:space="preserve">C</w:t>
            </w:r>
          </w:p>
        </w:tc>
        <w:tc>
          <w:tcPr>
            <w:tcW w:type="dxa" w:w="597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Cittadini di altri Stati UE (esclusa Romania)</w:t>
            </w:r>
          </w:p>
        </w:tc>
        <w:tc>
          <w:tcPr>
            <w:tcW w:type="dxa" w:w="154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321k</w:t>
            </w:r>
          </w:p>
        </w:tc>
        <w:tc>
          <w:tcPr>
            <w:tcW w:type="dxa" w:w="1157"/>
            <w:tcBorders>
              <w:top w:val="single" w:color="D6DDEC" w:sz="4"/>
              <w:left w:val="single" w:color="D6DDEC" w:sz="4"/>
              <w:bottom w:val="single" w:color="D6DDEC" w:sz="4"/>
              <w:right w:val="single" w:color="D6DDEC" w:sz="4"/>
            </w:tcBorders>
            <w:shd w:fill="E7E6E6"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FUORI</w:t>
            </w:r>
          </w:p>
        </w:tc>
      </w:tr>
    </w:tbl>
    <w:p>
      <w:pPr>
        <w:spacing w:after="120"/>
      </w:pPr>
    </w:p>
    <w:p>
      <w:pPr>
        <w:pStyle w:val="Heading2"/>
      </w:pPr>
      <w:r>
        <w:t xml:space="preserve">Stato giuridico, cosa si può fare, cambio di legge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6"/>
        <w:gridCol w:w="2506"/>
        <w:gridCol w:w="2506"/>
      </w:tblGrid>
      <w:tr>
        <w:trPr>
          <w:cantSplit/>
          <w:tblHeader/>
        </w:trPr>
        <w:tc>
          <w:tcPr>
            <w:tcW w:type="dxa" w:w="2120"/>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Voce</w:t>
            </w:r>
          </w:p>
        </w:tc>
        <w:tc>
          <w:tcPr>
            <w:tcW w:type="dxa" w:w="250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Stato giuridico oggi</w:t>
            </w:r>
          </w:p>
        </w:tc>
        <w:tc>
          <w:tcPr>
            <w:tcW w:type="dxa" w:w="250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Cosa si può fare oggi</w:t>
            </w:r>
          </w:p>
        </w:tc>
        <w:tc>
          <w:tcPr>
            <w:tcW w:type="dxa" w:w="250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Cambio di legge per remigrare</w:t>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Italiani nati in Italia da genitori nati in Italia</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Cittadini</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Italiani dalla nascita nati all’estero (figli di emigrati, iure sanguinis)</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Cittadini</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
            </w:r>
          </w:p>
        </w:tc>
      </w:tr>
      <w:tr>
        <w:trPr>
          <w:cantSplit/>
        </w:trPr>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Cittadini di altri Stati UE (esclusa Romania)</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Libera circolazione</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Allontanamento individuale per ordine pubblico (art. 20): vedi Fase 1 per i detenuti</w:t>
            </w:r>
          </w:p>
        </w:tc>
        <w:tc>
          <w:tcPr>
            <w:tcW w:type="dxa" w:w="25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Trattati UE</w:t>
            </w:r>
          </w:p>
        </w:tc>
      </w:tr>
    </w:tbl>
    <w:p>
      <w:pPr>
        <w:spacing w:after="120"/>
      </w:pPr>
    </w:p>
    <w:p>
      <w:pPr>
        <w:sectPr>
          <w:footerReference w:type="default" r:id="rId7"/>
          <w:pgSz w:w="11906" w:h="16838" w:orient="portrait"/>
          <w:pgMar w:top="1134" w:right="1134" w:bottom="1134" w:left="1134" w:header="708" w:footer="708" w:gutter="0"/>
          <w:pgNumType/>
          <w:docGrid w:linePitch="360"/>
        </w:sectPr>
      </w:pPr>
    </w:p>
    <w:p>
      <w:pPr>
        <w:pStyle w:val="Heading1"/>
      </w:pPr>
      <w:r>
        <w:t xml:space="preserve">7. Tracker 2027-2032</w:t>
      </w:r>
    </w:p>
    <w:p>
      <w:pPr>
        <w:spacing w:after="140"/>
      </w:pPr>
      <w:r>
        <w:rPr>
          <w:rFonts w:ascii="Arial" w:cs="Arial" w:eastAsia="Arial" w:hAnsi="Arial"/>
          <w:color w:val="1A2340"/>
          <w:sz w:val="19"/>
          <w:szCs w:val="19"/>
        </w:rPr>
        <w:t xml:space="preserve">Un indicatore per riga, un obiettivo per anno. Ipotesi di base: entro pochi anni le norme europee e nazionali vengono cambiate in senso favorevole all’esecuzione del piano. I valori numerici sono obiettivi da discutere; i testi sono tappe di legge. Numeri in migliaia (k) sopra i 10 mila.</w:t>
      </w:r>
    </w:p>
    <w:p>
      <w:pPr>
        <w:pStyle w:val="Heading2"/>
      </w:pPr>
      <w:r>
        <w:t xml:space="preserve">Fase 1 · Irregolari e condannati (legge attuale)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58"/>
        <w:gridCol w:w="3554"/>
        <w:gridCol w:w="1066"/>
        <w:gridCol w:w="948"/>
        <w:gridCol w:w="948"/>
        <w:gridCol w:w="948"/>
        <w:gridCol w:w="948"/>
        <w:gridCol w:w="948"/>
        <w:gridCol w:w="948"/>
        <w:gridCol w:w="2606"/>
      </w:tblGrid>
      <w:tr>
        <w:trPr>
          <w:cantSplit/>
          <w:tblHeader/>
        </w:trPr>
        <w:tc>
          <w:tcPr>
            <w:tcW w:type="dxa" w:w="165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Categoria</w:t>
            </w:r>
          </w:p>
        </w:tc>
        <w:tc>
          <w:tcPr>
            <w:tcW w:type="dxa" w:w="355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Indicatore</w:t>
            </w:r>
          </w:p>
        </w:tc>
        <w:tc>
          <w:tcPr>
            <w:tcW w:type="dxa" w:w="106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Base 2025</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2027</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2028</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2029</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2030</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2031</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2032</w:t>
            </w:r>
          </w:p>
        </w:tc>
        <w:tc>
          <w:tcPr>
            <w:tcW w:type="dxa" w:w="260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Cambio di legge richiesto</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Irregolari</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Tasso di esecuzione degli ordini</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22%</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40%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55%</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70%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85%</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95%</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Irregolari</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Ordini di lasciare il territorio (ogni irregolare trovato riceve un ordine)</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21,3k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35,0k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50,0k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80,0k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100k</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w:t>
            </w:r>
          </w:p>
        </w:tc>
      </w:tr>
      <w:tr>
        <w:trPr>
          <w:cantSplit/>
        </w:trPr>
        <w:tc>
          <w:tcPr>
            <w:tcW w:type="dxa" w:w="1658"/>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4"/>
                <w:szCs w:val="14"/>
              </w:rPr>
              <w:t xml:space="preserve">Irregolari</w:t>
            </w:r>
          </w:p>
        </w:tc>
        <w:tc>
          <w:tcPr>
            <w:tcW w:type="dxa" w:w="355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4"/>
                <w:szCs w:val="14"/>
              </w:rPr>
              <w:t xml:space="preserve">Rimpatri eseguiti</w:t>
            </w:r>
          </w:p>
        </w:tc>
        <w:tc>
          <w:tcPr>
            <w:tcW w:type="dxa" w:w="1066"/>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4"/>
                <w:szCs w:val="14"/>
              </w:rPr>
              <w:t xml:space="preserve">4.780</w:t>
            </w:r>
          </w:p>
        </w:tc>
        <w:tc>
          <w:tcPr>
            <w:tcW w:type="dxa" w:w="948"/>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4"/>
                <w:szCs w:val="14"/>
              </w:rPr>
              <w:t xml:space="preserve">14,0k</w:t>
            </w:r>
          </w:p>
        </w:tc>
        <w:tc>
          <w:tcPr>
            <w:tcW w:type="dxa" w:w="948"/>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4"/>
                <w:szCs w:val="14"/>
              </w:rPr>
              <w:t xml:space="preserve">27,5k</w:t>
            </w:r>
          </w:p>
        </w:tc>
        <w:tc>
          <w:tcPr>
            <w:tcW w:type="dxa" w:w="948"/>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4"/>
                <w:szCs w:val="14"/>
              </w:rPr>
              <w:t xml:space="preserve">56,0k</w:t>
            </w:r>
          </w:p>
        </w:tc>
        <w:tc>
          <w:tcPr>
            <w:tcW w:type="dxa" w:w="948"/>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4"/>
                <w:szCs w:val="14"/>
              </w:rPr>
              <w:t xml:space="preserve">85,0k</w:t>
            </w:r>
          </w:p>
        </w:tc>
        <w:tc>
          <w:tcPr>
            <w:tcW w:type="dxa" w:w="948"/>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4"/>
                <w:szCs w:val="14"/>
              </w:rPr>
              <w:t xml:space="preserve">95,0k</w:t>
            </w:r>
          </w:p>
        </w:tc>
        <w:tc>
          <w:tcPr>
            <w:tcW w:type="dxa" w:w="948"/>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4"/>
                <w:szCs w:val="14"/>
              </w:rPr>
              <w:t xml:space="preserve">100k</w:t>
            </w:r>
          </w:p>
        </w:tc>
        <w:tc>
          <w:tcPr>
            <w:tcW w:type="dxa" w:w="2606"/>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4"/>
                <w:szCs w:val="14"/>
              </w:rPr>
              <w:t xml:space="preserve">Nessuno</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Irregolari</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Quota volontari sui rimpatri</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15%</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40%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50%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50%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50%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Irregolari</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di cui volontari (RVA)</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717</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2.800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8.250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22,4k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42,5k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47,5k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50,0k</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fondi e convenzione OIM</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Irregolari</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di cui forzati</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4.063</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11,2k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19,2k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33,6k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42,5k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47,5k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50,0k</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Irregolari</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Quota forzati che passa dal CPR</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43%</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40%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35%</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33%</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33%</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33%</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33%</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Irregolari</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Giorni medi in CPR per rimpatrio</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148</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120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90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75</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60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60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60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identificazione prima del trattenimento</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Irregolari</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Posti CPR necessari (occupazione 85%)</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833</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1.733</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1.954</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2.680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2.712</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3.031</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3.191</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Irregolari</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Paesi con riammissione operativa (oggi: Albania, Georgia, Tunisia, Egitto)</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4</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 Marocco, Bangladesh</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 Pakistan, Nigeria</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 Algeria</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8</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8</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8</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leva visti (Codice visti art. 25a), commercio, aiuti</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Irregolari</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Stock di irregolari a fine anno (stima: 339k + 50k nuovi l’anno - rimpatri)</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339k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375k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398k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392k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356k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312k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262k</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Irregolari</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Tempo rilevamento → decisione (giorni)</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n.d.</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7</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fascicolo digitale unico</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Condannati</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Detenuti extra-UE identificati con lasciapassare richiesto entro 6 mesi</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n.d.</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50%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protocollo DAP-Questure</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Condannati</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Espulsioni ex artt. 15-16 TU eseguite al fine pena o in alternativa alla pena</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825</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4.000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6.000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7.000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8.000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8.000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(ultimo dato pubblico: 2018)</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Condannati</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Detenuti UE trasferiti a scontare la pena in patria (DQ 2008/909)</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n.d.</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500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1.500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2.000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accordo operativo con Bucarest</w:t>
            </w:r>
          </w:p>
        </w:tc>
      </w:tr>
    </w:tbl>
    <w:p>
      <w:pPr>
        <w:spacing w:after="120"/>
      </w:pPr>
    </w:p>
    <w:p>
      <w:pPr>
        <w:pStyle w:val="Heading2"/>
      </w:pPr>
      <w:r>
        <w:t xml:space="preserve">Fase 2 · Regolari extra-UE (legge ordinaria e accordi)</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58"/>
        <w:gridCol w:w="3554"/>
        <w:gridCol w:w="1066"/>
        <w:gridCol w:w="948"/>
        <w:gridCol w:w="948"/>
        <w:gridCol w:w="948"/>
        <w:gridCol w:w="948"/>
        <w:gridCol w:w="948"/>
        <w:gridCol w:w="948"/>
        <w:gridCol w:w="2606"/>
      </w:tblGrid>
      <w:tr>
        <w:trPr>
          <w:cantSplit/>
          <w:tblHeader/>
        </w:trPr>
        <w:tc>
          <w:tcPr>
            <w:tcW w:type="dxa" w:w="165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Categoria</w:t>
            </w:r>
          </w:p>
        </w:tc>
        <w:tc>
          <w:tcPr>
            <w:tcW w:type="dxa" w:w="355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Indicatore</w:t>
            </w:r>
          </w:p>
        </w:tc>
        <w:tc>
          <w:tcPr>
            <w:tcW w:type="dxa" w:w="106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Base 2025</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2027</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2028</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2029</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2030</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2031</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2032</w:t>
            </w:r>
          </w:p>
        </w:tc>
        <w:tc>
          <w:tcPr>
            <w:tcW w:type="dxa" w:w="260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Cambio di legge richiesto</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Richiedenti asilo</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Quota domande da paesi &lt; 20% in procedura di frontiera</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n.d.</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Patto UE in vigore dal 12.6.2026</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Richiedenti asilo</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Giorni tra diniego definitivo e ordine di rimpatrio</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n.d.</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atto unico (reg. rimpatri)</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Richiedenti asilo</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Quota dinieghi definitivi che producono un rimpatrio eseguito</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60%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80%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Lungo soggiornanti</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Condannati per reati artt. 380-381 c.p.p. revocati ed espulsi</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n.d.</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(art. 9 c. 4 e 10 TU già in vigore)</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Lungo soggiornanti</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Controllo annuale assenze &gt; 12 mesi via EES/SIS</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no</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procedura</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Lungo soggiornanti</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Revoche di status l’anno (condanne, assenze, frode)</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n.d.</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4.000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5.000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5.000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5.000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5.000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Permessi a termine</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Mancati rinnovi tracciati per motivo e nazionalità</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no</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statistica Viminale</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Permessi a termine</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Attesa occupazione dopo perdita del lavoro (mesi)</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12</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6</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Legge ordinaria: TU art. 22 c. 11 (2027)</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Permessi a termine</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Stagionali verificati in uscita (EES)</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n.d.</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Permessi a termine</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Quota permessi scaduti non rinnovati che diventano ordine</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n.d.</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50%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80%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Protezione sussidiaria e speciale</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Riesame sistematico alla scadenza (cessazione art. 15; non rinnovo art. 19)</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n.d.</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restringere art. 19 c. 1.1: legge ordinaria</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Rifugiati</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Revoca dello status per reati gravi e cessazione per paesi tornati sicuri</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n.d.</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500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3.000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Revisione a livello UE della direttiva qualifiche (2003/109 e 2011/95)</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Stranieri nati in Italia</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Elezione automatica di cittadinanza a 18 anni</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sì</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abrogata</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no</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no</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no</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no</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no</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Legge ordinaria: art. 4 c. 2 L. 91/92</w:t>
            </w:r>
          </w:p>
        </w:tc>
      </w:tr>
    </w:tbl>
    <w:p>
      <w:pPr>
        <w:spacing w:after="120"/>
      </w:pPr>
    </w:p>
    <w:p>
      <w:pPr>
        <w:pStyle w:val="Heading2"/>
      </w:pPr>
      <w:r>
        <w:t xml:space="preserve">Fase 3 · Cittadini di origine straniera (riforma costituzionale)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58"/>
        <w:gridCol w:w="3554"/>
        <w:gridCol w:w="1066"/>
        <w:gridCol w:w="948"/>
        <w:gridCol w:w="948"/>
        <w:gridCol w:w="948"/>
        <w:gridCol w:w="948"/>
        <w:gridCol w:w="948"/>
        <w:gridCol w:w="948"/>
        <w:gridCol w:w="2606"/>
      </w:tblGrid>
      <w:tr>
        <w:trPr>
          <w:cantSplit/>
          <w:tblHeader/>
        </w:trPr>
        <w:tc>
          <w:tcPr>
            <w:tcW w:type="dxa" w:w="165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Categoria</w:t>
            </w:r>
          </w:p>
        </w:tc>
        <w:tc>
          <w:tcPr>
            <w:tcW w:type="dxa" w:w="355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Indicatore</w:t>
            </w:r>
          </w:p>
        </w:tc>
        <w:tc>
          <w:tcPr>
            <w:tcW w:type="dxa" w:w="106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Base 2025</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2027</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2028</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2029</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2030</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2031</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2032</w:t>
            </w:r>
          </w:p>
        </w:tc>
        <w:tc>
          <w:tcPr>
            <w:tcW w:type="dxa" w:w="260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Cambio di legge richiesto</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Naturalizzati</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Acquisizioni di cittadinanza l’anno</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217k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120k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60,0k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40,0k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30,0k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30,0k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30,0k</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Legge ordinaria: L. 91/92 artt. 5, 9, 14 (requisiti, anni, lingua, reati)</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Naturalizzati</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Revoca per reati gravi entro 10 anni dall’acquisizione</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no</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legge approvata</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in vigore</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in vigore</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in vigore</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in vigore</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in vigore</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Legge ordinaria + probabile vaglio Corte cost. (art. 3)</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Naturalizzati</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Revoche di cittadinanza l’anno (oggi art. 10-bis: solo terrorismo)</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n.d.</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3.000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Dipende dalla riga sopra</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Seconda generazione</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Riforma costituzionale artt. 3 e 22 (cittadini di origine straniera allontanabili)</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no</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1ª lettura</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2ª lettura</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referendum</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in vigore</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in vigore</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in vigore</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Riforma costituzionale (Cost. art. 138); revisione Prot. 4 CEDU con gli alleati</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Seconda generazione</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Rimpatri di cittadini di origine straniera condannati per reati gravi</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500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3.000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Dopo la riforma: solo condannati, poi estensione</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Seconda generazione</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Rientri volontari incentivati (programma di remigrazione volontaria)</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n.d.</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3.000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5.000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8.000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10,0k</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programma con incentivo e rinuncia alla cittadinanza (art. 14 L. 91/92)</w:t>
            </w:r>
          </w:p>
        </w:tc>
      </w:tr>
    </w:tbl>
    <w:p>
      <w:pPr>
        <w:spacing w:after="120"/>
      </w:pPr>
    </w:p>
    <w:p>
      <w:pPr>
        <w:pStyle w:val="Heading2"/>
      </w:pPr>
      <w:r>
        <w:t xml:space="preserve">Fase 4 · Romania e protezione temporanea (diritto UE)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58"/>
        <w:gridCol w:w="3554"/>
        <w:gridCol w:w="1066"/>
        <w:gridCol w:w="948"/>
        <w:gridCol w:w="948"/>
        <w:gridCol w:w="948"/>
        <w:gridCol w:w="948"/>
        <w:gridCol w:w="948"/>
        <w:gridCol w:w="948"/>
        <w:gridCol w:w="2606"/>
      </w:tblGrid>
      <w:tr>
        <w:trPr>
          <w:cantSplit/>
          <w:tblHeader/>
        </w:trPr>
        <w:tc>
          <w:tcPr>
            <w:tcW w:type="dxa" w:w="165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Categoria</w:t>
            </w:r>
          </w:p>
        </w:tc>
        <w:tc>
          <w:tcPr>
            <w:tcW w:type="dxa" w:w="355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Indicatore</w:t>
            </w:r>
          </w:p>
        </w:tc>
        <w:tc>
          <w:tcPr>
            <w:tcW w:type="dxa" w:w="106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Base 2025</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2027</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2028</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2029</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2030</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2031</w:t>
            </w:r>
          </w:p>
        </w:tc>
        <w:tc>
          <w:tcPr>
            <w:tcW w:type="dxa" w:w="9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2032</w:t>
            </w:r>
          </w:p>
        </w:tc>
        <w:tc>
          <w:tcPr>
            <w:tcW w:type="dxa" w:w="260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Cambio di legge richiesto</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Romania</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Allontanamenti ex art. 20-21 D.Lgs. 30/2007 eseguiti</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n.d.</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4.000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5.000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5.000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5.000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5.000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strumenti esistenti</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Romania</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Modifica dir. 2004/38: allontanamento per assenza di lavoro oltre 12 mesi</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no</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proposta</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approvata</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in vigore</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in vigore</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in vigore</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in vigore</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Consiglio UE con gli alleati (FR, DE, AT)</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Protezione temporanea</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Beneficiari a fine anno</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161k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101k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scadenza UE 4.3.2028</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Protezione temporanea</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convertiti in permesso ordinario (→ Fase 2)</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n.d.</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20,0k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20,0k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decreto di transizione</w:t>
            </w:r>
          </w:p>
        </w:tc>
      </w:tr>
      <w:tr>
        <w:trPr>
          <w:cantSplit/>
        </w:trPr>
        <w:tc>
          <w:tcPr>
            <w:tcW w:type="dxa" w:w="165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Protezione temporanea</w:t>
            </w:r>
          </w:p>
        </w:tc>
        <w:tc>
          <w:tcPr>
            <w:tcW w:type="dxa" w:w="3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rientri volontari assistiti in Ucraina</w:t>
            </w:r>
          </w:p>
        </w:tc>
        <w:tc>
          <w:tcPr>
            <w:tcW w:type="dxa" w:w="10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n.d.</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40,0k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80,6k</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9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4"/>
                <w:szCs w:val="14"/>
              </w:rPr>
              <w:t xml:space="preserve">0</w:t>
            </w:r>
          </w:p>
        </w:tc>
        <w:tc>
          <w:tcPr>
            <w:tcW w:type="dxa" w:w="260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4"/>
                <w:szCs w:val="14"/>
              </w:rPr>
              <w:t xml:space="preserve">Nessuno: programma UE-Ucraina</w:t>
            </w:r>
          </w:p>
        </w:tc>
      </w:tr>
    </w:tbl>
    <w:p>
      <w:pPr>
        <w:spacing w:after="120"/>
      </w:pPr>
    </w:p>
    <w:p>
      <w:r>
        <w:br w:type="page"/>
      </w:r>
    </w:p>
    <w:p>
      <w:pPr>
        <w:pStyle w:val="Heading1"/>
      </w:pPr>
      <w:r>
        <w:t xml:space="preserve">8. Come si esegue: modalità e fattibilità</w:t>
      </w:r>
    </w:p>
    <w:p>
      <w:pPr>
        <w:spacing w:after="140"/>
      </w:pPr>
      <w:r>
        <w:rPr>
          <w:rFonts w:ascii="Arial" w:cs="Arial" w:eastAsia="Arial" w:hAnsi="Arial"/>
          <w:color w:val="1A2340"/>
          <w:sz w:val="19"/>
          <w:szCs w:val="19"/>
        </w:rPr>
        <w:t xml:space="preserve">La remigrazione non è un atto unico ma sette modalità diverse, ciascuna con un costo, un tempo e un vincolo. La catena operativa della Fase 1 ha otto passaggi, con un indicatore e un obiettivo ciascuno. Le altre fasi si attivano quando un evento (diniego, scadenza, condanna, riforma) apre il perimetro. Quando un paese d’origine non riammette, il piano prevede otto soluzioni alternative in ordine di applicazione. La scorecard finale misura la fattibilità di ogni categoria e indica l’alternativa quando la cooperazione manca.</w:t>
      </w:r>
    </w:p>
    <w:p>
      <w:pPr>
        <w:pStyle w:val="Heading2"/>
      </w:pPr>
      <w:r>
        <w:t xml:space="preserve">Le sette modalità</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119"/>
        <w:gridCol w:w="2119"/>
        <w:gridCol w:w="3179"/>
        <w:gridCol w:w="1589"/>
        <w:gridCol w:w="1722"/>
        <w:gridCol w:w="1192"/>
        <w:gridCol w:w="1589"/>
        <w:gridCol w:w="1060"/>
      </w:tblGrid>
      <w:tr>
        <w:trPr>
          <w:cantSplit/>
          <w:tblHeader/>
        </w:trPr>
        <w:tc>
          <w:tcPr>
            <w:tcW w:type="dxa" w:w="2119"/>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Modalità</w:t>
            </w:r>
          </w:p>
        </w:tc>
        <w:tc>
          <w:tcPr>
            <w:tcW w:type="dxa" w:w="2119"/>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A chi si applica</w:t>
            </w:r>
          </w:p>
        </w:tc>
        <w:tc>
          <w:tcPr>
            <w:tcW w:type="dxa" w:w="3179"/>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Passaggi operativi</w:t>
            </w:r>
          </w:p>
        </w:tc>
        <w:tc>
          <w:tcPr>
            <w:tcW w:type="dxa" w:w="1589"/>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Attori</w:t>
            </w:r>
          </w:p>
        </w:tc>
        <w:tc>
          <w:tcPr>
            <w:tcW w:type="dxa" w:w="1722"/>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Costo unitario</w:t>
            </w:r>
          </w:p>
        </w:tc>
        <w:tc>
          <w:tcPr>
            <w:tcW w:type="dxa" w:w="1192"/>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Tempo medio</w:t>
            </w:r>
          </w:p>
        </w:tc>
        <w:tc>
          <w:tcPr>
            <w:tcW w:type="dxa" w:w="1589"/>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Capacità oggi → 2032</w:t>
            </w:r>
          </w:p>
        </w:tc>
        <w:tc>
          <w:tcPr>
            <w:tcW w:type="dxa" w:w="1060"/>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Fattibilità</w:t>
            </w:r>
          </w:p>
        </w:tc>
      </w:tr>
      <w:tr>
        <w:trPr>
          <w:cantSplit/>
        </w:trPr>
        <w:tc>
          <w:tcPr>
            <w:tcW w:type="dxa" w:w="211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1. Rimpatrio volontario assistito (RVA)</w:t>
            </w:r>
          </w:p>
        </w:tc>
        <w:tc>
          <w:tcPr>
            <w:tcW w:type="dxa" w:w="211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Fase 1 con ordine; Fase 2 dopo diniego o mancato rinnovo; Fase 4 Ucraina</w:t>
            </w:r>
          </w:p>
        </w:tc>
        <w:tc>
          <w:tcPr>
            <w:tcW w:type="dxa" w:w="317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Colloquio in questura o CAS → adesione entro 7 gg → documento di viaggio → volo di linea → incentivo erogato nel paese d’origine in 2 tranche</w:t>
            </w:r>
          </w:p>
        </w:tc>
        <w:tc>
          <w:tcPr>
            <w:tcW w:type="dxa" w:w="158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Questura, OIM, Frontex (biglietti), paese d’origine</w:t>
            </w:r>
          </w:p>
        </w:tc>
        <w:tc>
          <w:tcPr>
            <w:tcW w:type="dxa" w:w="172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560 € trasporto + 630-2.450 € incentivo UE + ≈ 400 € gestione</w:t>
            </w:r>
          </w:p>
        </w:tc>
        <w:tc>
          <w:tcPr>
            <w:tcW w:type="dxa" w:w="119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30-60 giorni</w:t>
            </w:r>
          </w:p>
        </w:tc>
        <w:tc>
          <w:tcPr>
            <w:tcW w:type="dxa" w:w="158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 300 l’anno → 6.400</w:t>
            </w:r>
          </w:p>
        </w:tc>
        <w:tc>
          <w:tcPr>
            <w:tcW w:type="dxa" w:w="1060"/>
            <w:tcBorders>
              <w:top w:val="single" w:color="D6DDEC" w:sz="4"/>
              <w:left w:val="single" w:color="D6DDEC" w:sz="4"/>
              <w:bottom w:val="single" w:color="D6DDEC" w:sz="4"/>
              <w:right w:val="single" w:color="D6DDEC" w:sz="4"/>
            </w:tcBorders>
            <w:shd w:fill="E6F2E8"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Alta</w:t>
            </w:r>
          </w:p>
        </w:tc>
      </w:tr>
      <w:tr>
        <w:trPr>
          <w:cantSplit/>
        </w:trPr>
        <w:tc>
          <w:tcPr>
            <w:tcW w:type="dxa" w:w="211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2. Accompagnamento su volo di linea</w:t>
            </w:r>
          </w:p>
        </w:tc>
        <w:tc>
          <w:tcPr>
            <w:tcW w:type="dxa" w:w="211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Fase 1 identificati con documento; condannati a fine pena</w:t>
            </w:r>
          </w:p>
        </w:tc>
        <w:tc>
          <w:tcPr>
            <w:tcW w:type="dxa" w:w="317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Ordine con accompagnamento → 2 agenti di scorta → consegna alle autorità del paese</w:t>
            </w:r>
          </w:p>
        </w:tc>
        <w:tc>
          <w:tcPr>
            <w:tcW w:type="dxa" w:w="158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Questura, Polizia di frontiera, Frontex</w:t>
            </w:r>
          </w:p>
        </w:tc>
        <w:tc>
          <w:tcPr>
            <w:tcW w:type="dxa" w:w="172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 3.400 €</w:t>
            </w:r>
          </w:p>
        </w:tc>
        <w:tc>
          <w:tcPr>
            <w:tcW w:type="dxa" w:w="119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7-30 giorni</w:t>
            </w:r>
          </w:p>
        </w:tc>
        <w:tc>
          <w:tcPr>
            <w:tcW w:type="dxa" w:w="158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 3.000 l’anno → 4.000</w:t>
            </w:r>
          </w:p>
        </w:tc>
        <w:tc>
          <w:tcPr>
            <w:tcW w:type="dxa" w:w="1060"/>
            <w:tcBorders>
              <w:top w:val="single" w:color="D6DDEC" w:sz="4"/>
              <w:left w:val="single" w:color="D6DDEC" w:sz="4"/>
              <w:bottom w:val="single" w:color="D6DDEC" w:sz="4"/>
              <w:right w:val="single" w:color="D6DDEC" w:sz="4"/>
            </w:tcBorders>
            <w:shd w:fill="E6F2E8"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Alta</w:t>
            </w:r>
          </w:p>
        </w:tc>
      </w:tr>
      <w:tr>
        <w:trPr>
          <w:cantSplit/>
        </w:trPr>
        <w:tc>
          <w:tcPr>
            <w:tcW w:type="dxa" w:w="211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3. Charter nazionale</w:t>
            </w:r>
          </w:p>
        </w:tc>
        <w:tc>
          <w:tcPr>
            <w:tcW w:type="dxa" w:w="211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Fase 1 verso Tunisia, Egitto, Albania, Georgia, Nigeria</w:t>
            </w:r>
          </w:p>
        </w:tc>
        <w:tc>
          <w:tcPr>
            <w:tcW w:type="dxa" w:w="317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Lista passeggeri concordata con il consolato → convalida → volo da Palermo, Roma, Milano</w:t>
            </w:r>
          </w:p>
        </w:tc>
        <w:tc>
          <w:tcPr>
            <w:tcW w:type="dxa" w:w="158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Viminale, consolati, vettore</w:t>
            </w:r>
          </w:p>
        </w:tc>
        <w:tc>
          <w:tcPr>
            <w:tcW w:type="dxa" w:w="172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 2.600 € a persona (media Frontex)</w:t>
            </w:r>
          </w:p>
        </w:tc>
        <w:tc>
          <w:tcPr>
            <w:tcW w:type="dxa" w:w="119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Settimanale</w:t>
            </w:r>
          </w:p>
        </w:tc>
        <w:tc>
          <w:tcPr>
            <w:tcW w:type="dxa" w:w="158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Tunisia 28 charter (2025), tetto 80/settimana → 100 charter l’anno</w:t>
            </w:r>
          </w:p>
        </w:tc>
        <w:tc>
          <w:tcPr>
            <w:tcW w:type="dxa" w:w="1060"/>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211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4. Charter Frontex congiunto</w:t>
            </w:r>
          </w:p>
        </w:tc>
        <w:tc>
          <w:tcPr>
            <w:tcW w:type="dxa" w:w="211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Fase 1 verso paesi con pochi casi per Stato</w:t>
            </w:r>
          </w:p>
        </w:tc>
        <w:tc>
          <w:tcPr>
            <w:tcW w:type="dxa" w:w="317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Adesione a volo organizzato da altro Stato → scorta Frontex</w:t>
            </w:r>
          </w:p>
        </w:tc>
        <w:tc>
          <w:tcPr>
            <w:tcW w:type="dxa" w:w="158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Frontex, Questure</w:t>
            </w:r>
          </w:p>
        </w:tc>
        <w:tc>
          <w:tcPr>
            <w:tcW w:type="dxa" w:w="172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 2.600 €, cofinanziato UE</w:t>
            </w:r>
          </w:p>
        </w:tc>
        <w:tc>
          <w:tcPr>
            <w:tcW w:type="dxa" w:w="119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Mensile</w:t>
            </w:r>
          </w:p>
        </w:tc>
        <w:tc>
          <w:tcPr>
            <w:tcW w:type="dxa" w:w="158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Centinaia l’anno → 1.500</w:t>
            </w:r>
          </w:p>
        </w:tc>
        <w:tc>
          <w:tcPr>
            <w:tcW w:type="dxa" w:w="1060"/>
            <w:tcBorders>
              <w:top w:val="single" w:color="D6DDEC" w:sz="4"/>
              <w:left w:val="single" w:color="D6DDEC" w:sz="4"/>
              <w:bottom w:val="single" w:color="D6DDEC" w:sz="4"/>
              <w:right w:val="single" w:color="D6DDEC" w:sz="4"/>
            </w:tcBorders>
            <w:shd w:fill="E6F2E8"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Alta</w:t>
            </w:r>
          </w:p>
        </w:tc>
      </w:tr>
      <w:tr>
        <w:trPr>
          <w:cantSplit/>
        </w:trPr>
        <w:tc>
          <w:tcPr>
            <w:tcW w:type="dxa" w:w="211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5. Trattenimento in CPR o Gjadër → rimpatrio</w:t>
            </w:r>
          </w:p>
        </w:tc>
        <w:tc>
          <w:tcPr>
            <w:tcW w:type="dxa" w:w="211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Fase 1 senza documenti o a rischio fuga</w:t>
            </w:r>
          </w:p>
        </w:tc>
        <w:tc>
          <w:tcPr>
            <w:tcW w:type="dxa" w:w="317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Convalida giudice di pace entro 48 h → identificazione consolare → lasciapassare → volo</w:t>
            </w:r>
          </w:p>
        </w:tc>
        <w:tc>
          <w:tcPr>
            <w:tcW w:type="dxa" w:w="158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Questura, giudice di pace, consolati, ente gestore</w:t>
            </w:r>
          </w:p>
        </w:tc>
        <w:tc>
          <w:tcPr>
            <w:tcW w:type="dxa" w:w="172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110 €/giorno × giorni + trasporto (oggi 16.560 € a 148 gg)</w:t>
            </w:r>
          </w:p>
        </w:tc>
        <w:tc>
          <w:tcPr>
            <w:tcW w:type="dxa" w:w="119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148 giorni → 60</w:t>
            </w:r>
          </w:p>
        </w:tc>
        <w:tc>
          <w:tcPr>
            <w:tcW w:type="dxa" w:w="158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1.732 l’anno → ≈ 2.100 (1 forzato su 3)</w:t>
            </w:r>
          </w:p>
        </w:tc>
        <w:tc>
          <w:tcPr>
            <w:tcW w:type="dxa" w:w="1060"/>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211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6. Trasferimento dell’esecuzione della pena</w:t>
            </w:r>
          </w:p>
        </w:tc>
        <w:tc>
          <w:tcPr>
            <w:tcW w:type="dxa" w:w="211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Condannati UE (Romania) ed extra-UE con accordo (Albania, Marocco, Tunisia)</w:t>
            </w:r>
          </w:p>
        </w:tc>
        <w:tc>
          <w:tcPr>
            <w:tcW w:type="dxa" w:w="317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Istanza del PM o del detenuto → consenso dello Stato → traduzione</w:t>
            </w:r>
          </w:p>
        </w:tc>
        <w:tc>
          <w:tcPr>
            <w:tcW w:type="dxa" w:w="158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Ministero Giustizia, DAP, Stato ricevente</w:t>
            </w:r>
          </w:p>
        </w:tc>
        <w:tc>
          <w:tcPr>
            <w:tcW w:type="dxa" w:w="172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Risparmio: ≈ 140 €/giorno di carcere (ipotesi)</w:t>
            </w:r>
          </w:p>
        </w:tc>
        <w:tc>
          <w:tcPr>
            <w:tcW w:type="dxa" w:w="119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6-12 mesi</w:t>
            </w:r>
          </w:p>
        </w:tc>
        <w:tc>
          <w:tcPr>
            <w:tcW w:type="dxa" w:w="158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Decine l’anno → 900 (UE) + 300 (extra-UE)</w:t>
            </w:r>
          </w:p>
        </w:tc>
        <w:tc>
          <w:tcPr>
            <w:tcW w:type="dxa" w:w="1060"/>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211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7. Allontanamento di cittadino UE</w:t>
            </w:r>
          </w:p>
        </w:tc>
        <w:tc>
          <w:tcPr>
            <w:tcW w:type="dxa" w:w="211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Fase 4 Romania e altri UE, solo condannati o senza risorse</w:t>
            </w:r>
          </w:p>
        </w:tc>
        <w:tc>
          <w:tcPr>
            <w:tcW w:type="dxa" w:w="317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Decreto del prefetto → ricorso TAR → esecuzione con accompagnamento → divieto reingresso SIS</w:t>
            </w:r>
          </w:p>
        </w:tc>
        <w:tc>
          <w:tcPr>
            <w:tcW w:type="dxa" w:w="158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Prefettura, TAR, Polizia</w:t>
            </w:r>
          </w:p>
        </w:tc>
        <w:tc>
          <w:tcPr>
            <w:tcW w:type="dxa" w:w="172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 1.000 € (volo breve, nessun documento da ottenere)</w:t>
            </w:r>
          </w:p>
        </w:tc>
        <w:tc>
          <w:tcPr>
            <w:tcW w:type="dxa" w:w="1192"/>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30-90 giorni</w:t>
            </w:r>
          </w:p>
        </w:tc>
        <w:tc>
          <w:tcPr>
            <w:tcW w:type="dxa" w:w="158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n.d. → 1.000</w:t>
            </w:r>
          </w:p>
        </w:tc>
        <w:tc>
          <w:tcPr>
            <w:tcW w:type="dxa" w:w="1060"/>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bl>
    <w:p>
      <w:pPr>
        <w:spacing w:after="120"/>
      </w:pPr>
    </w:p>
    <w:p>
      <w:pPr>
        <w:pStyle w:val="Heading2"/>
      </w:pPr>
      <w:r>
        <w:t xml:space="preserve">La catena operativa della Fase 1</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03"/>
        <w:gridCol w:w="2623"/>
        <w:gridCol w:w="3205"/>
        <w:gridCol w:w="1457"/>
        <w:gridCol w:w="1748"/>
        <w:gridCol w:w="1166"/>
        <w:gridCol w:w="1748"/>
        <w:gridCol w:w="1020"/>
      </w:tblGrid>
      <w:tr>
        <w:trPr>
          <w:cantSplit/>
          <w:tblHeader/>
        </w:trPr>
        <w:tc>
          <w:tcPr>
            <w:tcW w:type="dxa" w:w="1603"/>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Passaggio</w:t>
            </w:r>
          </w:p>
        </w:tc>
        <w:tc>
          <w:tcPr>
            <w:tcW w:type="dxa" w:w="2623"/>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Cosa succede oggi</w:t>
            </w:r>
          </w:p>
        </w:tc>
        <w:tc>
          <w:tcPr>
            <w:tcW w:type="dxa" w:w="3205"/>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Cosa cambia con il GRP</w:t>
            </w:r>
          </w:p>
        </w:tc>
        <w:tc>
          <w:tcPr>
            <w:tcW w:type="dxa" w:w="145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Attore</w:t>
            </w:r>
          </w:p>
        </w:tc>
        <w:tc>
          <w:tcPr>
            <w:tcW w:type="dxa" w:w="17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Indicatore</w:t>
            </w:r>
          </w:p>
        </w:tc>
        <w:tc>
          <w:tcPr>
            <w:tcW w:type="dxa" w:w="116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Obiettivo 2032</w:t>
            </w:r>
          </w:p>
        </w:tc>
        <w:tc>
          <w:tcPr>
            <w:tcW w:type="dxa" w:w="17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Collo di bottiglia</w:t>
            </w:r>
          </w:p>
        </w:tc>
        <w:tc>
          <w:tcPr>
            <w:tcW w:type="dxa" w:w="1020"/>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Fattibilità</w:t>
            </w:r>
          </w:p>
        </w:tc>
      </w:tr>
      <w:tr>
        <w:trPr>
          <w:cantSplit/>
        </w:trPr>
        <w:tc>
          <w:tcPr>
            <w:tcW w:type="dxa" w:w="16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1. Rilevamento</w:t>
            </w:r>
          </w:p>
        </w:tc>
        <w:tc>
          <w:tcPr>
            <w:tcW w:type="dxa" w:w="262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82.505 trovati; 1 ordine ogni 3,9 rilevamenti; molti “invitati” senza fascicolo</w:t>
            </w:r>
          </w:p>
        </w:tc>
        <w:tc>
          <w:tcPr>
            <w:tcW w:type="dxa" w:w="320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Fascicolo digitale unico per persona (Eurodac + SIS + EES) aperto entro 24 h</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Polizie, Questure</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Quota rilevamenti con fascicolo entro 24 h</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100%</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Sistemi non integrati tra Questure</w:t>
            </w:r>
          </w:p>
        </w:tc>
        <w:tc>
          <w:tcPr>
            <w:tcW w:type="dxa" w:w="1020"/>
            <w:tcBorders>
              <w:top w:val="single" w:color="D6DDEC" w:sz="4"/>
              <w:left w:val="single" w:color="D6DDEC" w:sz="4"/>
              <w:bottom w:val="single" w:color="D6DDEC" w:sz="4"/>
              <w:right w:val="single" w:color="D6DDEC" w:sz="4"/>
            </w:tcBorders>
            <w:shd w:fill="E6F2E8"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Alta</w:t>
            </w:r>
          </w:p>
        </w:tc>
      </w:tr>
      <w:tr>
        <w:trPr>
          <w:cantSplit/>
        </w:trPr>
        <w:tc>
          <w:tcPr>
            <w:tcW w:type="dxa" w:w="16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2. Decisione</w:t>
            </w:r>
          </w:p>
        </w:tc>
        <w:tc>
          <w:tcPr>
            <w:tcW w:type="dxa" w:w="262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Ordine del prefetto; diniego asilo e ordine in atti separati</w:t>
            </w:r>
          </w:p>
        </w:tc>
        <w:tc>
          <w:tcPr>
            <w:tcW w:type="dxa" w:w="320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Atto unico diniego + ordine (reg. UE rimpatri); ordine europeo valido in tutta l’UE</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Prefetto, Commissioni territoriali</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Giorni diniego → ordine</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0</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Contenzioso: ricorso con sospensiva</w:t>
            </w:r>
          </w:p>
        </w:tc>
        <w:tc>
          <w:tcPr>
            <w:tcW w:type="dxa" w:w="1020"/>
            <w:tcBorders>
              <w:top w:val="single" w:color="D6DDEC" w:sz="4"/>
              <w:left w:val="single" w:color="D6DDEC" w:sz="4"/>
              <w:bottom w:val="single" w:color="D6DDEC" w:sz="4"/>
              <w:right w:val="single" w:color="D6DDEC" w:sz="4"/>
            </w:tcBorders>
            <w:shd w:fill="E6F2E8"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Alta</w:t>
            </w:r>
          </w:p>
        </w:tc>
      </w:tr>
      <w:tr>
        <w:trPr>
          <w:cantSplit/>
        </w:trPr>
        <w:tc>
          <w:tcPr>
            <w:tcW w:type="dxa" w:w="16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3. Offerta volontaria</w:t>
            </w:r>
          </w:p>
        </w:tc>
        <w:tc>
          <w:tcPr>
            <w:tcW w:type="dxa" w:w="262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Quasi assente (717 RVA in 31 mesi)</w:t>
            </w:r>
          </w:p>
        </w:tc>
        <w:tc>
          <w:tcPr>
            <w:tcW w:type="dxa" w:w="320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Colloquio obbligatorio entro 7 gg; incentivo UE; partner OIM; informazione nei CAS</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Questura, OIM</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Quota ordini con offerta entro 7 gg</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100%</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Fondi e personale</w:t>
            </w:r>
          </w:p>
        </w:tc>
        <w:tc>
          <w:tcPr>
            <w:tcW w:type="dxa" w:w="1020"/>
            <w:tcBorders>
              <w:top w:val="single" w:color="D6DDEC" w:sz="4"/>
              <w:left w:val="single" w:color="D6DDEC" w:sz="4"/>
              <w:bottom w:val="single" w:color="D6DDEC" w:sz="4"/>
              <w:right w:val="single" w:color="D6DDEC" w:sz="4"/>
            </w:tcBorders>
            <w:shd w:fill="E6F2E8"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Alta</w:t>
            </w:r>
          </w:p>
        </w:tc>
      </w:tr>
      <w:tr>
        <w:trPr>
          <w:cantSplit/>
        </w:trPr>
        <w:tc>
          <w:tcPr>
            <w:tcW w:type="dxa" w:w="16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4. Identificazione e documenti</w:t>
            </w:r>
          </w:p>
        </w:tc>
        <w:tc>
          <w:tcPr>
            <w:tcW w:type="dxa" w:w="262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Collo di bottiglia: Marocco, Algeria, Pakistan, Bangladesh non rispondono; 148 gg in CPR</w:t>
            </w:r>
          </w:p>
        </w:tc>
        <w:tc>
          <w:tcPr>
            <w:tcW w:type="dxa" w:w="320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Identificazione in carcere e in CAS prima dell’ordine; accordi con lasciapassare in 15 gg; leva visti art. 25a</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Questura, consolati, Farnesina</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Giorni richiesta → lasciapassare</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15</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Volontà politica dei paesi d’origine</w:t>
            </w:r>
          </w:p>
        </w:tc>
        <w:tc>
          <w:tcPr>
            <w:tcW w:type="dxa" w:w="1020"/>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16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5. Prevenzione della fuga</w:t>
            </w:r>
          </w:p>
        </w:tc>
        <w:tc>
          <w:tcPr>
            <w:tcW w:type="dxa" w:w="262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CPR: 883 posti utilizzabili su 1.492; occupazione 46%</w:t>
            </w:r>
          </w:p>
        </w:tc>
        <w:tc>
          <w:tcPr>
            <w:tcW w:type="dxa" w:w="320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Obbligo di firma e residenza; braccialetto; CPR solo per chi ha il documento in arrivo</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Questura, giudice di pace</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Giorni medi in CPR</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60</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Convalide e proroghe lente</w:t>
            </w:r>
          </w:p>
        </w:tc>
        <w:tc>
          <w:tcPr>
            <w:tcW w:type="dxa" w:w="1020"/>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16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6. Ricorsi</w:t>
            </w:r>
          </w:p>
        </w:tc>
        <w:tc>
          <w:tcPr>
            <w:tcW w:type="dxa" w:w="262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Sospensiva frequente; tempi 6-12 mesi</w:t>
            </w:r>
          </w:p>
        </w:tc>
        <w:tc>
          <w:tcPr>
            <w:tcW w:type="dxa" w:w="320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Rito accelerato 30 gg per paesi sicuri; udienza in videoconferenza</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Tribunali</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Giorni medi del ricorso</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30</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Carico dei tribunali</w:t>
            </w:r>
          </w:p>
        </w:tc>
        <w:tc>
          <w:tcPr>
            <w:tcW w:type="dxa" w:w="1020"/>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16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7. Trasferimento</w:t>
            </w:r>
          </w:p>
        </w:tc>
        <w:tc>
          <w:tcPr>
            <w:tcW w:type="dxa" w:w="262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Charter limitati dai tetti (Tunisia 80/settimana); volo di linea costoso</w:t>
            </w:r>
          </w:p>
        </w:tc>
        <w:tc>
          <w:tcPr>
            <w:tcW w:type="dxa" w:w="320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Programmazione annuale dei voli con Frontex; charter congiunti</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Viminale, Frontex</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Rimpatri eseguiti</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12.777</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Capacità di accoglienza dei paesi d’origine</w:t>
            </w:r>
          </w:p>
        </w:tc>
        <w:tc>
          <w:tcPr>
            <w:tcW w:type="dxa" w:w="1020"/>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16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8. Reinserimento</w:t>
            </w:r>
          </w:p>
        </w:tc>
        <w:tc>
          <w:tcPr>
            <w:tcW w:type="dxa" w:w="262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Nessun monitoraggio</w:t>
            </w:r>
          </w:p>
        </w:tc>
        <w:tc>
          <w:tcPr>
            <w:tcW w:type="dxa" w:w="320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Incentivo in 2 tranche; verifica a 6 mesi; dato pubblicato</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OIM, paese d’origine</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Quota rientrati verificati a 6 mesi</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80%</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Nessuno</w:t>
            </w:r>
          </w:p>
        </w:tc>
        <w:tc>
          <w:tcPr>
            <w:tcW w:type="dxa" w:w="1020"/>
            <w:tcBorders>
              <w:top w:val="single" w:color="D6DDEC" w:sz="4"/>
              <w:left w:val="single" w:color="D6DDEC" w:sz="4"/>
              <w:bottom w:val="single" w:color="D6DDEC" w:sz="4"/>
              <w:right w:val="single" w:color="D6DDEC" w:sz="4"/>
            </w:tcBorders>
            <w:shd w:fill="E6F2E8"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Alta</w:t>
            </w:r>
          </w:p>
        </w:tc>
      </w:tr>
    </w:tbl>
    <w:p>
      <w:pPr>
        <w:spacing w:after="120"/>
      </w:pPr>
    </w:p>
    <w:p>
      <w:pPr>
        <w:pStyle w:val="Heading2"/>
      </w:pPr>
      <w:r>
        <w:t xml:space="preserve">Come si attiva il perimetro nelle Fasi 2, 3 e 4</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894"/>
        <w:gridCol w:w="2186"/>
        <w:gridCol w:w="3497"/>
        <w:gridCol w:w="1603"/>
        <w:gridCol w:w="1311"/>
        <w:gridCol w:w="1166"/>
        <w:gridCol w:w="1894"/>
        <w:gridCol w:w="1020"/>
      </w:tblGrid>
      <w:tr>
        <w:trPr>
          <w:cantSplit/>
          <w:tblHeader/>
        </w:trPr>
        <w:tc>
          <w:tcPr>
            <w:tcW w:type="dxa" w:w="189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Categoria</w:t>
            </w:r>
          </w:p>
        </w:tc>
        <w:tc>
          <w:tcPr>
            <w:tcW w:type="dxa" w:w="218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Evento che apre il perimetro</w:t>
            </w:r>
          </w:p>
        </w:tc>
        <w:tc>
          <w:tcPr>
            <w:tcW w:type="dxa" w:w="349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Procedura concreta</w:t>
            </w:r>
          </w:p>
        </w:tc>
        <w:tc>
          <w:tcPr>
            <w:tcW w:type="dxa" w:w="1603"/>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Attore</w:t>
            </w:r>
          </w:p>
        </w:tc>
        <w:tc>
          <w:tcPr>
            <w:tcW w:type="dxa" w:w="1311"/>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Persone l’anno (ordine di grandezza)</w:t>
            </w:r>
          </w:p>
        </w:tc>
        <w:tc>
          <w:tcPr>
            <w:tcW w:type="dxa" w:w="116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Tempo</w:t>
            </w:r>
          </w:p>
        </w:tc>
        <w:tc>
          <w:tcPr>
            <w:tcW w:type="dxa" w:w="189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Vincolo principale</w:t>
            </w:r>
          </w:p>
        </w:tc>
        <w:tc>
          <w:tcPr>
            <w:tcW w:type="dxa" w:w="1020"/>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Fattibilità</w:t>
            </w:r>
          </w:p>
        </w:tc>
      </w:tr>
      <w:tr>
        <w:trPr>
          <w:cantSplit/>
        </w:trPr>
        <w:tc>
          <w:tcPr>
            <w:tcW w:type="dxa" w:w="189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Richiedenti asilo (Fase 2)</w:t>
            </w:r>
          </w:p>
        </w:tc>
        <w:tc>
          <w:tcPr>
            <w:tcW w:type="dxa" w:w="218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Diniego in prima istanza (≈ 50.400 l’anno)</w:t>
            </w:r>
          </w:p>
        </w:tc>
        <w:tc>
          <w:tcPr>
            <w:tcW w:type="dxa" w:w="349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Procedura di frontiera 12 settimane nei CTRA per paesi &lt; 20%; diniego + ordine in un atto; RVA offerto nel centro</w:t>
            </w:r>
          </w:p>
        </w:tc>
        <w:tc>
          <w:tcPr>
            <w:tcW w:type="dxa" w:w="16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Commissioni, Questura, CTRA</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50.000</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12 settimane</w:t>
            </w:r>
          </w:p>
        </w:tc>
        <w:tc>
          <w:tcPr>
            <w:tcW w:type="dxa" w:w="189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Ricorsi; posti CTRA (1.033)</w:t>
            </w:r>
          </w:p>
        </w:tc>
        <w:tc>
          <w:tcPr>
            <w:tcW w:type="dxa" w:w="1020"/>
            <w:tcBorders>
              <w:top w:val="single" w:color="D6DDEC" w:sz="4"/>
              <w:left w:val="single" w:color="D6DDEC" w:sz="4"/>
              <w:bottom w:val="single" w:color="D6DDEC" w:sz="4"/>
              <w:right w:val="single" w:color="D6DDEC" w:sz="4"/>
            </w:tcBorders>
            <w:shd w:fill="E6F2E8"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Alta</w:t>
            </w:r>
          </w:p>
        </w:tc>
      </w:tr>
      <w:tr>
        <w:trPr>
          <w:cantSplit/>
        </w:trPr>
        <w:tc>
          <w:tcPr>
            <w:tcW w:type="dxa" w:w="189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Permessi a termine (Fase 2)</w:t>
            </w:r>
          </w:p>
        </w:tc>
        <w:tc>
          <w:tcPr>
            <w:tcW w:type="dxa" w:w="218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Perdita del lavoro oltre 12 mesi; reddito sotto soglia; fine stagione o corso</w:t>
            </w:r>
          </w:p>
        </w:tc>
        <w:tc>
          <w:tcPr>
            <w:tcW w:type="dxa" w:w="349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Incrocio INPS-Questura al rinnovo; stagionali: controllo uscita EES; mancato rinnovo → ordine</w:t>
            </w:r>
          </w:p>
        </w:tc>
        <w:tc>
          <w:tcPr>
            <w:tcW w:type="dxa" w:w="16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Questura, INPS, EES</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n.d. (da misurare)</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Alla scadenza</w:t>
            </w:r>
          </w:p>
        </w:tc>
        <w:tc>
          <w:tcPr>
            <w:tcW w:type="dxa" w:w="189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Nessun dato oggi; art. 8 CEDU per famiglie</w:t>
            </w:r>
          </w:p>
        </w:tc>
        <w:tc>
          <w:tcPr>
            <w:tcW w:type="dxa" w:w="1020"/>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189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Lungo soggiornanti (Fase 2)</w:t>
            </w:r>
          </w:p>
        </w:tc>
        <w:tc>
          <w:tcPr>
            <w:tcW w:type="dxa" w:w="218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Condanna per reati artt. 380-381 c.p.p.; assenza &gt; 12 mesi</w:t>
            </w:r>
          </w:p>
        </w:tc>
        <w:tc>
          <w:tcPr>
            <w:tcW w:type="dxa" w:w="349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Segnalazione automatica DAP → Questura; revoca; espulsione a fine pena</w:t>
            </w:r>
          </w:p>
        </w:tc>
        <w:tc>
          <w:tcPr>
            <w:tcW w:type="dxa" w:w="16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DAP, Questura, Prefetto</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Centinaia</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Durante la pena</w:t>
            </w:r>
          </w:p>
        </w:tc>
        <w:tc>
          <w:tcPr>
            <w:tcW w:type="dxa" w:w="189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Valutazione individuale; ricorsi</w:t>
            </w:r>
          </w:p>
        </w:tc>
        <w:tc>
          <w:tcPr>
            <w:tcW w:type="dxa" w:w="1020"/>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189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Protezione sussidiaria e speciale (Fase 2)</w:t>
            </w:r>
          </w:p>
        </w:tc>
        <w:tc>
          <w:tcPr>
            <w:tcW w:type="dxa" w:w="218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Scadenza del permesso (5 e 2 anni)</w:t>
            </w:r>
          </w:p>
        </w:tc>
        <w:tc>
          <w:tcPr>
            <w:tcW w:type="dxa" w:w="349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Riesame d’ufficio sulla situazione del paese; cessazione → ordine</w:t>
            </w:r>
          </w:p>
        </w:tc>
        <w:tc>
          <w:tcPr>
            <w:tcW w:type="dxa" w:w="16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Commissione nazionale</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Migliaia (es. Siria, Ucraina)</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Alla scadenza</w:t>
            </w:r>
          </w:p>
        </w:tc>
        <w:tc>
          <w:tcPr>
            <w:tcW w:type="dxa" w:w="189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Non-refoulement</w:t>
            </w:r>
          </w:p>
        </w:tc>
        <w:tc>
          <w:tcPr>
            <w:tcW w:type="dxa" w:w="1020"/>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189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Condannati extra-UE (Fase 1)</w:t>
            </w:r>
          </w:p>
        </w:tc>
        <w:tc>
          <w:tcPr>
            <w:tcW w:type="dxa" w:w="218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Sentenza definitiva</w:t>
            </w:r>
          </w:p>
        </w:tc>
        <w:tc>
          <w:tcPr>
            <w:tcW w:type="dxa" w:w="349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Identificazione consolare in carcere nei primi 6 mesi; lasciapassare pronto; espulsione al fine pena o alternativa (residuo ≤ 2 anni)</w:t>
            </w:r>
          </w:p>
        </w:tc>
        <w:tc>
          <w:tcPr>
            <w:tcW w:type="dxa" w:w="16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DAP, Questura, magistrato di sorveglianza</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4.000 nel 2032</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Entro la pena</w:t>
            </w:r>
          </w:p>
        </w:tc>
        <w:tc>
          <w:tcPr>
            <w:tcW w:type="dxa" w:w="189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Riammissione dei paesi</w:t>
            </w:r>
          </w:p>
        </w:tc>
        <w:tc>
          <w:tcPr>
            <w:tcW w:type="dxa" w:w="1020"/>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189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Romania (Fase 4)</w:t>
            </w:r>
          </w:p>
        </w:tc>
        <w:tc>
          <w:tcPr>
            <w:tcW w:type="dxa" w:w="218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Condanna o assenza di risorse</w:t>
            </w:r>
          </w:p>
        </w:tc>
        <w:tc>
          <w:tcPr>
            <w:tcW w:type="dxa" w:w="349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Allontanamento art. 20-21; esecuzione pena in Romania (DQ 2008/909)</w:t>
            </w:r>
          </w:p>
        </w:tc>
        <w:tc>
          <w:tcPr>
            <w:tcW w:type="dxa" w:w="16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Prefetto, Min. Giustizia</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1.000 + 900</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3-12 mesi</w:t>
            </w:r>
          </w:p>
        </w:tc>
        <w:tc>
          <w:tcPr>
            <w:tcW w:type="dxa" w:w="189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Dir. 2004/38: solo casi individuali</w:t>
            </w:r>
          </w:p>
        </w:tc>
        <w:tc>
          <w:tcPr>
            <w:tcW w:type="dxa" w:w="1020"/>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189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Protezione temporanea (Fase 4)</w:t>
            </w:r>
          </w:p>
        </w:tc>
        <w:tc>
          <w:tcPr>
            <w:tcW w:type="dxa" w:w="218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Scadenza 4.3.2028</w:t>
            </w:r>
          </w:p>
        </w:tc>
        <w:tc>
          <w:tcPr>
            <w:tcW w:type="dxa" w:w="349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Censimento 2027: lavoro sì/no; conversione per chi lavora; RVA verso Ucraina per gli altri</w:t>
            </w:r>
          </w:p>
        </w:tc>
        <w:tc>
          <w:tcPr>
            <w:tcW w:type="dxa" w:w="16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Viminale, OIM, Ucraina</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160.000 in 2 anni</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2027-2029</w:t>
            </w:r>
          </w:p>
        </w:tc>
        <w:tc>
          <w:tcPr>
            <w:tcW w:type="dxa" w:w="189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Situazione di guerra</w:t>
            </w:r>
          </w:p>
        </w:tc>
        <w:tc>
          <w:tcPr>
            <w:tcW w:type="dxa" w:w="1020"/>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189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Naturalizzati (Fase 3)</w:t>
            </w:r>
          </w:p>
        </w:tc>
        <w:tc>
          <w:tcPr>
            <w:tcW w:type="dxa" w:w="218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Legge sulla revoca (2027) e riforma costituzionale (2027-2030)</w:t>
            </w:r>
          </w:p>
        </w:tc>
        <w:tc>
          <w:tcPr>
            <w:tcW w:type="dxa" w:w="349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2027 legge ordinaria: revoca per reati gravi entro 10 anni; 2027-29 riforma artt. 3 e 22 con referendum; dal 2030 allontanamento dei condannati; programma di rientro volontario con incentivo dal 2027</w:t>
            </w:r>
          </w:p>
        </w:tc>
        <w:tc>
          <w:tcPr>
            <w:tcW w:type="dxa" w:w="16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Parlamento, elettori, Viminale</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3.000 revoche + 10.000 rientri volontari l’anno a regime</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3 anni</w:t>
            </w:r>
          </w:p>
        </w:tc>
        <w:tc>
          <w:tcPr>
            <w:tcW w:type="dxa" w:w="189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Tempi parlamentari; apolidia (serve seconda cittadinanza)</w:t>
            </w:r>
          </w:p>
        </w:tc>
        <w:tc>
          <w:tcPr>
            <w:tcW w:type="dxa" w:w="1020"/>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189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Seconda generazione (Fase 3)</w:t>
            </w:r>
          </w:p>
        </w:tc>
        <w:tc>
          <w:tcPr>
            <w:tcW w:type="dxa" w:w="218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Idem; nel frattempo chiusura del rubinetto: art. 4 c. 2 e art. 14 L. 91/92</w:t>
            </w:r>
          </w:p>
        </w:tc>
        <w:tc>
          <w:tcPr>
            <w:tcW w:type="dxa" w:w="349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Idem; rinuncia alla cittadinanza incentivata (art. 14) per chi aderisce al rientro volontario</w:t>
            </w:r>
          </w:p>
        </w:tc>
        <w:tc>
          <w:tcPr>
            <w:tcW w:type="dxa" w:w="16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Parlamento, Viminale</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Idem</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3 anni</w:t>
            </w:r>
          </w:p>
        </w:tc>
        <w:tc>
          <w:tcPr>
            <w:tcW w:type="dxa" w:w="189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Idem</w:t>
            </w:r>
          </w:p>
        </w:tc>
        <w:tc>
          <w:tcPr>
            <w:tcW w:type="dxa" w:w="1020"/>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bl>
    <w:p>
      <w:pPr>
        <w:spacing w:after="120"/>
      </w:pPr>
    </w:p>
    <w:p>
      <w:pPr>
        <w:pStyle w:val="Heading2"/>
      </w:pPr>
      <w:r>
        <w:t xml:space="preserve">Paesi d’origine: la riammissione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25"/>
        <w:gridCol w:w="3238"/>
        <w:gridCol w:w="2355"/>
        <w:gridCol w:w="2208"/>
        <w:gridCol w:w="1177"/>
        <w:gridCol w:w="1177"/>
        <w:gridCol w:w="1913"/>
        <w:gridCol w:w="1177"/>
      </w:tblGrid>
      <w:tr>
        <w:trPr>
          <w:cantSplit/>
          <w:tblHeader/>
        </w:trPr>
        <w:tc>
          <w:tcPr>
            <w:tcW w:type="dxa" w:w="1325"/>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Paese</w:t>
            </w:r>
          </w:p>
        </w:tc>
        <w:tc>
          <w:tcPr>
            <w:tcW w:type="dxa" w:w="323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Situazione 2025</w:t>
            </w:r>
          </w:p>
        </w:tc>
        <w:tc>
          <w:tcPr>
            <w:tcW w:type="dxa" w:w="2355"/>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Cosa serve</w:t>
            </w:r>
          </w:p>
        </w:tc>
        <w:tc>
          <w:tcPr>
            <w:tcW w:type="dxa" w:w="220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Leva</w:t>
            </w:r>
          </w:p>
        </w:tc>
        <w:tc>
          <w:tcPr>
            <w:tcW w:type="dxa" w:w="117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Rimpatri IT 2025</w:t>
            </w:r>
          </w:p>
        </w:tc>
        <w:tc>
          <w:tcPr>
            <w:tcW w:type="dxa" w:w="117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Obiettivo 2032</w:t>
            </w:r>
          </w:p>
        </w:tc>
        <w:tc>
          <w:tcPr>
            <w:tcW w:type="dxa" w:w="1913"/>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Strumento</w:t>
            </w:r>
          </w:p>
        </w:tc>
        <w:tc>
          <w:tcPr>
            <w:tcW w:type="dxa" w:w="117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Fattibilità</w:t>
            </w:r>
          </w:p>
        </w:tc>
      </w:tr>
      <w:tr>
        <w:trPr>
          <w:cantSplit/>
        </w:trPr>
        <w:tc>
          <w:tcPr>
            <w:tcW w:type="dxa" w:w="132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Tunisia</w:t>
            </w:r>
          </w:p>
        </w:tc>
        <w:tc>
          <w:tcPr>
            <w:tcW w:type="dxa" w:w="323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Accordo operativo; tetto 80/settimana; charter 78 → 28; 1.849 → 600 rimpatri</w:t>
            </w:r>
          </w:p>
        </w:tc>
        <w:tc>
          <w:tcPr>
            <w:tcW w:type="dxa" w:w="235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Alzare il tetto a 200/settimana; charter programmati</w:t>
            </w:r>
          </w:p>
        </w:tc>
        <w:tc>
          <w:tcPr>
            <w:tcW w:type="dxa" w:w="220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MoU UE-Tunisia 2023 (105 M€); quote lavoro</w:t>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600</w:t>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3.000</w:t>
            </w:r>
          </w:p>
        </w:tc>
        <w:tc>
          <w:tcPr>
            <w:tcW w:type="dxa" w:w="191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Charter nazionale</w:t>
            </w:r>
          </w:p>
        </w:tc>
        <w:tc>
          <w:tcPr>
            <w:tcW w:type="dxa" w:w="117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132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Egitto</w:t>
            </w:r>
          </w:p>
        </w:tc>
        <w:tc>
          <w:tcPr>
            <w:tcW w:type="dxa" w:w="323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18 charter; 454 rimpatri; 52% degli ingressi in CPR rimpatriati</w:t>
            </w:r>
          </w:p>
        </w:tc>
        <w:tc>
          <w:tcPr>
            <w:tcW w:type="dxa" w:w="235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Raddoppiare i charter</w:t>
            </w:r>
          </w:p>
        </w:tc>
        <w:tc>
          <w:tcPr>
            <w:tcW w:type="dxa" w:w="220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Partenariato UE-Egitto 2024 (7,4 mld €); visti</w:t>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454</w:t>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1.500</w:t>
            </w:r>
          </w:p>
        </w:tc>
        <w:tc>
          <w:tcPr>
            <w:tcW w:type="dxa" w:w="191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Charter nazionale</w:t>
            </w:r>
          </w:p>
        </w:tc>
        <w:tc>
          <w:tcPr>
            <w:tcW w:type="dxa" w:w="117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132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Albania</w:t>
            </w:r>
          </w:p>
        </w:tc>
        <w:tc>
          <w:tcPr>
            <w:tcW w:type="dxa" w:w="323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Riammissione funziona; accordo esecuzione pena 2002</w:t>
            </w:r>
          </w:p>
        </w:tc>
        <w:tc>
          <w:tcPr>
            <w:tcW w:type="dxa" w:w="235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Volume</w:t>
            </w:r>
          </w:p>
        </w:tc>
        <w:tc>
          <w:tcPr>
            <w:tcW w:type="dxa" w:w="220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Candidatura UE</w:t>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n.d.</w:t>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1.000</w:t>
            </w:r>
          </w:p>
        </w:tc>
        <w:tc>
          <w:tcPr>
            <w:tcW w:type="dxa" w:w="191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Volo di linea; trasferimento pena</w:t>
            </w:r>
          </w:p>
        </w:tc>
        <w:tc>
          <w:tcPr>
            <w:tcW w:type="dxa" w:w="1177"/>
            <w:tcBorders>
              <w:top w:val="single" w:color="D6DDEC" w:sz="4"/>
              <w:left w:val="single" w:color="D6DDEC" w:sz="4"/>
              <w:bottom w:val="single" w:color="D6DDEC" w:sz="4"/>
              <w:right w:val="single" w:color="D6DDEC" w:sz="4"/>
            </w:tcBorders>
            <w:shd w:fill="E6F2E8"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Alta</w:t>
            </w:r>
          </w:p>
        </w:tc>
      </w:tr>
      <w:tr>
        <w:trPr>
          <w:cantSplit/>
        </w:trPr>
        <w:tc>
          <w:tcPr>
            <w:tcW w:type="dxa" w:w="132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Marocco</w:t>
            </w:r>
          </w:p>
        </w:tc>
        <w:tc>
          <w:tcPr>
            <w:tcW w:type="dxa" w:w="323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Prima nazionalità in carcere (4.358); lasciapassare rari</w:t>
            </w:r>
          </w:p>
        </w:tc>
        <w:tc>
          <w:tcPr>
            <w:tcW w:type="dxa" w:w="235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Accordo di riammissione con tempi certi</w:t>
            </w:r>
          </w:p>
        </w:tc>
        <w:tc>
          <w:tcPr>
            <w:tcW w:type="dxa" w:w="220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Visti art. 25a; commercio UE; Piano Mattei</w:t>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n.d.</w:t>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1.500</w:t>
            </w:r>
          </w:p>
        </w:tc>
        <w:tc>
          <w:tcPr>
            <w:tcW w:type="dxa" w:w="191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Accordo bilaterale</w:t>
            </w:r>
          </w:p>
        </w:tc>
        <w:tc>
          <w:tcPr>
            <w:tcW w:type="dxa" w:w="1177"/>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Bassa</w:t>
            </w:r>
          </w:p>
        </w:tc>
      </w:tr>
      <w:tr>
        <w:trPr>
          <w:cantSplit/>
        </w:trPr>
        <w:tc>
          <w:tcPr>
            <w:tcW w:type="dxa" w:w="132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Bangladesh</w:t>
            </w:r>
          </w:p>
        </w:tc>
        <w:tc>
          <w:tcPr>
            <w:tcW w:type="dxa" w:w="323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Primo paese per richieste d’asilo (32.865); rigetti alti; riammissione lenta</w:t>
            </w:r>
          </w:p>
        </w:tc>
        <w:tc>
          <w:tcPr>
            <w:tcW w:type="dxa" w:w="235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Accordo UE-Bangladesh (SOP 2017) applicato</w:t>
            </w:r>
          </w:p>
        </w:tc>
        <w:tc>
          <w:tcPr>
            <w:tcW w:type="dxa" w:w="220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Visti; quote lavoro (decreto flussi)</w:t>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n.d.</w:t>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1.500</w:t>
            </w:r>
          </w:p>
        </w:tc>
        <w:tc>
          <w:tcPr>
            <w:tcW w:type="dxa" w:w="191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Charter Frontex</w:t>
            </w:r>
          </w:p>
        </w:tc>
        <w:tc>
          <w:tcPr>
            <w:tcW w:type="dxa" w:w="117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132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Pakistan</w:t>
            </w:r>
          </w:p>
        </w:tc>
        <w:tc>
          <w:tcPr>
            <w:tcW w:type="dxa" w:w="323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Riammissione formale (accordo UE 2010) ma identificazione lenta</w:t>
            </w:r>
          </w:p>
        </w:tc>
        <w:tc>
          <w:tcPr>
            <w:tcW w:type="dxa" w:w="235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Identificazione consolare in carcere e CAS</w:t>
            </w:r>
          </w:p>
        </w:tc>
        <w:tc>
          <w:tcPr>
            <w:tcW w:type="dxa" w:w="220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Visti; GSP+ commercio</w:t>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n.d.</w:t>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800</w:t>
            </w:r>
          </w:p>
        </w:tc>
        <w:tc>
          <w:tcPr>
            <w:tcW w:type="dxa" w:w="191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Charter Frontex</w:t>
            </w:r>
          </w:p>
        </w:tc>
        <w:tc>
          <w:tcPr>
            <w:tcW w:type="dxa" w:w="1177"/>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Bassa</w:t>
            </w:r>
          </w:p>
        </w:tc>
      </w:tr>
      <w:tr>
        <w:trPr>
          <w:cantSplit/>
        </w:trPr>
        <w:tc>
          <w:tcPr>
            <w:tcW w:type="dxa" w:w="132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Algeria</w:t>
            </w:r>
          </w:p>
        </w:tc>
        <w:tc>
          <w:tcPr>
            <w:tcW w:type="dxa" w:w="323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Nessuna cooperazione</w:t>
            </w:r>
          </w:p>
        </w:tc>
        <w:tc>
          <w:tcPr>
            <w:tcW w:type="dxa" w:w="235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Accordo politico</w:t>
            </w:r>
          </w:p>
        </w:tc>
        <w:tc>
          <w:tcPr>
            <w:tcW w:type="dxa" w:w="220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Gas; visti</w:t>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n.d.</w:t>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500</w:t>
            </w:r>
          </w:p>
        </w:tc>
        <w:tc>
          <w:tcPr>
            <w:tcW w:type="dxa" w:w="191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Volo di linea</w:t>
            </w:r>
          </w:p>
        </w:tc>
        <w:tc>
          <w:tcPr>
            <w:tcW w:type="dxa" w:w="1177"/>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Bassa</w:t>
            </w:r>
          </w:p>
        </w:tc>
      </w:tr>
      <w:tr>
        <w:trPr>
          <w:cantSplit/>
        </w:trPr>
        <w:tc>
          <w:tcPr>
            <w:tcW w:type="dxa" w:w="132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Nigeria</w:t>
            </w:r>
          </w:p>
        </w:tc>
        <w:tc>
          <w:tcPr>
            <w:tcW w:type="dxa" w:w="323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Charter congiunti Frontex; cooperazione parziale</w:t>
            </w:r>
          </w:p>
        </w:tc>
        <w:tc>
          <w:tcPr>
            <w:tcW w:type="dxa" w:w="235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Continuità</w:t>
            </w:r>
          </w:p>
        </w:tc>
        <w:tc>
          <w:tcPr>
            <w:tcW w:type="dxa" w:w="220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Visti; aiuti</w:t>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n.d.</w:t>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500</w:t>
            </w:r>
          </w:p>
        </w:tc>
        <w:tc>
          <w:tcPr>
            <w:tcW w:type="dxa" w:w="191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Charter Frontex</w:t>
            </w:r>
          </w:p>
        </w:tc>
        <w:tc>
          <w:tcPr>
            <w:tcW w:type="dxa" w:w="117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132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Georgia</w:t>
            </w:r>
          </w:p>
        </w:tc>
        <w:tc>
          <w:tcPr>
            <w:tcW w:type="dxa" w:w="323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Riammissione funziona (accordo UE 2011)</w:t>
            </w:r>
          </w:p>
        </w:tc>
        <w:tc>
          <w:tcPr>
            <w:tcW w:type="dxa" w:w="235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Volume</w:t>
            </w:r>
          </w:p>
        </w:tc>
        <w:tc>
          <w:tcPr>
            <w:tcW w:type="dxa" w:w="220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n.d.</w:t>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300</w:t>
            </w:r>
          </w:p>
        </w:tc>
        <w:tc>
          <w:tcPr>
            <w:tcW w:type="dxa" w:w="191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Volo di linea</w:t>
            </w:r>
          </w:p>
        </w:tc>
        <w:tc>
          <w:tcPr>
            <w:tcW w:type="dxa" w:w="1177"/>
            <w:tcBorders>
              <w:top w:val="single" w:color="D6DDEC" w:sz="4"/>
              <w:left w:val="single" w:color="D6DDEC" w:sz="4"/>
              <w:bottom w:val="single" w:color="D6DDEC" w:sz="4"/>
              <w:right w:val="single" w:color="D6DDEC" w:sz="4"/>
            </w:tcBorders>
            <w:shd w:fill="E6F2E8"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Alta</w:t>
            </w:r>
          </w:p>
        </w:tc>
      </w:tr>
      <w:tr>
        <w:trPr>
          <w:cantSplit/>
        </w:trPr>
        <w:tc>
          <w:tcPr>
            <w:tcW w:type="dxa" w:w="132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Ucraina (Fase 4)</w:t>
            </w:r>
          </w:p>
        </w:tc>
        <w:tc>
          <w:tcPr>
            <w:tcW w:type="dxa" w:w="323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Riammette i propri cittadini</w:t>
            </w:r>
          </w:p>
        </w:tc>
        <w:tc>
          <w:tcPr>
            <w:tcW w:type="dxa" w:w="235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Programma di rientro volontario</w:t>
            </w:r>
          </w:p>
        </w:tc>
        <w:tc>
          <w:tcPr>
            <w:tcW w:type="dxa" w:w="220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Ricostruzione UE</w:t>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n.d.</w:t>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40.000 (2028)</w:t>
            </w:r>
          </w:p>
        </w:tc>
        <w:tc>
          <w:tcPr>
            <w:tcW w:type="dxa" w:w="191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RVA</w:t>
            </w:r>
          </w:p>
        </w:tc>
        <w:tc>
          <w:tcPr>
            <w:tcW w:type="dxa" w:w="1177"/>
            <w:tcBorders>
              <w:top w:val="single" w:color="D6DDEC" w:sz="4"/>
              <w:left w:val="single" w:color="D6DDEC" w:sz="4"/>
              <w:bottom w:val="single" w:color="D6DDEC" w:sz="4"/>
              <w:right w:val="single" w:color="D6DDEC" w:sz="4"/>
            </w:tcBorders>
            <w:shd w:fill="E6F2E8"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Alta</w:t>
            </w:r>
          </w:p>
        </w:tc>
      </w:tr>
      <w:tr>
        <w:trPr>
          <w:cantSplit/>
        </w:trPr>
        <w:tc>
          <w:tcPr>
            <w:tcW w:type="dxa" w:w="132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Romania (Fase 4)</w:t>
            </w:r>
          </w:p>
        </w:tc>
        <w:tc>
          <w:tcPr>
            <w:tcW w:type="dxa" w:w="323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Stato UE: nessun problema di riammissione</w:t>
            </w:r>
          </w:p>
        </w:tc>
        <w:tc>
          <w:tcPr>
            <w:tcW w:type="dxa" w:w="235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Applicare art. 20 e DQ 2008/909</w:t>
            </w:r>
          </w:p>
        </w:tc>
        <w:tc>
          <w:tcPr>
            <w:tcW w:type="dxa" w:w="220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n.d.</w:t>
            </w:r>
          </w:p>
        </w:tc>
        <w:tc>
          <w:tcPr>
            <w:tcW w:type="dxa" w:w="117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bCs/>
                <w:color w:val="1A2340"/>
                <w:sz w:val="13"/>
                <w:szCs w:val="13"/>
              </w:rPr>
              <w:t xml:space="preserve">1.900</w:t>
            </w:r>
          </w:p>
        </w:tc>
        <w:tc>
          <w:tcPr>
            <w:tcW w:type="dxa" w:w="191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Allontanamento; trasferimento pena</w:t>
            </w:r>
          </w:p>
        </w:tc>
        <w:tc>
          <w:tcPr>
            <w:tcW w:type="dxa" w:w="1177"/>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bl>
    <w:p>
      <w:pPr>
        <w:spacing w:after="120"/>
      </w:pPr>
    </w:p>
    <w:p>
      <w:pPr>
        <w:pStyle w:val="Heading2"/>
      </w:pPr>
      <w:r>
        <w:t xml:space="preserve">Se il paese d’origine non riammette: otto soluzioni alternative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040"/>
        <w:gridCol w:w="3788"/>
        <w:gridCol w:w="1748"/>
        <w:gridCol w:w="1748"/>
        <w:gridCol w:w="1457"/>
        <w:gridCol w:w="1166"/>
        <w:gridCol w:w="1748"/>
        <w:gridCol w:w="874"/>
      </w:tblGrid>
      <w:tr>
        <w:trPr>
          <w:cantSplit/>
          <w:tblHeader/>
        </w:trPr>
        <w:tc>
          <w:tcPr>
            <w:tcW w:type="dxa" w:w="2040"/>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Soluzione</w:t>
            </w:r>
          </w:p>
        </w:tc>
        <w:tc>
          <w:tcPr>
            <w:tcW w:type="dxa" w:w="378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Come funziona</w:t>
            </w:r>
          </w:p>
        </w:tc>
        <w:tc>
          <w:tcPr>
            <w:tcW w:type="dxa" w:w="17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A chi si applica</w:t>
            </w:r>
          </w:p>
        </w:tc>
        <w:tc>
          <w:tcPr>
            <w:tcW w:type="dxa" w:w="17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Base giuridica</w:t>
            </w:r>
          </w:p>
        </w:tc>
        <w:tc>
          <w:tcPr>
            <w:tcW w:type="dxa" w:w="145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Costo</w:t>
            </w:r>
          </w:p>
        </w:tc>
        <w:tc>
          <w:tcPr>
            <w:tcW w:type="dxa" w:w="1166"/>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Tempo</w:t>
            </w:r>
          </w:p>
        </w:tc>
        <w:tc>
          <w:tcPr>
            <w:tcW w:type="dxa" w:w="17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Limite</w:t>
            </w:r>
          </w:p>
        </w:tc>
        <w:tc>
          <w:tcPr>
            <w:tcW w:type="dxa" w:w="87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Fattibilità</w:t>
            </w:r>
          </w:p>
        </w:tc>
      </w:tr>
      <w:tr>
        <w:trPr>
          <w:cantSplit/>
        </w:trPr>
        <w:tc>
          <w:tcPr>
            <w:tcW w:type="dxa" w:w="204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A. Leva dei visti (art. 25a Codice visti)</w:t>
            </w:r>
          </w:p>
        </w:tc>
        <w:tc>
          <w:tcPr>
            <w:tcW w:type="dxa" w:w="378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Riduzione visti Schengen, tasse più alte, tempi più lunghi per i cittadini del paese che non coopera; già applicata a Gambia, Etiopia</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Marocco, Algeria, Pakistan, Bangladesh</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Reg. (UE) 810/2009 art. 25a</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Nullo</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3-6 mesi per la decisione UE</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Serve maggioranza qualificata in Consiglio</w:t>
            </w:r>
          </w:p>
        </w:tc>
        <w:tc>
          <w:tcPr>
            <w:tcW w:type="dxa" w:w="874"/>
            <w:tcBorders>
              <w:top w:val="single" w:color="D6DDEC" w:sz="4"/>
              <w:left w:val="single" w:color="D6DDEC" w:sz="4"/>
              <w:bottom w:val="single" w:color="D6DDEC" w:sz="4"/>
              <w:right w:val="single" w:color="D6DDEC" w:sz="4"/>
            </w:tcBorders>
            <w:shd w:fill="E6F2E8"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Alta</w:t>
            </w:r>
          </w:p>
        </w:tc>
      </w:tr>
      <w:tr>
        <w:trPr>
          <w:cantSplit/>
        </w:trPr>
        <w:tc>
          <w:tcPr>
            <w:tcW w:type="dxa" w:w="204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B. Condizionalità commerciale e aiuti</w:t>
            </w:r>
          </w:p>
        </w:tc>
        <w:tc>
          <w:tcPr>
            <w:tcW w:type="dxa" w:w="378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GSP+ (Pakistan, Bangladesh), accordi di associazione (Marocco), Piano Mattei, rimesse: riammissione come condizione</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Tutti</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Reg. GSP (UE) 2023; accordi bilaterali</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Nullo o negativo (aiuti sospesi)</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1-2 anni</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Interessi economici contrari (gas algerino, tessile Bangladesh)</w:t>
            </w:r>
          </w:p>
        </w:tc>
        <w:tc>
          <w:tcPr>
            <w:tcW w:type="dxa" w:w="874"/>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204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 Rimpatrio verso paese terzo o hub</w:t>
            </w:r>
          </w:p>
        </w:tc>
        <w:tc>
          <w:tcPr>
            <w:tcW w:type="dxa" w:w="378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Trasferimento in un paese che accetta (hub di rimpatrio del regolamento UE 2026; Albania; accordi tipo Ruanda) quando il paese d’origine rifiuta</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Chi è identificato ma non riammesso</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Reg. UE rimpatri 2026 (return hubs); L. 14/2024</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 10.000 € a persona (ipotesi)</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6-12 mesi per gli accordi</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Serve un paese ospitante; CEDU art. 3</w:t>
            </w:r>
          </w:p>
        </w:tc>
        <w:tc>
          <w:tcPr>
            <w:tcW w:type="dxa" w:w="874"/>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204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D. Trattenimento prolungato</w:t>
            </w:r>
          </w:p>
        </w:tc>
        <w:tc>
          <w:tcPr>
            <w:tcW w:type="dxa" w:w="378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Fino a 24 + 6 mesi in CPR o Gjadër finché il documento arriva; pressione sul consolato</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Non cooperanti con rischio di fuga</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Reg. UE rimpatri 2026</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110 €/giorno (≈ 100.000 € a persona per 30 mesi)</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Immediato</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Costo; convalide del giudice ogni 3 mesi</w:t>
            </w:r>
          </w:p>
        </w:tc>
        <w:tc>
          <w:tcPr>
            <w:tcW w:type="dxa" w:w="874"/>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204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E. Reato di mancata cooperazione</w:t>
            </w:r>
          </w:p>
        </w:tc>
        <w:tc>
          <w:tcPr>
            <w:tcW w:type="dxa" w:w="378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Chi rifiuta di dichiarare l’identità o di collaborare al rimpatrio commette reato: detenzione in carcere, poi espulsione come misura di sicurezza</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Non cooperanti</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Reg. UE rimpatri 2026 (obbligo di cooperazione); TU art. 14 c. 5-ter da rafforzare</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140 €/giorno di carcere</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Legge ordinaria 2027</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Corte di giustizia UE (sentenza El Dridi): la pena non può ostacolare il rimpatrio</w:t>
            </w:r>
          </w:p>
        </w:tc>
        <w:tc>
          <w:tcPr>
            <w:tcW w:type="dxa" w:w="874"/>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r>
        <w:trPr>
          <w:cantSplit/>
        </w:trPr>
        <w:tc>
          <w:tcPr>
            <w:tcW w:type="dxa" w:w="204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F. Incentivo volontario maggiorato</w:t>
            </w:r>
          </w:p>
        </w:tc>
        <w:tc>
          <w:tcPr>
            <w:tcW w:type="dxa" w:w="378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Incentivo doppio (fino a 5.000 €) per chi parte entro 30 giorni verso un paese che non coopera sui forzati: il volontario non ha bisogno di lasciapassare consolare, basta il passaporto o un documento del paese</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Chi ha ancora un passaporto</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TU art. 14-ter</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5.000 € contro 16.560 € di un forzato da CPR</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Immediato</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Funziona solo per chi ha documenti</w:t>
            </w:r>
          </w:p>
        </w:tc>
        <w:tc>
          <w:tcPr>
            <w:tcW w:type="dxa" w:w="874"/>
            <w:tcBorders>
              <w:top w:val="single" w:color="D6DDEC" w:sz="4"/>
              <w:left w:val="single" w:color="D6DDEC" w:sz="4"/>
              <w:bottom w:val="single" w:color="D6DDEC" w:sz="4"/>
              <w:right w:val="single" w:color="D6DDEC" w:sz="4"/>
            </w:tcBorders>
            <w:shd w:fill="E6F2E8"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Alta</w:t>
            </w:r>
          </w:p>
        </w:tc>
      </w:tr>
      <w:tr>
        <w:trPr>
          <w:cantSplit/>
        </w:trPr>
        <w:tc>
          <w:tcPr>
            <w:tcW w:type="dxa" w:w="204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G. Permanenza vincolata</w:t>
            </w:r>
          </w:p>
        </w:tc>
        <w:tc>
          <w:tcPr>
            <w:tcW w:type="dxa" w:w="378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Per chi resta non rimpatriabile: nessun permesso, obbligo di firma, residenza assegnata, niente accesso a prestazioni sociali non essenziali, lavoro solo in programmi pubblici; rivalutazione ogni 6 mesi</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Residuo non rimpatriabile</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Legge ordinaria; reg. UE rimpatri</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Basso</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Legge 2027</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Diritti fondamentali (vitto, cure urgenti) restano</w:t>
            </w:r>
          </w:p>
        </w:tc>
        <w:tc>
          <w:tcPr>
            <w:tcW w:type="dxa" w:w="874"/>
            <w:tcBorders>
              <w:top w:val="single" w:color="D6DDEC" w:sz="4"/>
              <w:left w:val="single" w:color="D6DDEC" w:sz="4"/>
              <w:bottom w:val="single" w:color="D6DDEC" w:sz="4"/>
              <w:right w:val="single" w:color="D6DDEC" w:sz="4"/>
            </w:tcBorders>
            <w:shd w:fill="E6F2E8"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Alta</w:t>
            </w:r>
          </w:p>
        </w:tc>
      </w:tr>
      <w:tr>
        <w:trPr>
          <w:cantSplit/>
        </w:trPr>
        <w:tc>
          <w:tcPr>
            <w:tcW w:type="dxa" w:w="204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H. Pressione europea congiunta</w:t>
            </w:r>
          </w:p>
        </w:tc>
        <w:tc>
          <w:tcPr>
            <w:tcW w:type="dxa" w:w="378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Gli alleati (FR, DE, AT, IT) chiedono insieme la riammissione: sospensione coordinata dei visti e degli accordi</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Marocco, Algeria</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Consiglio UE</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Nullo</w:t>
            </w:r>
          </w:p>
        </w:tc>
        <w:tc>
          <w:tcPr>
            <w:tcW w:type="dxa" w:w="1166"/>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2027-2028</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Serve l’allineamento politico ipotizzato dal GRP</w:t>
            </w:r>
          </w:p>
        </w:tc>
        <w:tc>
          <w:tcPr>
            <w:tcW w:type="dxa" w:w="874"/>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Media</w:t>
            </w:r>
          </w:p>
        </w:tc>
      </w:tr>
    </w:tbl>
    <w:p>
      <w:pPr>
        <w:spacing w:after="120"/>
      </w:pPr>
    </w:p>
    <w:p>
      <w:pPr>
        <w:spacing w:after="140"/>
      </w:pPr>
      <w:r>
        <w:rPr>
          <w:rFonts w:ascii="Arial" w:cs="Arial" w:eastAsia="Arial" w:hAnsi="Arial"/>
          <w:i/>
          <w:iCs/>
          <w:color w:val="4D5C84"/>
          <w:sz w:val="16"/>
          <w:szCs w:val="16"/>
        </w:rPr>
        <w:t xml:space="preserve">Ordine di applicazione: F (volontario maggiorato) → A e H (pressione sui visti, da soli e con gli alleati) → B (condizionalità commerciale) → C (paese terzo o hub) → D ed E (trattenimento, reato di mancata cooperazione) → G (permanenza vincolata) per il residuo.</w:t>
      </w:r>
    </w:p>
    <w:p>
      <w:pPr>
        <w:pStyle w:val="Heading2"/>
      </w:pPr>
      <w:r>
        <w:t xml:space="preserve">Scorecard di fattibilità e alternativa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23"/>
        <w:gridCol w:w="1311"/>
        <w:gridCol w:w="1311"/>
        <w:gridCol w:w="1020"/>
        <w:gridCol w:w="1020"/>
        <w:gridCol w:w="3205"/>
        <w:gridCol w:w="4080"/>
      </w:tblGrid>
      <w:tr>
        <w:trPr>
          <w:cantSplit/>
          <w:tblHeader/>
        </w:trPr>
        <w:tc>
          <w:tcPr>
            <w:tcW w:type="dxa" w:w="2623"/>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Categoria</w:t>
            </w:r>
          </w:p>
        </w:tc>
        <w:tc>
          <w:tcPr>
            <w:tcW w:type="dxa" w:w="1311"/>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Cooperazione di terzi</w:t>
            </w:r>
          </w:p>
        </w:tc>
        <w:tc>
          <w:tcPr>
            <w:tcW w:type="dxa" w:w="1311"/>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Capacità operativa</w:t>
            </w:r>
          </w:p>
        </w:tc>
        <w:tc>
          <w:tcPr>
            <w:tcW w:type="dxa" w:w="1020"/>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Costo</w:t>
            </w:r>
          </w:p>
        </w:tc>
        <w:tc>
          <w:tcPr>
            <w:tcW w:type="dxa" w:w="1020"/>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Totale /15</w:t>
            </w:r>
          </w:p>
        </w:tc>
        <w:tc>
          <w:tcPr>
            <w:tcW w:type="dxa" w:w="3205"/>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Giudizio</w:t>
            </w:r>
          </w:p>
        </w:tc>
        <w:tc>
          <w:tcPr>
            <w:tcW w:type="dxa" w:w="4080"/>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Se la cooperazione manca: alternativa</w:t>
            </w:r>
          </w:p>
        </w:tc>
      </w:tr>
      <w:tr>
        <w:trPr>
          <w:cantSplit/>
        </w:trPr>
        <w:tc>
          <w:tcPr>
            <w:tcW w:type="dxa" w:w="262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Fase 1 · Irregolari</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2</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2</w:t>
            </w:r>
          </w:p>
        </w:tc>
        <w:tc>
          <w:tcPr>
            <w:tcW w:type="dxa" w:w="10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4</w:t>
            </w:r>
          </w:p>
        </w:tc>
        <w:tc>
          <w:tcPr>
            <w:tcW w:type="dxa" w:w="10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8</w:t>
            </w:r>
          </w:p>
        </w:tc>
        <w:tc>
          <w:tcPr>
            <w:tcW w:type="dxa" w:w="320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val="false"/>
                <w:bCs w:val="false"/>
                <w:color w:val="1A2340"/>
                <w:sz w:val="13"/>
                <w:szCs w:val="13"/>
              </w:rPr>
              <w:t xml:space="preserve">Fattibile; dipende da Marocco, Algeria, Pakistan, Bangladesh</w:t>
            </w:r>
          </w:p>
        </w:tc>
        <w:tc>
          <w:tcPr>
            <w:tcW w:type="dxa" w:w="408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val="false"/>
                <w:bCs w:val="false"/>
                <w:color w:val="1A2340"/>
                <w:sz w:val="13"/>
                <w:szCs w:val="13"/>
              </w:rPr>
              <w:t xml:space="preserve">F volontario maggiorato → A/H visti → C paese terzo → D/E → G permanenza vincolata</w:t>
            </w:r>
          </w:p>
        </w:tc>
      </w:tr>
      <w:tr>
        <w:trPr>
          <w:cantSplit/>
        </w:trPr>
        <w:tc>
          <w:tcPr>
            <w:tcW w:type="dxa" w:w="262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Fase 1 · Condannati</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2</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3</w:t>
            </w:r>
          </w:p>
        </w:tc>
        <w:tc>
          <w:tcPr>
            <w:tcW w:type="dxa" w:w="10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5</w:t>
            </w:r>
          </w:p>
        </w:tc>
        <w:tc>
          <w:tcPr>
            <w:tcW w:type="dxa" w:w="10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10</w:t>
            </w:r>
          </w:p>
        </w:tc>
        <w:tc>
          <w:tcPr>
            <w:tcW w:type="dxa" w:w="320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val="false"/>
                <w:bCs w:val="false"/>
                <w:color w:val="1A2340"/>
                <w:sz w:val="13"/>
                <w:szCs w:val="13"/>
              </w:rPr>
              <w:t xml:space="preserve">Prioritaria: identificazione in carcere</w:t>
            </w:r>
          </w:p>
        </w:tc>
        <w:tc>
          <w:tcPr>
            <w:tcW w:type="dxa" w:w="408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val="false"/>
                <w:bCs w:val="false"/>
                <w:color w:val="1A2340"/>
                <w:sz w:val="13"/>
                <w:szCs w:val="13"/>
              </w:rPr>
              <w:t xml:space="preserve">E reato di mancata cooperazione; C paese terzo; trasferimento pena dove c’è accordo</w:t>
            </w:r>
          </w:p>
        </w:tc>
      </w:tr>
      <w:tr>
        <w:trPr>
          <w:cantSplit/>
        </w:trPr>
        <w:tc>
          <w:tcPr>
            <w:tcW w:type="dxa" w:w="262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Fase 2 · Richiedenti asilo respinti</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3</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3</w:t>
            </w:r>
          </w:p>
        </w:tc>
        <w:tc>
          <w:tcPr>
            <w:tcW w:type="dxa" w:w="10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4</w:t>
            </w:r>
          </w:p>
        </w:tc>
        <w:tc>
          <w:tcPr>
            <w:tcW w:type="dxa" w:w="10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10</w:t>
            </w:r>
          </w:p>
        </w:tc>
        <w:tc>
          <w:tcPr>
            <w:tcW w:type="dxa" w:w="320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val="false"/>
                <w:bCs w:val="false"/>
                <w:color w:val="1A2340"/>
                <w:sz w:val="13"/>
                <w:szCs w:val="13"/>
              </w:rPr>
              <w:t xml:space="preserve">Fattibile con procedura di frontiera</w:t>
            </w:r>
          </w:p>
        </w:tc>
        <w:tc>
          <w:tcPr>
            <w:tcW w:type="dxa" w:w="408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val="false"/>
                <w:bCs w:val="false"/>
                <w:color w:val="1A2340"/>
                <w:sz w:val="13"/>
                <w:szCs w:val="13"/>
              </w:rPr>
              <w:t xml:space="preserve">Decisione e rimpatrio dal CTRA; F volontario; C hub</w:t>
            </w:r>
          </w:p>
        </w:tc>
      </w:tr>
      <w:tr>
        <w:trPr>
          <w:cantSplit/>
        </w:trPr>
        <w:tc>
          <w:tcPr>
            <w:tcW w:type="dxa" w:w="262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Fase 2 · Permessi a termine</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4</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2</w:t>
            </w:r>
          </w:p>
        </w:tc>
        <w:tc>
          <w:tcPr>
            <w:tcW w:type="dxa" w:w="10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4</w:t>
            </w:r>
          </w:p>
        </w:tc>
        <w:tc>
          <w:tcPr>
            <w:tcW w:type="dxa" w:w="10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10</w:t>
            </w:r>
          </w:p>
        </w:tc>
        <w:tc>
          <w:tcPr>
            <w:tcW w:type="dxa" w:w="320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val="false"/>
                <w:bCs w:val="false"/>
                <w:color w:val="1A2340"/>
                <w:sz w:val="13"/>
                <w:szCs w:val="13"/>
              </w:rPr>
              <w:t xml:space="preserve">Fattibile: serve il sistema di tracciamento</w:t>
            </w:r>
          </w:p>
        </w:tc>
        <w:tc>
          <w:tcPr>
            <w:tcW w:type="dxa" w:w="408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val="false"/>
                <w:bCs w:val="false"/>
                <w:color w:val="1A2340"/>
                <w:sz w:val="13"/>
                <w:szCs w:val="13"/>
              </w:rPr>
              <w:t xml:space="preserve">Nessuna alternativa necessaria: il titolo scade per legge; poi come Fase 1</w:t>
            </w:r>
          </w:p>
        </w:tc>
      </w:tr>
      <w:tr>
        <w:trPr>
          <w:cantSplit/>
        </w:trPr>
        <w:tc>
          <w:tcPr>
            <w:tcW w:type="dxa" w:w="262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Fase 2 · Lungo soggiornanti</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3</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2</w:t>
            </w:r>
          </w:p>
        </w:tc>
        <w:tc>
          <w:tcPr>
            <w:tcW w:type="dxa" w:w="10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4</w:t>
            </w:r>
          </w:p>
        </w:tc>
        <w:tc>
          <w:tcPr>
            <w:tcW w:type="dxa" w:w="10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9</w:t>
            </w:r>
          </w:p>
        </w:tc>
        <w:tc>
          <w:tcPr>
            <w:tcW w:type="dxa" w:w="320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val="false"/>
                <w:bCs w:val="false"/>
                <w:color w:val="1A2340"/>
                <w:sz w:val="13"/>
                <w:szCs w:val="13"/>
              </w:rPr>
              <w:t xml:space="preserve">Condannati subito; gli altri dopo la revisione della dir. 2003/109</w:t>
            </w:r>
          </w:p>
        </w:tc>
        <w:tc>
          <w:tcPr>
            <w:tcW w:type="dxa" w:w="408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val="false"/>
                <w:bCs w:val="false"/>
                <w:color w:val="1A2340"/>
                <w:sz w:val="13"/>
                <w:szCs w:val="13"/>
              </w:rPr>
              <w:t xml:space="preserve">Revoca per assenza e frode; poi come Fase 1</w:t>
            </w:r>
          </w:p>
        </w:tc>
      </w:tr>
      <w:tr>
        <w:trPr>
          <w:cantSplit/>
        </w:trPr>
        <w:tc>
          <w:tcPr>
            <w:tcW w:type="dxa" w:w="262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Fase 2 · Rifugiati</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2</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2</w:t>
            </w:r>
          </w:p>
        </w:tc>
        <w:tc>
          <w:tcPr>
            <w:tcW w:type="dxa" w:w="10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3</w:t>
            </w:r>
          </w:p>
        </w:tc>
        <w:tc>
          <w:tcPr>
            <w:tcW w:type="dxa" w:w="10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7</w:t>
            </w:r>
          </w:p>
        </w:tc>
        <w:tc>
          <w:tcPr>
            <w:tcW w:type="dxa" w:w="320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val="false"/>
                <w:bCs w:val="false"/>
                <w:color w:val="1A2340"/>
                <w:sz w:val="13"/>
                <w:szCs w:val="13"/>
              </w:rPr>
              <w:t xml:space="preserve">Dopo la revisione UE della direttiva qualifiche</w:t>
            </w:r>
          </w:p>
        </w:tc>
        <w:tc>
          <w:tcPr>
            <w:tcW w:type="dxa" w:w="408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val="false"/>
                <w:bCs w:val="false"/>
                <w:color w:val="1A2340"/>
                <w:sz w:val="13"/>
                <w:szCs w:val="13"/>
              </w:rPr>
              <w:t xml:space="preserve">Cessazione per paesi tornati sicuri (Siria); revoca per reati; C paese terzo sicuro</w:t>
            </w:r>
          </w:p>
        </w:tc>
      </w:tr>
      <w:tr>
        <w:trPr>
          <w:cantSplit/>
        </w:trPr>
        <w:tc>
          <w:tcPr>
            <w:tcW w:type="dxa" w:w="262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Fase 3 · Naturalizzati e seconda generazione</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4</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2</w:t>
            </w:r>
          </w:p>
        </w:tc>
        <w:tc>
          <w:tcPr>
            <w:tcW w:type="dxa" w:w="10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3</w:t>
            </w:r>
          </w:p>
        </w:tc>
        <w:tc>
          <w:tcPr>
            <w:tcW w:type="dxa" w:w="10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9</w:t>
            </w:r>
          </w:p>
        </w:tc>
        <w:tc>
          <w:tcPr>
            <w:tcW w:type="dxa" w:w="320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val="false"/>
                <w:bCs w:val="false"/>
                <w:color w:val="1A2340"/>
                <w:sz w:val="13"/>
                <w:szCs w:val="13"/>
              </w:rPr>
              <w:t xml:space="preserve">Tempi parlamentari, non terzi: i paesi d’origine riammettono chi ha ancora la loro cittadinanza</w:t>
            </w:r>
          </w:p>
        </w:tc>
        <w:tc>
          <w:tcPr>
            <w:tcW w:type="dxa" w:w="408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val="false"/>
                <w:bCs w:val="false"/>
                <w:color w:val="1A2340"/>
                <w:sz w:val="13"/>
                <w:szCs w:val="13"/>
              </w:rPr>
              <w:t xml:space="preserve">Rientro volontario incentivato con rinuncia (art. 14); per chi ha solo la cittadinanza italiana serve la seconda cittadinanza (apolidia)</w:t>
            </w:r>
          </w:p>
        </w:tc>
      </w:tr>
      <w:tr>
        <w:trPr>
          <w:cantSplit/>
        </w:trPr>
        <w:tc>
          <w:tcPr>
            <w:tcW w:type="dxa" w:w="262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Fase 4 · Romania</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5</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3</w:t>
            </w:r>
          </w:p>
        </w:tc>
        <w:tc>
          <w:tcPr>
            <w:tcW w:type="dxa" w:w="10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5</w:t>
            </w:r>
          </w:p>
        </w:tc>
        <w:tc>
          <w:tcPr>
            <w:tcW w:type="dxa" w:w="10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13</w:t>
            </w:r>
          </w:p>
        </w:tc>
        <w:tc>
          <w:tcPr>
            <w:tcW w:type="dxa" w:w="320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val="false"/>
                <w:bCs w:val="false"/>
                <w:color w:val="1A2340"/>
                <w:sz w:val="13"/>
                <w:szCs w:val="13"/>
              </w:rPr>
              <w:t xml:space="preserve">Stato UE: nessun problema di riammissione</w:t>
            </w:r>
          </w:p>
        </w:tc>
        <w:tc>
          <w:tcPr>
            <w:tcW w:type="dxa" w:w="408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val="false"/>
                <w:bCs w:val="false"/>
                <w:color w:val="1A2340"/>
                <w:sz w:val="13"/>
                <w:szCs w:val="13"/>
              </w:rPr>
              <w:t xml:space="preserve">Nessuna necessaria</w:t>
            </w:r>
          </w:p>
        </w:tc>
      </w:tr>
      <w:tr>
        <w:trPr>
          <w:cantSplit/>
        </w:trPr>
        <w:tc>
          <w:tcPr>
            <w:tcW w:type="dxa" w:w="262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bCs/>
                <w:color w:val="1A2340"/>
                <w:sz w:val="13"/>
                <w:szCs w:val="13"/>
              </w:rPr>
              <w:t xml:space="preserve">Fase 4 · Protezione temporanea</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4</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3</w:t>
            </w:r>
          </w:p>
        </w:tc>
        <w:tc>
          <w:tcPr>
            <w:tcW w:type="dxa" w:w="10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4</w:t>
            </w:r>
          </w:p>
        </w:tc>
        <w:tc>
          <w:tcPr>
            <w:tcW w:type="dxa" w:w="10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b w:val="false"/>
                <w:bCs w:val="false"/>
                <w:color w:val="1A2340"/>
                <w:sz w:val="13"/>
                <w:szCs w:val="13"/>
              </w:rPr>
              <w:t xml:space="preserve">11</w:t>
            </w:r>
          </w:p>
        </w:tc>
        <w:tc>
          <w:tcPr>
            <w:tcW w:type="dxa" w:w="320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val="false"/>
                <w:bCs w:val="false"/>
                <w:color w:val="1A2340"/>
                <w:sz w:val="13"/>
                <w:szCs w:val="13"/>
              </w:rPr>
              <w:t xml:space="preserve">Ucraina riammette; dipende dalla guerra</w:t>
            </w:r>
          </w:p>
        </w:tc>
        <w:tc>
          <w:tcPr>
            <w:tcW w:type="dxa" w:w="408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b w:val="false"/>
                <w:bCs w:val="false"/>
                <w:color w:val="1A2340"/>
                <w:sz w:val="13"/>
                <w:szCs w:val="13"/>
              </w:rPr>
              <w:t xml:space="preserve">Conversione a permesso a termine (→ Fase 2) se il rientro non è possibile</w:t>
            </w:r>
          </w:p>
        </w:tc>
      </w:tr>
    </w:tbl>
    <w:p>
      <w:pPr>
        <w:spacing w:after="120"/>
      </w:pPr>
    </w:p>
    <w:p>
      <w:pPr>
        <w:spacing w:after="140"/>
      </w:pPr>
      <w:r>
        <w:rPr>
          <w:rFonts w:ascii="Arial" w:cs="Arial" w:eastAsia="Arial" w:hAnsi="Arial"/>
          <w:i/>
          <w:iCs/>
          <w:color w:val="4D5C84"/>
          <w:sz w:val="16"/>
          <w:szCs w:val="16"/>
        </w:rPr>
        <w:t xml:space="preserve">Punteggi da 1 (terzi non cooperano) a 5 (già possibile). Il punteggio è basso solo per mancata cooperazione dei paesi d’origine, mai per le norme attuali, che il piano assume cambiate.</w:t>
      </w:r>
    </w:p>
    <w:p>
      <w:r>
        <w:br w:type="page"/>
      </w:r>
    </w:p>
    <w:p>
      <w:pPr>
        <w:pStyle w:val="Heading1"/>
      </w:pPr>
      <w:r>
        <w:t xml:space="preserve">9. Costi 2027-2032</w:t>
      </w:r>
    </w:p>
    <w:p>
      <w:pPr>
        <w:spacing w:after="140"/>
      </w:pPr>
      <w:r>
        <w:rPr>
          <w:rFonts w:ascii="Arial" w:cs="Arial" w:eastAsia="Arial" w:hAnsi="Arial"/>
          <w:color w:val="1A2340"/>
          <w:sz w:val="19"/>
          <w:szCs w:val="19"/>
        </w:rPr>
        <w:t xml:space="preserve">Il modello parte dai volumi del tracker e li moltiplica per costi unitari dichiarati. I costi unitari sono ipotesi modificabili nel file di lavoro. I risparmi (accoglienza, carcere, giorni di CPR) usano le stesse ipotesi e vanno letti con più cautela dei costi. Importi in milioni di euro salvo indicazione.</w:t>
      </w:r>
    </w:p>
    <w:p>
      <w:pPr>
        <w:pStyle w:val="Heading2"/>
      </w:pPr>
      <w:r>
        <w:t xml:space="preserve">Costi unitari</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1503"/>
        <w:gridCol w:w="3067"/>
      </w:tblGrid>
      <w:tr>
        <w:trPr>
          <w:cantSplit/>
          <w:tblHeader/>
        </w:trPr>
        <w:tc>
          <w:tcPr>
            <w:tcW w:type="dxa" w:w="11503"/>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Voce</w:t>
            </w:r>
          </w:p>
        </w:tc>
        <w:tc>
          <w:tcPr>
            <w:tcW w:type="dxa" w:w="306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Valore</w:t>
            </w:r>
          </w:p>
        </w:tc>
      </w:tr>
      <w:tr>
        <w:trPr>
          <w:cantSplit/>
        </w:trPr>
        <w:tc>
          <w:tcPr>
            <w:tcW w:type="dxa" w:w="115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Volontario: trasporto</w:t>
            </w:r>
          </w:p>
        </w:tc>
        <w:tc>
          <w:tcPr>
            <w:tcW w:type="dxa" w:w="30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560</w:t>
            </w:r>
          </w:p>
        </w:tc>
      </w:tr>
      <w:tr>
        <w:trPr>
          <w:cantSplit/>
        </w:trPr>
        <w:tc>
          <w:tcPr>
            <w:tcW w:type="dxa" w:w="115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Volontario: incentivo di reinserimento</w:t>
            </w:r>
          </w:p>
        </w:tc>
        <w:tc>
          <w:tcPr>
            <w:tcW w:type="dxa" w:w="30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1.500</w:t>
            </w:r>
          </w:p>
        </w:tc>
      </w:tr>
      <w:tr>
        <w:trPr>
          <w:cantSplit/>
        </w:trPr>
        <w:tc>
          <w:tcPr>
            <w:tcW w:type="dxa" w:w="115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Volontario: gestione (OIM, colloqui)</w:t>
            </w:r>
          </w:p>
        </w:tc>
        <w:tc>
          <w:tcPr>
            <w:tcW w:type="dxa" w:w="30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400</w:t>
            </w:r>
          </w:p>
        </w:tc>
      </w:tr>
      <w:tr>
        <w:trPr>
          <w:cantSplit/>
        </w:trPr>
        <w:tc>
          <w:tcPr>
            <w:tcW w:type="dxa" w:w="115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Forzato: trasporto e scorta (volo di linea, 2 agenti)</w:t>
            </w:r>
          </w:p>
        </w:tc>
        <w:tc>
          <w:tcPr>
            <w:tcW w:type="dxa" w:w="30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3.400</w:t>
            </w:r>
          </w:p>
        </w:tc>
      </w:tr>
      <w:tr>
        <w:trPr>
          <w:cantSplit/>
        </w:trPr>
        <w:tc>
          <w:tcPr>
            <w:tcW w:type="dxa" w:w="115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Forzato: charter a persona</w:t>
            </w:r>
          </w:p>
        </w:tc>
        <w:tc>
          <w:tcPr>
            <w:tcW w:type="dxa" w:w="30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2.600</w:t>
            </w:r>
          </w:p>
        </w:tc>
      </w:tr>
      <w:tr>
        <w:trPr>
          <w:cantSplit/>
        </w:trPr>
        <w:tc>
          <w:tcPr>
            <w:tcW w:type="dxa" w:w="115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CPR: costo per giorno tutto compreso (gestione + polizia + struttura)</w:t>
            </w:r>
          </w:p>
        </w:tc>
        <w:tc>
          <w:tcPr>
            <w:tcW w:type="dxa" w:w="30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110</w:t>
            </w:r>
          </w:p>
        </w:tc>
      </w:tr>
      <w:tr>
        <w:trPr>
          <w:cantSplit/>
        </w:trPr>
        <w:tc>
          <w:tcPr>
            <w:tcW w:type="dxa" w:w="115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CPR: capex per posto nuovo</w:t>
            </w:r>
          </w:p>
        </w:tc>
        <w:tc>
          <w:tcPr>
            <w:tcW w:type="dxa" w:w="30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21.000</w:t>
            </w:r>
          </w:p>
        </w:tc>
      </w:tr>
      <w:tr>
        <w:trPr>
          <w:cantSplit/>
        </w:trPr>
        <w:tc>
          <w:tcPr>
            <w:tcW w:type="dxa" w:w="115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Procedura di frontiera: costo aggiuntivo per domanda rispetto all’accoglienza ordinaria</w:t>
            </w:r>
          </w:p>
        </w:tc>
        <w:tc>
          <w:tcPr>
            <w:tcW w:type="dxa" w:w="30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200</w:t>
            </w:r>
          </w:p>
        </w:tc>
      </w:tr>
      <w:tr>
        <w:trPr>
          <w:cantSplit/>
        </w:trPr>
        <w:tc>
          <w:tcPr>
            <w:tcW w:type="dxa" w:w="115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Accoglienza: costo per giorno a persona</w:t>
            </w:r>
          </w:p>
        </w:tc>
        <w:tc>
          <w:tcPr>
            <w:tcW w:type="dxa" w:w="30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35</w:t>
            </w:r>
          </w:p>
        </w:tc>
      </w:tr>
      <w:tr>
        <w:trPr>
          <w:cantSplit/>
        </w:trPr>
        <w:tc>
          <w:tcPr>
            <w:tcW w:type="dxa" w:w="115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Carcere: costo per giorno a detenuto</w:t>
            </w:r>
          </w:p>
        </w:tc>
        <w:tc>
          <w:tcPr>
            <w:tcW w:type="dxa" w:w="30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140</w:t>
            </w:r>
          </w:p>
        </w:tc>
      </w:tr>
      <w:tr>
        <w:trPr>
          <w:cantSplit/>
        </w:trPr>
        <w:tc>
          <w:tcPr>
            <w:tcW w:type="dxa" w:w="115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Allontanamento cittadino UE</w:t>
            </w:r>
          </w:p>
        </w:tc>
        <w:tc>
          <w:tcPr>
            <w:tcW w:type="dxa" w:w="30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1.000</w:t>
            </w:r>
          </w:p>
        </w:tc>
      </w:tr>
      <w:tr>
        <w:trPr>
          <w:cantSplit/>
        </w:trPr>
        <w:tc>
          <w:tcPr>
            <w:tcW w:type="dxa" w:w="115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Rientro volontario in Ucraina (trasporto + incentivo)</w:t>
            </w:r>
          </w:p>
        </w:tc>
        <w:tc>
          <w:tcPr>
            <w:tcW w:type="dxa" w:w="30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1.000</w:t>
            </w:r>
          </w:p>
        </w:tc>
      </w:tr>
      <w:tr>
        <w:trPr>
          <w:cantSplit/>
        </w:trPr>
        <w:tc>
          <w:tcPr>
            <w:tcW w:type="dxa" w:w="115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Fase 3: incentivo al rientro volontario con rinuncia alla cittadinanza</w:t>
            </w:r>
          </w:p>
        </w:tc>
        <w:tc>
          <w:tcPr>
            <w:tcW w:type="dxa" w:w="30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10.000</w:t>
            </w:r>
          </w:p>
        </w:tc>
      </w:tr>
      <w:tr>
        <w:trPr>
          <w:cantSplit/>
        </w:trPr>
        <w:tc>
          <w:tcPr>
            <w:tcW w:type="dxa" w:w="115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Organizzazione: autorità unica e personale (M€/anno)</w:t>
            </w:r>
          </w:p>
        </w:tc>
        <w:tc>
          <w:tcPr>
            <w:tcW w:type="dxa" w:w="30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50</w:t>
            </w:r>
          </w:p>
        </w:tc>
      </w:tr>
      <w:tr>
        <w:trPr>
          <w:cantSplit/>
        </w:trPr>
        <w:tc>
          <w:tcPr>
            <w:tcW w:type="dxa" w:w="115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Fascicolo digitale: investimento una tantum (M€)</w:t>
            </w:r>
          </w:p>
        </w:tc>
        <w:tc>
          <w:tcPr>
            <w:tcW w:type="dxa" w:w="30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20</w:t>
            </w:r>
          </w:p>
        </w:tc>
      </w:tr>
      <w:tr>
        <w:trPr>
          <w:cantSplit/>
        </w:trPr>
        <w:tc>
          <w:tcPr>
            <w:tcW w:type="dxa" w:w="115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Incentivi ai paesi d’origine (M€/anno)</w:t>
            </w:r>
          </w:p>
        </w:tc>
        <w:tc>
          <w:tcPr>
            <w:tcW w:type="dxa" w:w="30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100</w:t>
            </w:r>
          </w:p>
        </w:tc>
      </w:tr>
      <w:tr>
        <w:trPr>
          <w:cantSplit/>
        </w:trPr>
        <w:tc>
          <w:tcPr>
            <w:tcW w:type="dxa" w:w="115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Quota dei forzati che viaggia in charter</w:t>
            </w:r>
          </w:p>
        </w:tc>
        <w:tc>
          <w:tcPr>
            <w:tcW w:type="dxa" w:w="30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50%</w:t>
            </w:r>
          </w:p>
        </w:tc>
      </w:tr>
      <w:tr>
        <w:trPr>
          <w:cantSplit/>
        </w:trPr>
        <w:tc>
          <w:tcPr>
            <w:tcW w:type="dxa" w:w="115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Giorni di accoglienza risparmiati per rimpatrio eseguito di un diniegato</w:t>
            </w:r>
          </w:p>
        </w:tc>
        <w:tc>
          <w:tcPr>
            <w:tcW w:type="dxa" w:w="30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180</w:t>
            </w:r>
          </w:p>
        </w:tc>
      </w:tr>
      <w:tr>
        <w:trPr>
          <w:cantSplit/>
        </w:trPr>
        <w:tc>
          <w:tcPr>
            <w:tcW w:type="dxa" w:w="115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Quota dei rimpatri che riguarda diniegati in accoglienza</w:t>
            </w:r>
          </w:p>
        </w:tc>
        <w:tc>
          <w:tcPr>
            <w:tcW w:type="dxa" w:w="30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50%</w:t>
            </w:r>
          </w:p>
        </w:tc>
      </w:tr>
      <w:tr>
        <w:trPr>
          <w:cantSplit/>
        </w:trPr>
        <w:tc>
          <w:tcPr>
            <w:tcW w:type="dxa" w:w="11503"/>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Giorni di carcere risparmiati per espulsione alternativa/trasferimento</w:t>
            </w:r>
          </w:p>
        </w:tc>
        <w:tc>
          <w:tcPr>
            <w:tcW w:type="dxa" w:w="306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365</w:t>
            </w:r>
          </w:p>
        </w:tc>
      </w:tr>
    </w:tbl>
    <w:p>
      <w:pPr>
        <w:spacing w:after="120"/>
      </w:pPr>
    </w:p>
    <w:p>
      <w:pPr>
        <w:pStyle w:val="Heading2"/>
      </w:pPr>
      <w:r>
        <w:t xml:space="preserve">Volumi per anno (dal tracker)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828"/>
        <w:gridCol w:w="1457"/>
        <w:gridCol w:w="1457"/>
        <w:gridCol w:w="1457"/>
        <w:gridCol w:w="1457"/>
        <w:gridCol w:w="1457"/>
        <w:gridCol w:w="1457"/>
      </w:tblGrid>
      <w:tr>
        <w:trPr>
          <w:cantSplit/>
          <w:tblHeader/>
        </w:trPr>
        <w:tc>
          <w:tcPr>
            <w:tcW w:type="dxa" w:w="582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Voce</w:t>
            </w:r>
          </w:p>
        </w:tc>
        <w:tc>
          <w:tcPr>
            <w:tcW w:type="dxa" w:w="145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2027</w:t>
            </w:r>
          </w:p>
        </w:tc>
        <w:tc>
          <w:tcPr>
            <w:tcW w:type="dxa" w:w="145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2028</w:t>
            </w:r>
          </w:p>
        </w:tc>
        <w:tc>
          <w:tcPr>
            <w:tcW w:type="dxa" w:w="145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2029</w:t>
            </w:r>
          </w:p>
        </w:tc>
        <w:tc>
          <w:tcPr>
            <w:tcW w:type="dxa" w:w="145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2030</w:t>
            </w:r>
          </w:p>
        </w:tc>
        <w:tc>
          <w:tcPr>
            <w:tcW w:type="dxa" w:w="145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2031</w:t>
            </w:r>
          </w:p>
        </w:tc>
        <w:tc>
          <w:tcPr>
            <w:tcW w:type="dxa" w:w="1457"/>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2032</w:t>
            </w:r>
          </w:p>
        </w:tc>
      </w:tr>
      <w:tr>
        <w:trPr>
          <w:cantSplit/>
        </w:trPr>
        <w:tc>
          <w:tcPr>
            <w:tcW w:type="dxa" w:w="582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Rimpatri volontari assistiti</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2.800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8.250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22,4k</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42,5k</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47,5k</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50,0k</w:t>
            </w:r>
          </w:p>
        </w:tc>
      </w:tr>
      <w:tr>
        <w:trPr>
          <w:cantSplit/>
        </w:trPr>
        <w:tc>
          <w:tcPr>
            <w:tcW w:type="dxa" w:w="582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Rimpatri forzati</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11,2k</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19,2k</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33,6k</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42,5k</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47,5k</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50,0k</w:t>
            </w:r>
          </w:p>
        </w:tc>
      </w:tr>
      <w:tr>
        <w:trPr>
          <w:cantSplit/>
        </w:trPr>
        <w:tc>
          <w:tcPr>
            <w:tcW w:type="dxa" w:w="582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Quota forzati dal CPR</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0,4</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0,3</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0,3</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0,3</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0,3</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0,3</w:t>
            </w:r>
          </w:p>
        </w:tc>
      </w:tr>
      <w:tr>
        <w:trPr>
          <w:cantSplit/>
        </w:trPr>
        <w:tc>
          <w:tcPr>
            <w:tcW w:type="dxa" w:w="582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Giorni medi in CPR</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120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90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75</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60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60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60</w:t>
            </w:r>
          </w:p>
        </w:tc>
      </w:tr>
      <w:tr>
        <w:trPr>
          <w:cantSplit/>
        </w:trPr>
        <w:tc>
          <w:tcPr>
            <w:tcW w:type="dxa" w:w="582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Posti CPR necessari</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1.733</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1.954</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2.680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2.712</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3.031</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3.191</w:t>
            </w:r>
          </w:p>
        </w:tc>
      </w:tr>
      <w:tr>
        <w:trPr>
          <w:cantSplit/>
        </w:trPr>
        <w:tc>
          <w:tcPr>
            <w:tcW w:type="dxa" w:w="582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Espulsioni di detenuti (artt. 15-16)</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2.000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4.000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6.000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7.000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8.000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8.000</w:t>
            </w:r>
          </w:p>
        </w:tc>
      </w:tr>
      <w:tr>
        <w:trPr>
          <w:cantSplit/>
        </w:trPr>
        <w:tc>
          <w:tcPr>
            <w:tcW w:type="dxa" w:w="582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Detenuti UE trasferiti (DQ 2008/909)</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1.000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1.500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2.000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2.000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2.000</w:t>
            </w:r>
          </w:p>
        </w:tc>
      </w:tr>
      <w:tr>
        <w:trPr>
          <w:cantSplit/>
        </w:trPr>
        <w:tc>
          <w:tcPr>
            <w:tcW w:type="dxa" w:w="582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Domande in procedura di frontiera (paesi &lt; 20%)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60,0k</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60,0k</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60,0k</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60,0k</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60,0k</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60,0k</w:t>
            </w:r>
          </w:p>
        </w:tc>
      </w:tr>
      <w:tr>
        <w:trPr>
          <w:cantSplit/>
        </w:trPr>
        <w:tc>
          <w:tcPr>
            <w:tcW w:type="dxa" w:w="582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Allontanamenti di cittadini UE</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2.000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4.000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5.000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5.000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5.000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5.000</w:t>
            </w:r>
          </w:p>
        </w:tc>
      </w:tr>
      <w:tr>
        <w:trPr>
          <w:cantSplit/>
        </w:trPr>
        <w:tc>
          <w:tcPr>
            <w:tcW w:type="dxa" w:w="582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Rientri volontari in Ucraina</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40,0k</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80,6k</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w:t>
            </w:r>
          </w:p>
        </w:tc>
      </w:tr>
      <w:tr>
        <w:trPr>
          <w:cantSplit/>
        </w:trPr>
        <w:tc>
          <w:tcPr>
            <w:tcW w:type="dxa" w:w="582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Revoche di cittadinanza e rimpatri Fase 3 (dopo la riforma)</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2.000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3.000</w:t>
            </w:r>
          </w:p>
        </w:tc>
      </w:tr>
      <w:tr>
        <w:trPr>
          <w:cantSplit/>
        </w:trPr>
        <w:tc>
          <w:tcPr>
            <w:tcW w:type="dxa" w:w="582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Rientri volontari incentivati Fase 3</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1.000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3.000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5.000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8.000</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10,0k</w:t>
            </w:r>
          </w:p>
        </w:tc>
        <w:tc>
          <w:tcPr>
            <w:tcW w:type="dxa" w:w="1457"/>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10,0k</w:t>
            </w:r>
          </w:p>
        </w:tc>
      </w:tr>
    </w:tbl>
    <w:p>
      <w:pPr>
        <w:spacing w:after="120"/>
      </w:pPr>
    </w:p>
    <w:p>
      <w:pPr>
        <w:pStyle w:val="Heading2"/>
      </w:pPr>
      <w:r>
        <w:t xml:space="preserve">Costi per anno, milioni di euro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954"/>
        <w:gridCol w:w="1311"/>
        <w:gridCol w:w="1311"/>
        <w:gridCol w:w="1311"/>
        <w:gridCol w:w="1311"/>
        <w:gridCol w:w="1311"/>
        <w:gridCol w:w="1311"/>
        <w:gridCol w:w="1748"/>
      </w:tblGrid>
      <w:tr>
        <w:trPr>
          <w:cantSplit/>
          <w:tblHeader/>
        </w:trPr>
        <w:tc>
          <w:tcPr>
            <w:tcW w:type="dxa" w:w="495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Voce</w:t>
            </w:r>
          </w:p>
        </w:tc>
        <w:tc>
          <w:tcPr>
            <w:tcW w:type="dxa" w:w="1311"/>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2027</w:t>
            </w:r>
          </w:p>
        </w:tc>
        <w:tc>
          <w:tcPr>
            <w:tcW w:type="dxa" w:w="1311"/>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2028</w:t>
            </w:r>
          </w:p>
        </w:tc>
        <w:tc>
          <w:tcPr>
            <w:tcW w:type="dxa" w:w="1311"/>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2029</w:t>
            </w:r>
          </w:p>
        </w:tc>
        <w:tc>
          <w:tcPr>
            <w:tcW w:type="dxa" w:w="1311"/>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2030</w:t>
            </w:r>
          </w:p>
        </w:tc>
        <w:tc>
          <w:tcPr>
            <w:tcW w:type="dxa" w:w="1311"/>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2031</w:t>
            </w:r>
          </w:p>
        </w:tc>
        <w:tc>
          <w:tcPr>
            <w:tcW w:type="dxa" w:w="1311"/>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2032</w:t>
            </w:r>
          </w:p>
        </w:tc>
        <w:tc>
          <w:tcPr>
            <w:tcW w:type="dxa" w:w="17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Totale 2027-32</w:t>
            </w:r>
          </w:p>
        </w:tc>
      </w:tr>
      <w:tr>
        <w:trPr>
          <w:cantSplit/>
        </w:trPr>
        <w:tc>
          <w:tcPr>
            <w:tcW w:type="dxa" w:w="49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Rimpatri volontari</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6,9</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20,3</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55,1</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104,5</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116,8</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123</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426,7</w:t>
            </w:r>
          </w:p>
        </w:tc>
      </w:tr>
      <w:tr>
        <w:trPr>
          <w:cantSplit/>
        </w:trPr>
        <w:tc>
          <w:tcPr>
            <w:tcW w:type="dxa" w:w="49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Rimpatri forzati: trasporto</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33,6</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57,8</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100,8</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127,5</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142,5</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150</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612,1</w:t>
            </w:r>
          </w:p>
        </w:tc>
      </w:tr>
      <w:tr>
        <w:trPr>
          <w:cantSplit/>
        </w:trPr>
        <w:tc>
          <w:tcPr>
            <w:tcW w:type="dxa" w:w="49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Rimpatri forzati: trattenimento in CPR</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59,1</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66,7</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91,5</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92,6</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103,5</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108,9</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522,2</w:t>
            </w:r>
          </w:p>
        </w:tc>
      </w:tr>
      <w:tr>
        <w:trPr>
          <w:cantSplit/>
        </w:trPr>
        <w:tc>
          <w:tcPr>
            <w:tcW w:type="dxa" w:w="49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CPR: capex posti aggiuntivi</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17,9</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4,6</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15,2</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0,7</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6,7</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3,4</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48,5</w:t>
            </w:r>
          </w:p>
        </w:tc>
      </w:tr>
      <w:tr>
        <w:trPr>
          <w:cantSplit/>
        </w:trPr>
        <w:tc>
          <w:tcPr>
            <w:tcW w:type="dxa" w:w="49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Procedure di frontiera (CTRA), costo aggiuntivo</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12</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12</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12</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12</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12</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12</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72</w:t>
            </w:r>
          </w:p>
        </w:tc>
      </w:tr>
      <w:tr>
        <w:trPr>
          <w:cantSplit/>
        </w:trPr>
        <w:tc>
          <w:tcPr>
            <w:tcW w:type="dxa" w:w="49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Espulsioni di detenuti (trasporto)</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6,8</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13,6</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20,4</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23,8</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27,2</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27,2</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119</w:t>
            </w:r>
          </w:p>
        </w:tc>
      </w:tr>
      <w:tr>
        <w:trPr>
          <w:cantSplit/>
        </w:trPr>
        <w:tc>
          <w:tcPr>
            <w:tcW w:type="dxa" w:w="49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Allontanamenti UE</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4</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26</w:t>
            </w:r>
          </w:p>
        </w:tc>
      </w:tr>
      <w:tr>
        <w:trPr>
          <w:cantSplit/>
        </w:trPr>
        <w:tc>
          <w:tcPr>
            <w:tcW w:type="dxa" w:w="49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Rientri in Ucraina</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40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80,6</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120,6</w:t>
            </w:r>
          </w:p>
        </w:tc>
      </w:tr>
      <w:tr>
        <w:trPr>
          <w:cantSplit/>
        </w:trPr>
        <w:tc>
          <w:tcPr>
            <w:tcW w:type="dxa" w:w="49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Fase 3: rimpatri di condannati e rientri volontari incentivati</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30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81,7</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106,8</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110,2</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388,7</w:t>
            </w:r>
          </w:p>
        </w:tc>
      </w:tr>
      <w:tr>
        <w:trPr>
          <w:cantSplit/>
        </w:trPr>
        <w:tc>
          <w:tcPr>
            <w:tcW w:type="dxa" w:w="49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Organizzazione (autorità unica, personale)</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50</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300</w:t>
            </w:r>
          </w:p>
        </w:tc>
      </w:tr>
      <w:tr>
        <w:trPr>
          <w:cantSplit/>
        </w:trPr>
        <w:tc>
          <w:tcPr>
            <w:tcW w:type="dxa" w:w="49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Fascicolo digitale (una tantum 2027)</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0</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20</w:t>
            </w:r>
          </w:p>
        </w:tc>
      </w:tr>
      <w:tr>
        <w:trPr>
          <w:cantSplit/>
        </w:trPr>
        <w:tc>
          <w:tcPr>
            <w:tcW w:type="dxa" w:w="49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Incentivi ai paesi d’origine</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100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100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100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100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100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100</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600</w:t>
            </w:r>
          </w:p>
        </w:tc>
      </w:tr>
      <w:tr>
        <w:trPr>
          <w:cantSplit/>
        </w:trPr>
        <w:tc>
          <w:tcPr>
            <w:tcW w:type="dxa" w:w="495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TOTALE COSTI</w:t>
            </w:r>
          </w:p>
        </w:tc>
        <w:tc>
          <w:tcPr>
            <w:tcW w:type="dxa" w:w="1311"/>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3"/>
                <w:szCs w:val="13"/>
              </w:rPr>
              <w:t xml:space="preserve">358,3</w:t>
            </w:r>
          </w:p>
        </w:tc>
        <w:tc>
          <w:tcPr>
            <w:tcW w:type="dxa" w:w="1311"/>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3"/>
                <w:szCs w:val="13"/>
              </w:rPr>
              <w:t xml:space="preserve">439,6</w:t>
            </w:r>
          </w:p>
        </w:tc>
        <w:tc>
          <w:tcPr>
            <w:tcW w:type="dxa" w:w="1311"/>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3"/>
                <w:szCs w:val="13"/>
              </w:rPr>
              <w:t xml:space="preserve">500,0</w:t>
            </w:r>
          </w:p>
        </w:tc>
        <w:tc>
          <w:tcPr>
            <w:tcW w:type="dxa" w:w="1311"/>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3"/>
                <w:szCs w:val="13"/>
              </w:rPr>
              <w:t xml:space="preserve">597,8</w:t>
            </w:r>
          </w:p>
        </w:tc>
        <w:tc>
          <w:tcPr>
            <w:tcW w:type="dxa" w:w="1311"/>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3"/>
                <w:szCs w:val="13"/>
              </w:rPr>
              <w:t xml:space="preserve">670,5</w:t>
            </w:r>
          </w:p>
        </w:tc>
        <w:tc>
          <w:tcPr>
            <w:tcW w:type="dxa" w:w="1311"/>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3"/>
                <w:szCs w:val="13"/>
              </w:rPr>
              <w:t xml:space="preserve">689,7</w:t>
            </w:r>
          </w:p>
        </w:tc>
        <w:tc>
          <w:tcPr>
            <w:tcW w:type="dxa" w:w="1748"/>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3"/>
                <w:szCs w:val="13"/>
              </w:rPr>
              <w:t xml:space="preserve">3.255,8</w:t>
            </w:r>
          </w:p>
        </w:tc>
      </w:tr>
    </w:tbl>
    <w:p>
      <w:pPr>
        <w:spacing w:after="120"/>
      </w:pPr>
    </w:p>
    <w:p>
      <w:pPr>
        <w:pStyle w:val="Heading2"/>
      </w:pPr>
      <w:r>
        <w:t xml:space="preserve">Risparmi, costo netto e costo per rimpatrio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954"/>
        <w:gridCol w:w="1311"/>
        <w:gridCol w:w="1311"/>
        <w:gridCol w:w="1311"/>
        <w:gridCol w:w="1311"/>
        <w:gridCol w:w="1311"/>
        <w:gridCol w:w="1311"/>
        <w:gridCol w:w="1748"/>
      </w:tblGrid>
      <w:tr>
        <w:trPr>
          <w:cantSplit/>
          <w:tblHeader/>
        </w:trPr>
        <w:tc>
          <w:tcPr>
            <w:tcW w:type="dxa" w:w="495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Voce</w:t>
            </w:r>
          </w:p>
        </w:tc>
        <w:tc>
          <w:tcPr>
            <w:tcW w:type="dxa" w:w="1311"/>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2027</w:t>
            </w:r>
          </w:p>
        </w:tc>
        <w:tc>
          <w:tcPr>
            <w:tcW w:type="dxa" w:w="1311"/>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2028</w:t>
            </w:r>
          </w:p>
        </w:tc>
        <w:tc>
          <w:tcPr>
            <w:tcW w:type="dxa" w:w="1311"/>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2029</w:t>
            </w:r>
          </w:p>
        </w:tc>
        <w:tc>
          <w:tcPr>
            <w:tcW w:type="dxa" w:w="1311"/>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2030</w:t>
            </w:r>
          </w:p>
        </w:tc>
        <w:tc>
          <w:tcPr>
            <w:tcW w:type="dxa" w:w="1311"/>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2031</w:t>
            </w:r>
          </w:p>
        </w:tc>
        <w:tc>
          <w:tcPr>
            <w:tcW w:type="dxa" w:w="1311"/>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2032</w:t>
            </w:r>
          </w:p>
        </w:tc>
        <w:tc>
          <w:tcPr>
            <w:tcW w:type="dxa" w:w="1748"/>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Totale 2027-32</w:t>
            </w:r>
          </w:p>
        </w:tc>
      </w:tr>
      <w:tr>
        <w:trPr>
          <w:cantSplit/>
        </w:trPr>
        <w:tc>
          <w:tcPr>
            <w:tcW w:type="dxa" w:w="49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Accoglienza evitata (diniegati rimpatriati prima)</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44,1</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86,6</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176,4</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267,8</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299,2</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315</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1.189,1</w:t>
            </w:r>
          </w:p>
        </w:tc>
      </w:tr>
      <w:tr>
        <w:trPr>
          <w:cantSplit/>
        </w:trPr>
        <w:tc>
          <w:tcPr>
            <w:tcW w:type="dxa" w:w="49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Carcere evitato (espulsioni alternative e trasferimenti)</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76,7</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153,3</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229,9</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281,1</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306,6</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306,6</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1.354,2</w:t>
            </w:r>
          </w:p>
        </w:tc>
      </w:tr>
      <w:tr>
        <w:trPr>
          <w:cantSplit/>
        </w:trPr>
        <w:tc>
          <w:tcPr>
            <w:tcW w:type="dxa" w:w="49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CPR: giorni risparmiati rispetto ai 148 attuali</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13,8</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43,0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89,0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135,8</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151,7</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159,7</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593,0</w:t>
            </w:r>
          </w:p>
        </w:tc>
      </w:tr>
      <w:tr>
        <w:trPr>
          <w:cantSplit/>
        </w:trPr>
        <w:tc>
          <w:tcPr>
            <w:tcW w:type="dxa" w:w="495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TOTALE RISPARMI</w:t>
            </w:r>
          </w:p>
        </w:tc>
        <w:tc>
          <w:tcPr>
            <w:tcW w:type="dxa" w:w="1311"/>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3"/>
                <w:szCs w:val="13"/>
              </w:rPr>
              <w:t xml:space="preserve">134,5</w:t>
            </w:r>
          </w:p>
        </w:tc>
        <w:tc>
          <w:tcPr>
            <w:tcW w:type="dxa" w:w="1311"/>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3"/>
                <w:szCs w:val="13"/>
              </w:rPr>
              <w:t xml:space="preserve">282,9</w:t>
            </w:r>
          </w:p>
        </w:tc>
        <w:tc>
          <w:tcPr>
            <w:tcW w:type="dxa" w:w="1311"/>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3"/>
                <w:szCs w:val="13"/>
              </w:rPr>
              <w:t xml:space="preserve">495,4</w:t>
            </w:r>
          </w:p>
        </w:tc>
        <w:tc>
          <w:tcPr>
            <w:tcW w:type="dxa" w:w="1311"/>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3"/>
                <w:szCs w:val="13"/>
              </w:rPr>
              <w:t xml:space="preserve">684,6</w:t>
            </w:r>
          </w:p>
        </w:tc>
        <w:tc>
          <w:tcPr>
            <w:tcW w:type="dxa" w:w="1311"/>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3"/>
                <w:szCs w:val="13"/>
              </w:rPr>
              <w:t xml:space="preserve">757,6</w:t>
            </w:r>
          </w:p>
        </w:tc>
        <w:tc>
          <w:tcPr>
            <w:tcW w:type="dxa" w:w="1311"/>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3"/>
                <w:szCs w:val="13"/>
              </w:rPr>
              <w:t xml:space="preserve">781,3</w:t>
            </w:r>
          </w:p>
        </w:tc>
        <w:tc>
          <w:tcPr>
            <w:tcW w:type="dxa" w:w="1748"/>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3"/>
                <w:szCs w:val="13"/>
              </w:rPr>
              <w:t xml:space="preserve">3.136,3</w:t>
            </w:r>
          </w:p>
        </w:tc>
      </w:tr>
      <w:tr>
        <w:trPr>
          <w:cantSplit/>
        </w:trPr>
        <w:tc>
          <w:tcPr>
            <w:tcW w:type="dxa" w:w="4954"/>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left"/>
            </w:pPr>
            <w:r>
              <w:rPr>
                <w:rFonts w:ascii="Arial" w:cs="Arial" w:eastAsia="Arial" w:hAnsi="Arial"/>
                <w:b/>
                <w:bCs/>
                <w:color w:val="1A2340"/>
                <w:sz w:val="13"/>
                <w:szCs w:val="13"/>
              </w:rPr>
              <w:t xml:space="preserve">COSTO NETTO (costi − risparmi)</w:t>
            </w:r>
          </w:p>
        </w:tc>
        <w:tc>
          <w:tcPr>
            <w:tcW w:type="dxa" w:w="1311"/>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3"/>
                <w:szCs w:val="13"/>
              </w:rPr>
              <w:t xml:space="preserve">223,7</w:t>
            </w:r>
          </w:p>
        </w:tc>
        <w:tc>
          <w:tcPr>
            <w:tcW w:type="dxa" w:w="1311"/>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3"/>
                <w:szCs w:val="13"/>
              </w:rPr>
              <w:t xml:space="preserve">156,7</w:t>
            </w:r>
          </w:p>
        </w:tc>
        <w:tc>
          <w:tcPr>
            <w:tcW w:type="dxa" w:w="1311"/>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3"/>
                <w:szCs w:val="13"/>
              </w:rPr>
              <w:t xml:space="preserve">4,6</w:t>
            </w:r>
          </w:p>
        </w:tc>
        <w:tc>
          <w:tcPr>
            <w:tcW w:type="dxa" w:w="1311"/>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3"/>
                <w:szCs w:val="13"/>
              </w:rPr>
              <w:t xml:space="preserve">-86,8</w:t>
            </w:r>
          </w:p>
        </w:tc>
        <w:tc>
          <w:tcPr>
            <w:tcW w:type="dxa" w:w="1311"/>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3"/>
                <w:szCs w:val="13"/>
              </w:rPr>
              <w:t xml:space="preserve">-87,1</w:t>
            </w:r>
          </w:p>
        </w:tc>
        <w:tc>
          <w:tcPr>
            <w:tcW w:type="dxa" w:w="1311"/>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3"/>
                <w:szCs w:val="13"/>
              </w:rPr>
              <w:t xml:space="preserve">-91,7</w:t>
            </w:r>
          </w:p>
        </w:tc>
        <w:tc>
          <w:tcPr>
            <w:tcW w:type="dxa" w:w="1748"/>
            <w:tcBorders>
              <w:top w:val="single" w:color="D6DDEC" w:sz="4"/>
              <w:left w:val="single" w:color="D6DDEC" w:sz="4"/>
              <w:bottom w:val="single" w:color="D6DDEC" w:sz="4"/>
              <w:right w:val="single" w:color="D6DDEC" w:sz="4"/>
            </w:tcBorders>
            <w:shd w:fill="EEF2F9" w:color="auto" w:val="clear"/>
            <w:tcMar>
              <w:top w:type="dxa" w:w="50"/>
              <w:left w:type="dxa" w:w="90"/>
              <w:bottom w:type="dxa" w:w="50"/>
              <w:right w:type="dxa" w:w="90"/>
            </w:tcMar>
          </w:tcPr>
          <w:p>
            <w:pPr>
              <w:jc w:val="right"/>
            </w:pPr>
            <w:r>
              <w:rPr>
                <w:rFonts w:ascii="Arial" w:cs="Arial" w:eastAsia="Arial" w:hAnsi="Arial"/>
                <w:b/>
                <w:bCs/>
                <w:color w:val="1A2340"/>
                <w:sz w:val="13"/>
                <w:szCs w:val="13"/>
              </w:rPr>
              <w:t xml:space="preserve">119,5</w:t>
            </w:r>
          </w:p>
        </w:tc>
      </w:tr>
      <w:tr>
        <w:trPr>
          <w:cantSplit/>
        </w:trPr>
        <w:tc>
          <w:tcPr>
            <w:tcW w:type="dxa" w:w="49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Costo per rimpatrio eseguito (€, lordo)</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25,6k</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15.985,0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8.929,0</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7.032,8</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7.057,9</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6.896,6</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
            </w:r>
          </w:p>
        </w:tc>
      </w:tr>
      <w:tr>
        <w:trPr>
          <w:cantSplit/>
        </w:trPr>
        <w:tc>
          <w:tcPr>
            <w:tcW w:type="dxa" w:w="49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Costo variabile per rimpatrio (€): trasporto, trattenimento, incentivi</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7.116</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5.263,5</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4.417,5</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3.819</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3.819</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3.819</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
            </w:r>
          </w:p>
        </w:tc>
      </w:tr>
      <w:tr>
        <w:trPr>
          <w:cantSplit/>
        </w:trPr>
        <w:tc>
          <w:tcPr>
            <w:tcW w:type="dxa" w:w="49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Costo per rimpatrio eseguito (€, netto)</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15.980,4</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5.697,3</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82,8</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-1.020,9</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-916,6</w:t>
            </w:r>
          </w:p>
        </w:tc>
        <w:tc>
          <w:tcPr>
            <w:tcW w:type="dxa" w:w="131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-916,6</w:t>
            </w:r>
          </w:p>
        </w:tc>
        <w:tc>
          <w:tcPr>
            <w:tcW w:type="dxa" w:w="1748"/>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
            </w:r>
          </w:p>
        </w:tc>
      </w:tr>
    </w:tbl>
    <w:p>
      <w:pPr>
        <w:spacing w:after="120"/>
      </w:pPr>
    </w:p>
    <w:p>
      <w:pPr>
        <w:pStyle w:val="Heading2"/>
      </w:pPr>
      <w:r>
        <w:t xml:space="preserve">Riferimenti di spesa attuale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9"/>
        <w:gridCol w:w="4371"/>
      </w:tblGrid>
      <w:tr>
        <w:trPr>
          <w:cantSplit/>
          <w:tblHeader/>
        </w:trPr>
        <w:tc>
          <w:tcPr>
            <w:tcW w:type="dxa" w:w="10199"/>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Voce</w:t>
            </w:r>
          </w:p>
        </w:tc>
        <w:tc>
          <w:tcPr>
            <w:tcW w:type="dxa" w:w="4371"/>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Valore</w:t>
            </w:r>
          </w:p>
        </w:tc>
      </w:tr>
      <w:tr>
        <w:trPr>
          <w:cantSplit/>
        </w:trPr>
        <w:tc>
          <w:tcPr>
            <w:tcW w:type="dxa" w:w="101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Sistema CPR e CTRA, spesa 2024 (M€)</w:t>
            </w:r>
          </w:p>
        </w:tc>
        <w:tc>
          <w:tcPr>
            <w:tcW w:type="dxa" w:w="437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96</w:t>
            </w:r>
          </w:p>
        </w:tc>
      </w:tr>
      <w:tr>
        <w:trPr>
          <w:cantSplit/>
        </w:trPr>
        <w:tc>
          <w:tcPr>
            <w:tcW w:type="dxa" w:w="101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Centri in Albania: contratti di costruzione (M€)</w:t>
            </w:r>
          </w:p>
        </w:tc>
        <w:tc>
          <w:tcPr>
            <w:tcW w:type="dxa" w:w="437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74,2</w:t>
            </w:r>
          </w:p>
        </w:tc>
      </w:tr>
      <w:tr>
        <w:trPr>
          <w:cantSplit/>
        </w:trPr>
        <w:tc>
          <w:tcPr>
            <w:tcW w:type="dxa" w:w="101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Centri in Albania: preventivo 5 anni (M€)</w:t>
            </w:r>
          </w:p>
        </w:tc>
        <w:tc>
          <w:tcPr>
            <w:tcW w:type="dxa" w:w="437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650</w:t>
            </w:r>
          </w:p>
        </w:tc>
      </w:tr>
      <w:tr>
        <w:trPr>
          <w:cantSplit/>
        </w:trPr>
        <w:tc>
          <w:tcPr>
            <w:tcW w:type="dxa" w:w="101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Sistema di accoglienza, spesa al giorno 2022 (M€)</w:t>
            </w:r>
          </w:p>
        </w:tc>
        <w:tc>
          <w:tcPr>
            <w:tcW w:type="dxa" w:w="437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4</w:t>
            </w:r>
          </w:p>
        </w:tc>
      </w:tr>
      <w:tr>
        <w:trPr>
          <w:cantSplit/>
        </w:trPr>
        <w:tc>
          <w:tcPr>
            <w:tcW w:type="dxa" w:w="101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Rimpatrio da CPR, costo medio 2025 (€)</w:t>
            </w:r>
          </w:p>
        </w:tc>
        <w:tc>
          <w:tcPr>
            <w:tcW w:type="dxa" w:w="437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16,6k</w:t>
            </w:r>
          </w:p>
        </w:tc>
      </w:tr>
      <w:tr>
        <w:trPr>
          <w:cantSplit/>
        </w:trPr>
        <w:tc>
          <w:tcPr>
            <w:tcW w:type="dxa" w:w="101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3"/>
                <w:szCs w:val="13"/>
              </w:rPr>
              <w:t xml:space="preserve">Frontex, costo medio per rimpatrio 2024 (€)</w:t>
            </w:r>
          </w:p>
        </w:tc>
        <w:tc>
          <w:tcPr>
            <w:tcW w:type="dxa" w:w="4371"/>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3"/>
                <w:szCs w:val="13"/>
              </w:rPr>
              <w:t xml:space="preserve">2.600</w:t>
            </w:r>
          </w:p>
        </w:tc>
      </w:tr>
    </w:tbl>
    <w:p>
      <w:pPr>
        <w:spacing w:after="120"/>
      </w:pPr>
    </w:p>
    <w:p>
      <w:pPr>
        <w:spacing w:after="140"/>
      </w:pPr>
      <w:r>
        <w:rPr>
          <w:rFonts w:ascii="Arial" w:cs="Arial" w:eastAsia="Arial" w:hAnsi="Arial"/>
          <w:color w:val="1A2340"/>
          <w:sz w:val="19"/>
          <w:szCs w:val="19"/>
        </w:rPr>
        <w:t xml:space="preserve">Lettura. Il costo lordo del programma sale da 360 a 690 milioni l’anno man mano che i rimpatri passano da 14 mila a 100 mila, contro i 96 milioni spesi nel 2024 per il solo sistema di trattenimento. La parte variabile (trasporto, trattenimento, incentivi) scende da 7,1 mila a 3,8 mila euro per rimpatrio; le parti fisse (organizzazione 50 milioni, incentivi ai paesi d’origine 100 milioni) sono ciò che oggi manca. I risparmi dipendono da due ipotesi forti: che i diniegati rimpatriati escano dall’accoglienza sei mesi prima e che le espulsioni alternative alla pena evitino un anno di carcere a 140 euro al giorno. Con quelle ipotesi il programma si ripaga dal 2029; senza, il costo netto resta tra 300 e 400 milioni l’anno.</w:t>
      </w:r>
    </w:p>
    <w:p>
      <w:pPr>
        <w:sectPr>
          <w:footerReference w:type="default" r:id="rId8"/>
          <w:pgSz w:w="16838" w:h="11906" w:orient="landscape"/>
          <w:pgMar w:top="1134" w:right="1134" w:bottom="1134" w:left="1134" w:header="708" w:footer="708" w:gutter="0"/>
          <w:pgNumType/>
          <w:docGrid w:linePitch="360"/>
        </w:sectPr>
      </w:pPr>
    </w:p>
    <w:p>
      <w:pPr>
        <w:pStyle w:val="Heading1"/>
      </w:pPr>
      <w:r>
        <w:t xml:space="preserve">10. Il contesto europeo</w:t>
      </w:r>
    </w:p>
    <w:p>
      <w:pPr>
        <w:spacing w:after="140"/>
      </w:pPr>
      <w:r>
        <w:rPr>
          <w:rFonts w:ascii="Arial" w:cs="Arial" w:eastAsia="Arial" w:hAnsi="Arial"/>
          <w:color w:val="1A2340"/>
          <w:sz w:val="19"/>
          <w:szCs w:val="19"/>
        </w:rPr>
        <w:t xml:space="preserve">Nel 2025 l’UE ha emesso 486,7 mila ordini ed eseguito 139,3 mila rimpatri (28,6%). Con l’obiettivo del 100%, i rimpatri mancanti sono 347,4 mila l’anno: la Francia da sola ne vale 122,6 mila, l’Italia 16,5 mila. Dieci paesi sono già sopra il 60%.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735"/>
        <w:gridCol w:w="1735"/>
        <w:gridCol w:w="1349"/>
        <w:gridCol w:w="2120"/>
      </w:tblGrid>
      <w:tr>
        <w:trPr>
          <w:cantSplit/>
          <w:tblHeader/>
        </w:trPr>
        <w:tc>
          <w:tcPr>
            <w:tcW w:type="dxa" w:w="2699"/>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Paese</w:t>
            </w:r>
          </w:p>
        </w:tc>
        <w:tc>
          <w:tcPr>
            <w:tcW w:type="dxa" w:w="1735"/>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Ordini 2025</w:t>
            </w:r>
          </w:p>
        </w:tc>
        <w:tc>
          <w:tcPr>
            <w:tcW w:type="dxa" w:w="1735"/>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Rimpatri 2025</w:t>
            </w:r>
          </w:p>
        </w:tc>
        <w:tc>
          <w:tcPr>
            <w:tcW w:type="dxa" w:w="1349"/>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Tasso</w:t>
            </w:r>
          </w:p>
        </w:tc>
        <w:tc>
          <w:tcPr>
            <w:tcW w:type="dxa" w:w="2120"/>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right"/>
            </w:pPr>
            <w:r>
              <w:rPr>
                <w:rFonts w:ascii="Arial" w:cs="Arial" w:eastAsia="Arial" w:hAnsi="Arial"/>
                <w:b/>
                <w:bCs/>
                <w:color w:val="FFFFFF"/>
                <w:sz w:val="15"/>
                <w:szCs w:val="15"/>
              </w:rPr>
              <w:t xml:space="preserve">Rimpatri mancanti al 100%</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Ungheria</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9.080</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4.135</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45,5%</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4.945</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Irlanda</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6.260</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2.030</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32,4%</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4.230</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Repubblica Ceca</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5.250</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3.180</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60,6%</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2.070</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Finlandia</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5.070</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1.820</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35,9%</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3.250</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Lituania</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4.900</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4.545</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92,8%</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355</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Bulgaria</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3.880</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1.150</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29,6%</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2.730</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Romania</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2.860</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775</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27,1%</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2.085</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Lettonia</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2.640</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2.280</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86,4%</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360</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Danimarca</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2.280</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975</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42,8%</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1.305</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Lussemburgo</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1.340</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370</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27,6%</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970</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Malta</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1.090</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1.065</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97,7%</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25</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Slovenia</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880</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175</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19,9%</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705</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Estonia</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660</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565</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85,6%</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95</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Germania</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55,2k</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29,3k</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53,0%</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25,9k</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Spagna</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53,7k</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5.705</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10,6%</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48,0k</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Slovacchia</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500</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395</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79,0%</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105</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Paesi Bassi</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31,2k</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4.825</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15,4%</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26,4k</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Grecia</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26,6k</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5.050</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19,0%</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21,6k</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Belgio</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25,3k</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4.955</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19,6%</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20,4k</w:t>
            </w:r>
          </w:p>
        </w:tc>
      </w:tr>
      <w:tr>
        <w:trPr>
          <w:cantSplit/>
        </w:trPr>
        <w:tc>
          <w:tcPr>
            <w:tcW w:type="dxa" w:w="2699"/>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b/>
                <w:bCs/>
                <w:color w:val="1A2340"/>
                <w:sz w:val="15"/>
                <w:szCs w:val="15"/>
              </w:rPr>
              <w:t xml:space="preserve">Italia</w:t>
            </w:r>
          </w:p>
        </w:tc>
        <w:tc>
          <w:tcPr>
            <w:tcW w:type="dxa" w:w="1735"/>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21,3k</w:t>
            </w:r>
          </w:p>
        </w:tc>
        <w:tc>
          <w:tcPr>
            <w:tcW w:type="dxa" w:w="1735"/>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4.780</w:t>
            </w:r>
          </w:p>
        </w:tc>
        <w:tc>
          <w:tcPr>
            <w:tcW w:type="dxa" w:w="1349"/>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22,4%</w:t>
            </w:r>
          </w:p>
        </w:tc>
        <w:tc>
          <w:tcPr>
            <w:tcW w:type="dxa" w:w="2120"/>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right"/>
            </w:pPr>
            <w:r>
              <w:rPr>
                <w:rFonts w:ascii="Arial" w:cs="Arial" w:eastAsia="Arial" w:hAnsi="Arial"/>
                <w:b/>
                <w:bCs/>
                <w:color w:val="1A2340"/>
                <w:sz w:val="15"/>
                <w:szCs w:val="15"/>
              </w:rPr>
              <w:t xml:space="preserve">16,5k</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Svezia</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18,3k</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11,2k</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61,3%</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7.090</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Portogallo</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18,2k</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825</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4,5%</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17,4k</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Cipro</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15,2k</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10,6k</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70,0%</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4.555</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Polonia</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14,8k</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9.690</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65,7%</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5.070</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Francia</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138k</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14,9k</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10,9%</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123k</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Croazia</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11,3k</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6.560</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57,9%</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4.770</w:t>
            </w:r>
          </w:p>
        </w:tc>
      </w:tr>
      <w:tr>
        <w:trPr>
          <w:cantSplit/>
        </w:trPr>
        <w:tc>
          <w:tcPr>
            <w:tcW w:type="dxa" w:w="269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Austria</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11,2k</w:t>
            </w:r>
          </w:p>
        </w:tc>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7.305</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65,4%</w:t>
            </w:r>
          </w:p>
        </w:tc>
        <w:tc>
          <w:tcPr>
            <w:tcW w:type="dxa" w:w="2120"/>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right"/>
            </w:pPr>
            <w:r>
              <w:rPr>
                <w:rFonts w:ascii="Arial" w:cs="Arial" w:eastAsia="Arial" w:hAnsi="Arial"/>
                <w:color w:val="1A2340"/>
                <w:sz w:val="15"/>
                <w:szCs w:val="15"/>
              </w:rPr>
              <w:t xml:space="preserve">3.860</w:t>
            </w:r>
          </w:p>
        </w:tc>
      </w:tr>
    </w:tbl>
    <w:p>
      <w:pPr>
        <w:spacing w:after="120"/>
      </w:pPr>
    </w:p>
    <w:p>
      <w:pPr>
        <w:pStyle w:val="Heading1"/>
      </w:pPr>
      <w:r>
        <w:t xml:space="preserve">11. Rapporto con il programma di Futuro Nazionale</w:t>
      </w:r>
    </w:p>
    <w:p>
      <w:pPr>
        <w:spacing w:after="140"/>
      </w:pPr>
      <w:r>
        <w:rPr>
          <w:rFonts w:ascii="Arial" w:cs="Arial" w:eastAsia="Arial" w:hAnsi="Arial"/>
          <w:color w:val="1A2340"/>
          <w:sz w:val="19"/>
          <w:szCs w:val="19"/>
        </w:rPr>
        <w:t xml:space="preserve">Il capitolo 5 del programma (“Assimilazione e Remigrazione”, 22 misure) definisce la cornice e il perimetro largo: irregolari, regolari, naturalizzati, cittadini UE. Il GRP ne è la parte esecutiva e misurabile.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1349"/>
        <w:gridCol w:w="6554"/>
      </w:tblGrid>
      <w:tr>
        <w:trPr>
          <w:cantSplit/>
          <w:tblHeader/>
        </w:trPr>
        <w:tc>
          <w:tcPr>
            <w:tcW w:type="dxa" w:w="1735"/>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Misure</w:t>
            </w:r>
          </w:p>
        </w:tc>
        <w:tc>
          <w:tcPr>
            <w:tcW w:type="dxa" w:w="1349"/>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Fase GRP</w:t>
            </w:r>
          </w:p>
        </w:tc>
        <w:tc>
          <w:tcPr>
            <w:tcW w:type="dxa" w:w="6554"/>
            <w:tcBorders>
              <w:top w:val="single" w:color="D6DDEC" w:sz="4"/>
              <w:left w:val="single" w:color="D6DDEC" w:sz="4"/>
              <w:bottom w:val="single" w:color="D6DDEC" w:sz="4"/>
              <w:right w:val="single" w:color="D6DDEC" w:sz="4"/>
            </w:tcBorders>
            <w:shd w:fill="0C1A42" w:color="auto" w:val="clear"/>
            <w:tcMar>
              <w:top w:type="dxa" w:w="50"/>
              <w:left w:type="dxa" w:w="90"/>
              <w:bottom w:type="dxa" w:w="50"/>
              <w:right w:type="dxa" w:w="90"/>
            </w:tcMar>
          </w:tcPr>
          <w:p>
            <w:pPr>
              <w:jc w:val="left"/>
            </w:pPr>
            <w:r>
              <w:rPr>
                <w:rFonts w:ascii="Arial" w:cs="Arial" w:eastAsia="Arial" w:hAnsi="Arial"/>
                <w:b/>
                <w:bCs/>
                <w:color w:val="FFFFFF"/>
                <w:sz w:val="15"/>
                <w:szCs w:val="15"/>
              </w:rPr>
              <w:t xml:space="preserve">Rapporto</w:t>
            </w:r>
          </w:p>
        </w:tc>
      </w:tr>
      <w:tr>
        <w:trPr>
          <w:cantSplit/>
        </w:trPr>
        <w:tc>
          <w:tcPr>
            <w:tcW w:type="dxa" w:w="1735"/>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7, 10</w:t>
            </w:r>
          </w:p>
        </w:tc>
        <w:tc>
          <w:tcPr>
            <w:tcW w:type="dxa" w:w="1349"/>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1</w:t>
            </w:r>
          </w:p>
        </w:tc>
        <w:tc>
          <w:tcPr>
            <w:tcW w:type="dxa" w:w="6554"/>
            <w:tcBorders>
              <w:top w:val="single" w:color="D6DDEC" w:sz="4"/>
              <w:left w:val="single" w:color="D6DDEC" w:sz="4"/>
              <w:bottom w:val="single" w:color="D6DDEC" w:sz="4"/>
              <w:right w:val="single" w:color="D6DDEC" w:sz="4"/>
            </w:tcBorders>
            <w:shd w:fill="FDE8E4"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Sviluppate per intero: rimpatri, condannati, accordi, CPR, canale volontario, soluzioni alternative</w:t>
            </w:r>
          </w:p>
        </w:tc>
      </w:tr>
      <w:tr>
        <w:trPr>
          <w:cantSplit/>
        </w:trPr>
        <w:tc>
          <w:tcPr>
            <w:tcW w:type="dxa" w:w="1735"/>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8, 9, 19</w:t>
            </w:r>
          </w:p>
        </w:tc>
        <w:tc>
          <w:tcPr>
            <w:tcW w:type="dxa" w:w="1349"/>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2</w:t>
            </w:r>
          </w:p>
        </w:tc>
        <w:tc>
          <w:tcPr>
            <w:tcW w:type="dxa" w:w="6554"/>
            <w:tcBorders>
              <w:top w:val="single" w:color="D6DDEC" w:sz="4"/>
              <w:left w:val="single" w:color="D6DDEC" w:sz="4"/>
              <w:bottom w:val="single" w:color="D6DDEC" w:sz="4"/>
              <w:right w:val="single" w:color="D6DDEC" w:sz="4"/>
            </w:tcBorders>
            <w:shd w:fill="FBF0D3"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Sviluppate: permessi, asilo, lungo soggiornanti, rifugiati</w:t>
            </w:r>
          </w:p>
        </w:tc>
      </w:tr>
      <w:tr>
        <w:trPr>
          <w:cantSplit/>
        </w:trPr>
        <w:tc>
          <w:tcPr>
            <w:tcW w:type="dxa" w:w="1735"/>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2, 3, 4</w:t>
            </w:r>
          </w:p>
        </w:tc>
        <w:tc>
          <w:tcPr>
            <w:tcW w:type="dxa" w:w="1349"/>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3</w:t>
            </w:r>
          </w:p>
        </w:tc>
        <w:tc>
          <w:tcPr>
            <w:tcW w:type="dxa" w:w="6554"/>
            <w:tcBorders>
              <w:top w:val="single" w:color="D6DDEC" w:sz="4"/>
              <w:left w:val="single" w:color="D6DDEC" w:sz="4"/>
              <w:bottom w:val="single" w:color="D6DDEC" w:sz="4"/>
              <w:right w:val="single" w:color="D6DDEC" w:sz="4"/>
            </w:tcBorders>
            <w:shd w:fill="FFF2CC"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Quantificate con il percorso di legge: revoca 2027, riforma costituzionale 2027-2029, rientro volontario incentivato</w:t>
            </w:r>
          </w:p>
        </w:tc>
      </w:tr>
      <w:tr>
        <w:trPr>
          <w:cantSplit/>
        </w:trPr>
        <w:tc>
          <w:tcPr>
            <w:tcW w:type="dxa" w:w="1735"/>
            <w:tcBorders>
              <w:top w:val="single" w:color="D6DDEC" w:sz="4"/>
              <w:left w:val="single" w:color="D6DDEC" w:sz="4"/>
              <w:bottom w:val="single" w:color="D6DDEC" w:sz="4"/>
              <w:right w:val="single" w:color="D6DDEC" w:sz="4"/>
            </w:tcBorders>
            <w:shd w:fill="DDEBF7"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1, 5, 6</w:t>
            </w:r>
          </w:p>
        </w:tc>
        <w:tc>
          <w:tcPr>
            <w:tcW w:type="dxa" w:w="1349"/>
            <w:tcBorders>
              <w:top w:val="single" w:color="D6DDEC" w:sz="4"/>
              <w:left w:val="single" w:color="D6DDEC" w:sz="4"/>
              <w:bottom w:val="single" w:color="D6DDEC" w:sz="4"/>
              <w:right w:val="single" w:color="D6DDEC" w:sz="4"/>
            </w:tcBorders>
            <w:shd w:fill="DDEBF7"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Fase 4</w:t>
            </w:r>
          </w:p>
        </w:tc>
        <w:tc>
          <w:tcPr>
            <w:tcW w:type="dxa" w:w="6554"/>
            <w:tcBorders>
              <w:top w:val="single" w:color="D6DDEC" w:sz="4"/>
              <w:left w:val="single" w:color="D6DDEC" w:sz="4"/>
              <w:bottom w:val="single" w:color="D6DDEC" w:sz="4"/>
              <w:right w:val="single" w:color="D6DDEC" w:sz="4"/>
            </w:tcBorders>
            <w:shd w:fill="DDEBF7" w:color="auto" w:val="clear"/>
            <w:tcMar>
              <w:top w:type="dxa" w:w="50"/>
              <w:left w:type="dxa" w:w="90"/>
              <w:bottom w:type="dxa" w:w="50"/>
              <w:right w:type="dxa" w:w="90"/>
            </w:tcMar>
          </w:tcPr>
          <w:p>
            <w:pPr>
              <w:jc w:val="left"/>
            </w:pPr>
            <w:r>
              <w:rPr>
                <w:rFonts w:ascii="Arial" w:cs="Arial" w:eastAsia="Arial" w:hAnsi="Arial"/>
                <w:color w:val="1A2340"/>
                <w:sz w:val="15"/>
                <w:szCs w:val="15"/>
              </w:rPr>
              <w:t xml:space="preserve">Romania e protezione temporanea: obiettivi dal 2027</w:t>
            </w:r>
          </w:p>
        </w:tc>
      </w:tr>
      <w:tr>
        <w:trPr>
          <w:cantSplit/>
        </w:trPr>
        <w:tc>
          <w:tcPr>
            <w:tcW w:type="dxa" w:w="1735"/>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11</w:t>
            </w:r>
          </w:p>
        </w:tc>
        <w:tc>
          <w:tcPr>
            <w:tcW w:type="dxa" w:w="1349"/>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Fase 1</w:t>
            </w:r>
          </w:p>
        </w:tc>
        <w:tc>
          <w:tcPr>
            <w:tcW w:type="dxa" w:w="6554"/>
            <w:tcBorders>
              <w:top w:val="single" w:color="D6DDEC" w:sz="4"/>
              <w:left w:val="single" w:color="D6DDEC" w:sz="4"/>
              <w:bottom w:val="single" w:color="D6DDEC" w:sz="4"/>
              <w:right w:val="single" w:color="D6DDEC" w:sz="4"/>
            </w:tcBorders>
            <w:tcMar>
              <w:top w:type="dxa" w:w="50"/>
              <w:left w:type="dxa" w:w="90"/>
              <w:bottom w:type="dxa" w:w="50"/>
              <w:right w:type="dxa" w:w="90"/>
            </w:tcMar>
          </w:tcPr>
          <w:p>
            <w:pPr>
              <w:jc w:val="left"/>
            </w:pPr>
            <w:r>
              <w:rPr>
                <w:rFonts w:ascii="Arial" w:cs="Arial" w:eastAsia="Arial" w:hAnsi="Arial"/>
                <w:color w:val="1A2340"/>
                <w:sz w:val="15"/>
                <w:szCs w:val="15"/>
              </w:rPr>
              <w:t xml:space="preserve">Lo stop ai flussi va coordinato con la leva dei visti e delle quote usata per ottenere la riammissione</w:t>
            </w:r>
          </w:p>
        </w:tc>
      </w:tr>
    </w:tbl>
    <w:p>
      <w:pPr>
        <w:spacing w:after="120"/>
      </w:pPr>
    </w:p>
    <w:p>
      <w:pPr>
        <w:pStyle w:val="Heading1"/>
      </w:pPr>
      <w:r>
        <w:t xml:space="preserve">12. Garanzie</w:t>
      </w:r>
    </w:p>
    <w:p>
      <w:pPr>
        <w:pStyle w:val="ListParagraph"/>
        <w:numPr>
          <w:ilvl w:val="0"/>
          <w:numId w:val="2"/>
        </w:numPr>
        <w:spacing w:after="80"/>
      </w:pPr>
      <w:r>
        <w:rPr>
          <w:rFonts w:ascii="Arial" w:cs="Arial" w:eastAsia="Arial" w:hAnsi="Arial"/>
          <w:color w:val="1A2340"/>
          <w:sz w:val="19"/>
          <w:szCs w:val="19"/>
        </w:rPr>
        <w:t xml:space="preserve">Nessun rimpatrio verso tortura o trattamenti inumani (TU art. 19; CEDU art. 3): vale per tutte le fasi.</w:t>
      </w:r>
    </w:p>
    <w:p>
      <w:pPr>
        <w:pStyle w:val="ListParagraph"/>
        <w:numPr>
          <w:ilvl w:val="0"/>
          <w:numId w:val="2"/>
        </w:numPr>
        <w:spacing w:after="80"/>
      </w:pPr>
      <w:r>
        <w:rPr>
          <w:rFonts w:ascii="Arial" w:cs="Arial" w:eastAsia="Arial" w:hAnsi="Arial"/>
          <w:color w:val="1A2340"/>
          <w:sz w:val="19"/>
          <w:szCs w:val="19"/>
        </w:rPr>
        <w:t xml:space="preserve">Ogni decisione è individuale e impugnabile; le espulsioni collettive sono vietate (CEDU Prot. 4 art. 4).</w:t>
      </w:r>
    </w:p>
    <w:p>
      <w:pPr>
        <w:pStyle w:val="ListParagraph"/>
        <w:numPr>
          <w:ilvl w:val="0"/>
          <w:numId w:val="2"/>
        </w:numPr>
        <w:spacing w:after="80"/>
      </w:pPr>
      <w:r>
        <w:rPr>
          <w:rFonts w:ascii="Arial" w:cs="Arial" w:eastAsia="Arial" w:hAnsi="Arial"/>
          <w:color w:val="1A2340"/>
          <w:sz w:val="19"/>
          <w:szCs w:val="19"/>
        </w:rPr>
        <w:t xml:space="preserve">Minori mai espulsi; famiglie fuori dagli hub e dai CPR.</w:t>
      </w:r>
    </w:p>
    <w:p>
      <w:pPr>
        <w:pStyle w:val="ListParagraph"/>
        <w:numPr>
          <w:ilvl w:val="0"/>
          <w:numId w:val="2"/>
        </w:numPr>
        <w:spacing w:after="80"/>
      </w:pPr>
      <w:r>
        <w:rPr>
          <w:rFonts w:ascii="Arial" w:cs="Arial" w:eastAsia="Arial" w:hAnsi="Arial"/>
          <w:color w:val="1A2340"/>
          <w:sz w:val="19"/>
          <w:szCs w:val="19"/>
        </w:rPr>
        <w:t xml:space="preserve">Monitoraggio indipendente dei CPR e dei voli; dati pubblicati ogni trimestre.</w:t>
      </w:r>
    </w:p>
    <w:p>
      <w:pPr>
        <w:pStyle w:val="ListParagraph"/>
        <w:numPr>
          <w:ilvl w:val="0"/>
          <w:numId w:val="2"/>
        </w:numPr>
        <w:spacing w:after="80"/>
      </w:pPr>
      <w:r>
        <w:rPr>
          <w:rFonts w:ascii="Arial" w:cs="Arial" w:eastAsia="Arial" w:hAnsi="Arial"/>
          <w:color w:val="1A2340"/>
          <w:sz w:val="19"/>
          <w:szCs w:val="19"/>
        </w:rPr>
        <w:t xml:space="preserve">Le garanzie non sono un costo: un rimpatrio annullato in ricorso vale zero.</w:t>
      </w:r>
    </w:p>
    <w:p>
      <w:pPr>
        <w:spacing w:after="140"/>
      </w:pPr>
      <w:r>
        <w:rPr>
          <w:rFonts w:ascii="Arial" w:cs="Arial" w:eastAsia="Arial" w:hAnsi="Arial"/>
          <w:i/>
          <w:iCs/>
          <w:color w:val="4D5C84"/>
          <w:sz w:val="16"/>
          <w:szCs w:val="16"/>
        </w:rPr>
        <w:t xml:space="preserve">Fonti dei dati: Eurostat (popolazione, forze di lavoro, permessi, asilo, ordini e rimpatri, 2025), ISTAT (cittadini non comunitari 2024), ISMU (irregolari), ActionAid/Università di Bari (CPR, costi 2025), Ministero della Giustizia (detenuti 2025). Tutti i numeri sono collegati al file GRP-Italia.xlsx.</w:t>
      </w:r>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4D5C84"/>
        <w:sz w:val="15"/>
        <w:szCs w:val="15"/>
      </w:rPr>
      <w:t xml:space="preserve">The Great Remigration Plan · Italia · Europa 2032</w:t>
    </w:r>
    <w:r>
      <w:rPr>
        <w:sz w:val="15"/>
        <w:szCs w:val="15"/>
      </w:rPr>
      <w:t xml:space="preserve">	</w:t>
    </w:r>
    <w:r>
      <w:rPr>
        <w:rFonts w:ascii="Arial" w:cs="Arial" w:eastAsia="Arial" w:hAnsi="Arial"/>
        <w:color w:val="4D5C84"/>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570"/>
      </w:tabs>
    </w:pPr>
    <w:r>
      <w:rPr>
        <w:rFonts w:ascii="Arial" w:cs="Arial" w:eastAsia="Arial" w:hAnsi="Arial"/>
        <w:color w:val="4D5C84"/>
        <w:sz w:val="15"/>
        <w:szCs w:val="15"/>
      </w:rPr>
      <w:t xml:space="preserve">The Great Remigration Plan · Italia · Europa 2032</w:t>
    </w:r>
    <w:r>
      <w:rPr>
        <w:sz w:val="15"/>
        <w:szCs w:val="15"/>
      </w:rPr>
      <w:t xml:space="preserve">	</w:t>
    </w:r>
    <w:r>
      <w:rPr>
        <w:rFonts w:ascii="Arial" w:cs="Arial" w:eastAsia="Arial" w:hAnsi="Arial"/>
        <w:color w:val="4D5C84"/>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4D5C84"/>
        <w:sz w:val="15"/>
        <w:szCs w:val="15"/>
      </w:rPr>
      <w:t xml:space="preserve">The Great Remigration Plan · Italia · Europa 2032</w:t>
    </w:r>
    <w:r>
      <w:rPr>
        <w:sz w:val="15"/>
        <w:szCs w:val="15"/>
      </w:rPr>
      <w:t xml:space="preserve">	</w:t>
    </w:r>
    <w:r>
      <w:rPr>
        <w:rFonts w:ascii="Arial" w:cs="Arial" w:eastAsia="Arial" w:hAnsi="Arial"/>
        <w:color w:val="4D5C8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A87400" w:sz="6" w:space="4"/>
      </w:pBdr>
      <w:spacing w:after="160" w:before="400"/>
      <w:outlineLvl w:val="0"/>
    </w:pPr>
    <w:rPr>
      <w:rFonts w:ascii="Arial" w:cs="Arial" w:eastAsia="Arial" w:hAnsi="Arial"/>
      <w:b/>
      <w:bCs/>
      <w:color w:val="0C1A42"/>
      <w:sz w:val="32"/>
      <w:szCs w:val="32"/>
    </w:rPr>
  </w:style>
  <w:style w:type="paragraph" w:styleId="Heading2">
    <w:name w:val="Heading 2"/>
    <w:basedOn w:val="Normal"/>
    <w:next w:val="Normal"/>
    <w:qFormat/>
    <w:pPr>
      <w:keepNext/>
      <w:spacing w:after="100" w:before="280"/>
      <w:outlineLvl w:val="1"/>
    </w:pPr>
    <w:rPr>
      <w:rFonts w:ascii="Arial" w:cs="Arial" w:eastAsia="Arial" w:hAnsi="Arial"/>
      <w:b/>
      <w:bCs/>
      <w:color w:val="0C1A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Great Remigration Plan (GRP) · Italia</dc:title>
  <dc:creator>Francesco Mattioni</dc:creator>
  <cp:lastModifiedBy>Un-named</cp:lastModifiedBy>
  <cp:revision>1</cp:revision>
  <dcterms:created xsi:type="dcterms:W3CDTF">2026-10-20T15:41:33.391Z</dcterms:created>
  <dcterms:modified xsi:type="dcterms:W3CDTF">2026-10-20T15:41:33.391Z</dcterms:modified>
</cp:coreProperties>
</file>

<file path=docProps/custom.xml><?xml version="1.0" encoding="utf-8"?>
<Properties xmlns="http://schemas.openxmlformats.org/officeDocument/2006/custom-properties" xmlns:vt="http://schemas.openxmlformats.org/officeDocument/2006/docPropsVTypes"/>
</file>