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a86e8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b w:val="1"/>
          <w:bCs w:val="1"/>
          <w:color w:val="4a86e8"/>
          <w:sz w:val="58"/>
          <w:szCs w:val="58"/>
          <w:rtl w:val="0"/>
        </w:rPr>
        <w:t xml:space="preserve">Vulnerability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20XX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nhcy8rpxthc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uc6q0k08dmn" w:id="3"/>
      <w:bookmarkEnd w:id="3"/>
      <w:r w:rsidDel="00000000" w:rsidR="00000000" w:rsidRPr="00000000">
        <w:rPr>
          <w:rtl w:val="0"/>
        </w:rPr>
        <w:t xml:space="preserve">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64wndl8jmz1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scope of this vulnerability assessment relates to the current access controls of the system. The assessment will cover a period of three months, from June 20XX to August 20XX.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NIST SP 800-30 Rev. 1</w:t>
        </w:r>
      </w:hyperlink>
      <w:r w:rsidDel="00000000" w:rsidR="00000000" w:rsidRPr="00000000">
        <w:rPr>
          <w:rtl w:val="0"/>
        </w:rPr>
        <w:t xml:space="preserve"> is used to guide the risk analysis of the information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oymnw3nlvwib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 server is the most valuable asset in the organization, it contains the data of all the employees and customers that interacted with it, if a malicious threat would try an attack on a public data server, it would be a simple dataleak for them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2ip4lwifo50" w:id="6"/>
      <w:bookmarkEnd w:id="6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615"/>
        <w:gridCol w:w="1395"/>
        <w:gridCol w:w="1320"/>
        <w:gridCol w:w="1110"/>
        <w:tblGridChange w:id="0">
          <w:tblGrid>
            <w:gridCol w:w="1860"/>
            <w:gridCol w:w="3615"/>
            <w:gridCol w:w="1395"/>
            <w:gridCol w:w="132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source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event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E.g. Competitor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Obtain sensitive information via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Malicious threat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Install persistent and targeted network sniffers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organizational information systems.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Conduct “man in the middle”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a9ivkvfuz16w" w:id="7"/>
      <w:bookmarkEnd w:id="7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External and internal threat, without a defence in depth or principle of last privilege, could be a risk for dataleaks because of the public server. Hackers or malicious threat could install network sniffers or conduct “man in the middle” attacks , by faking a customer service employee</w:t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f6vykh0xvv7" w:id="8"/>
      <w:bookmarkEnd w:id="8"/>
      <w:r w:rsidDel="00000000" w:rsidR="00000000" w:rsidRPr="00000000">
        <w:rPr>
          <w:rtl w:val="0"/>
        </w:rPr>
        <w:t xml:space="preserve">Remediation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of authentication, authorization, and auditing mechanisms to ensure that only authorized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