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4"/>
          <w:szCs w:val="24"/>
        </w:rPr>
      </w:pPr>
      <w:r w:rsidDel="00000000" w:rsidR="00000000" w:rsidRPr="00000000">
        <w:rPr>
          <w:b w:val="1"/>
          <w:sz w:val="24"/>
          <w:szCs w:val="24"/>
          <w:rtl w:val="0"/>
        </w:rPr>
        <w:t xml:space="preserve">Pesquisa  projeções até 2050 (Milena e Giovanna) </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Giovanna </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1"/>
          <w:sz w:val="22"/>
          <w:szCs w:val="22"/>
          <w:u w:val="none"/>
          <w:shd w:fill="auto" w:val="clear"/>
          <w:vertAlign w:val="baseline"/>
          <w:rtl w:val="0"/>
        </w:rPr>
        <w:t xml:space="preserve">Projeção do número de domicílios por região e Brasil até 2050  </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1"/>
          <w:sz w:val="22"/>
          <w:szCs w:val="22"/>
          <w:u w:val="none"/>
          <w:shd w:fill="auto" w:val="clear"/>
          <w:vertAlign w:val="baseline"/>
          <w:rtl w:val="0"/>
        </w:rPr>
        <w:t xml:space="preserve">Projeção de habitantes por domicílio por região e Brasil até 2050 </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Projeção da evolução da renda das famílias por região e Brasil até 2050</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1"/>
          <w:sz w:val="22"/>
          <w:szCs w:val="22"/>
          <w:u w:val="none"/>
          <w:shd w:fill="auto" w:val="clear"/>
          <w:vertAlign w:val="baseline"/>
          <w:rtl w:val="0"/>
        </w:rPr>
        <w:t xml:space="preserve">Posse de equipamentos de acordo com os diferentes anos da PPH por região e para o Brasil </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Histórico de posse de equipamentos em países desenvolvidos </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Histórico de venda de equipamentos por região e Brasil </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Projeção de venda de equipamentos por região e Brasil (ver Abrava)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Milena: </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highlight w:val="yellow"/>
        </w:rPr>
      </w:pPr>
      <w:r w:rsidDel="00000000" w:rsidR="00000000" w:rsidRPr="00000000">
        <w:rPr>
          <w:highlight w:val="yellow"/>
          <w:rtl w:val="0"/>
        </w:rPr>
        <w:t xml:space="preserve">Programas de distribuição de renda (2008 a 2019) (Tarifa Social)</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0F">
      <w:pPr>
        <w:rPr>
          <w:rFonts w:ascii="Calibri" w:cs="Calibri" w:eastAsia="Calibri" w:hAnsi="Calibri"/>
          <w:b w:val="0"/>
          <w:sz w:val="22"/>
          <w:szCs w:val="22"/>
        </w:rPr>
      </w:pPr>
      <w:r w:rsidDel="00000000" w:rsidR="00000000" w:rsidRPr="00000000">
        <w:rPr>
          <w:rFonts w:ascii="Calibri" w:cs="Calibri" w:eastAsia="Calibri" w:hAnsi="Calibri"/>
          <w:b w:val="1"/>
          <w:sz w:val="22"/>
          <w:szCs w:val="22"/>
          <w:rtl w:val="0"/>
        </w:rPr>
        <w:t xml:space="preserve">Nota: </w:t>
      </w:r>
      <w:r w:rsidDel="00000000" w:rsidR="00000000" w:rsidRPr="00000000">
        <w:rPr>
          <w:rFonts w:ascii="Calibri" w:cs="Calibri" w:eastAsia="Calibri" w:hAnsi="Calibri"/>
          <w:b w:val="0"/>
          <w:sz w:val="22"/>
          <w:szCs w:val="22"/>
          <w:rtl w:val="0"/>
        </w:rPr>
        <w:t xml:space="preserve">o que não for possível encontrar até 2050, captar o ano mais distante, boas fontes são o IBGE, IPEA e Associações </w:t>
      </w:r>
      <w:r w:rsidDel="00000000" w:rsidR="00000000" w:rsidRPr="00000000">
        <w:rPr>
          <w:rtl w:val="0"/>
        </w:rPr>
        <w:t xml:space="preserve">Setoriais</w:t>
      </w:r>
      <w:r w:rsidDel="00000000" w:rsidR="00000000" w:rsidRPr="00000000">
        <w:rPr>
          <w:rFonts w:ascii="Calibri" w:cs="Calibri" w:eastAsia="Calibri" w:hAnsi="Calibri"/>
          <w:b w:val="0"/>
          <w:sz w:val="22"/>
          <w:szCs w:val="22"/>
          <w:rtl w:val="0"/>
        </w:rPr>
        <w:t xml:space="preserve"> (Abrava, Eletros, etc).</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b w:val="1"/>
          <w:color w:val="000000"/>
          <w:sz w:val="28"/>
          <w:szCs w:val="28"/>
        </w:rPr>
      </w:pPr>
      <w:r w:rsidDel="00000000" w:rsidR="00000000" w:rsidRPr="00000000">
        <w:rPr>
          <w:b w:val="1"/>
          <w:color w:val="000000"/>
          <w:sz w:val="28"/>
          <w:szCs w:val="28"/>
          <w:rtl w:val="0"/>
        </w:rPr>
        <w:t xml:space="preserve">Projeção do </w:t>
      </w:r>
      <w:r w:rsidDel="00000000" w:rsidR="00000000" w:rsidRPr="00000000">
        <w:rPr>
          <w:b w:val="1"/>
          <w:color w:val="000000"/>
          <w:sz w:val="28"/>
          <w:szCs w:val="28"/>
          <w:u w:val="single"/>
          <w:rtl w:val="0"/>
        </w:rPr>
        <w:t xml:space="preserve">número de domicílios</w:t>
      </w:r>
      <w:r w:rsidDel="00000000" w:rsidR="00000000" w:rsidRPr="00000000">
        <w:rPr>
          <w:b w:val="1"/>
          <w:color w:val="000000"/>
          <w:sz w:val="28"/>
          <w:szCs w:val="28"/>
          <w:rtl w:val="0"/>
        </w:rPr>
        <w:t xml:space="preserve"> e </w:t>
      </w:r>
      <w:r w:rsidDel="00000000" w:rsidR="00000000" w:rsidRPr="00000000">
        <w:rPr>
          <w:b w:val="1"/>
          <w:color w:val="000000"/>
          <w:sz w:val="28"/>
          <w:szCs w:val="28"/>
          <w:u w:val="single"/>
          <w:rtl w:val="0"/>
        </w:rPr>
        <w:t xml:space="preserve">habitantes por domicílio</w:t>
      </w:r>
      <w:r w:rsidDel="00000000" w:rsidR="00000000" w:rsidRPr="00000000">
        <w:rPr>
          <w:b w:val="1"/>
          <w:color w:val="000000"/>
          <w:sz w:val="28"/>
          <w:szCs w:val="28"/>
          <w:rtl w:val="0"/>
        </w:rPr>
        <w:t xml:space="preserve"> no Brasil até 2050</w:t>
      </w:r>
    </w:p>
    <w:p w:rsidR="00000000" w:rsidDel="00000000" w:rsidP="00000000" w:rsidRDefault="00000000" w:rsidRPr="00000000" w14:paraId="00000012">
      <w:pPr>
        <w:jc w:val="center"/>
        <w:rPr>
          <w:b w:val="1"/>
          <w:color w:val="000000"/>
          <w:sz w:val="28"/>
          <w:szCs w:val="28"/>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b w:val="1"/>
          <w:sz w:val="22"/>
          <w:szCs w:val="22"/>
          <w:rtl w:val="0"/>
        </w:rPr>
        <w:t xml:space="preserve">Fonte: EPE e MMA, 201</w:t>
      </w:r>
      <w:r w:rsidDel="00000000" w:rsidR="00000000" w:rsidRPr="00000000">
        <w:rPr>
          <w:b w:val="1"/>
          <w:rtl w:val="0"/>
        </w:rPr>
        <w:t xml:space="preserve">8  Plano Nacional de Energia: </w:t>
      </w:r>
      <w:hyperlink r:id="rId9">
        <w:r w:rsidDel="00000000" w:rsidR="00000000" w:rsidRPr="00000000">
          <w:rPr>
            <w:color w:val="1155cc"/>
            <w:u w:val="single"/>
            <w:rtl w:val="0"/>
          </w:rPr>
          <w:t xml:space="preserve">https://www.epe.gov.br/sites-pt/publicacoes-dados-abertos/publicacoes/PublicacoesArquivos/publicacao-227/topico-201/Cen%C3%A1rios%20Econ%C3%B4micos.pdf</w:t>
        </w:r>
      </w:hyperlink>
      <w:r w:rsidDel="00000000" w:rsidR="00000000" w:rsidRPr="00000000">
        <w:rPr>
          <w:rtl w:val="0"/>
        </w:rPr>
        <w:t xml:space="preserve"> </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sz w:val="24"/>
          <w:szCs w:val="24"/>
          <w:rtl w:val="0"/>
        </w:rPr>
        <w:t xml:space="preserve">A projeção do EPE para número de domicílios/população é feita a partir dos anos censitários 1970, 1980, 1991, 2000 e 2010. </w:t>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Há um crescimento de domicílios populares permanentes em todas as regiões do Brasil, e para 2050, a expectativa é que haja continuidade de crescimento. Em</w:t>
      </w:r>
      <w:r w:rsidDel="00000000" w:rsidR="00000000" w:rsidRPr="00000000">
        <w:rPr>
          <w:b w:val="1"/>
          <w:sz w:val="24"/>
          <w:szCs w:val="24"/>
          <w:rtl w:val="0"/>
        </w:rPr>
        <w:t xml:space="preserve"> 2050, espera-se que existam cerca de 98 milhões de domicílios</w:t>
      </w:r>
      <w:r w:rsidDel="00000000" w:rsidR="00000000" w:rsidRPr="00000000">
        <w:rPr>
          <w:sz w:val="24"/>
          <w:szCs w:val="24"/>
          <w:rtl w:val="0"/>
        </w:rPr>
        <w:t xml:space="preserve"> no país, e em 2010 esse número era aproximadamente de 50 milhões. </w:t>
      </w:r>
    </w:p>
    <w:p w:rsidR="00000000" w:rsidDel="00000000" w:rsidP="00000000" w:rsidRDefault="00000000" w:rsidRPr="00000000" w14:paraId="00000017">
      <w:pPr>
        <w:jc w:val="left"/>
        <w:rPr>
          <w:sz w:val="24"/>
          <w:szCs w:val="24"/>
        </w:rPr>
      </w:pPr>
      <w:r w:rsidDel="00000000" w:rsidR="00000000" w:rsidRPr="00000000">
        <w:rPr>
          <w:sz w:val="24"/>
          <w:szCs w:val="24"/>
          <w:rtl w:val="0"/>
        </w:rPr>
        <w:t xml:space="preserve">A evolução demográfica, ainda segundo o EPE 2018, é estimada a um crescimento médio de 0,3% ao ano. Com isso, no ano de</w:t>
      </w:r>
      <w:r w:rsidDel="00000000" w:rsidR="00000000" w:rsidRPr="00000000">
        <w:rPr>
          <w:b w:val="1"/>
          <w:sz w:val="24"/>
          <w:szCs w:val="24"/>
          <w:rtl w:val="0"/>
        </w:rPr>
        <w:t xml:space="preserve"> 2050 o país passaria a ter 226 milhões de habitantes</w:t>
      </w:r>
      <w:r w:rsidDel="00000000" w:rsidR="00000000" w:rsidRPr="00000000">
        <w:rPr>
          <w:sz w:val="24"/>
          <w:szCs w:val="24"/>
          <w:rtl w:val="0"/>
        </w:rPr>
        <w:t xml:space="preserve">. </w:t>
      </w:r>
    </w:p>
    <w:p w:rsidR="00000000" w:rsidDel="00000000" w:rsidP="00000000" w:rsidRDefault="00000000" w:rsidRPr="00000000" w14:paraId="00000018">
      <w:pPr>
        <w:jc w:val="left"/>
        <w:rPr>
          <w:sz w:val="24"/>
          <w:szCs w:val="24"/>
        </w:rPr>
      </w:pPr>
      <w:r w:rsidDel="00000000" w:rsidR="00000000" w:rsidRPr="00000000">
        <w:rPr>
          <w:sz w:val="24"/>
          <w:szCs w:val="24"/>
          <w:rtl w:val="0"/>
        </w:rPr>
        <w:t xml:space="preserve">Crescimento de domicílios em todas as regiões, mas especialmente no Norte e Centro-Oeste, que </w:t>
      </w:r>
      <w:r w:rsidDel="00000000" w:rsidR="00000000" w:rsidRPr="00000000">
        <w:rPr>
          <w:sz w:val="24"/>
          <w:szCs w:val="24"/>
          <w:rtl w:val="0"/>
        </w:rPr>
        <w:t xml:space="preserve">apresentarão</w:t>
      </w:r>
      <w:r w:rsidDel="00000000" w:rsidR="00000000" w:rsidRPr="00000000">
        <w:rPr>
          <w:sz w:val="24"/>
          <w:szCs w:val="24"/>
          <w:rtl w:val="0"/>
        </w:rPr>
        <w:t xml:space="preserve"> crescimento acima da média nacional. </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rPr>
          <w:sz w:val="24"/>
          <w:szCs w:val="24"/>
        </w:rPr>
      </w:pPr>
      <w:sdt>
        <w:sdtPr>
          <w:tag w:val="goog_rdk_0"/>
        </w:sdtPr>
        <w:sdtContent>
          <w:commentRangeStart w:id="0"/>
        </w:sdtContent>
      </w:sdt>
      <w:r w:rsidDel="00000000" w:rsidR="00000000" w:rsidRPr="00000000">
        <w:rPr>
          <w:b w:val="1"/>
          <w:sz w:val="24"/>
          <w:szCs w:val="24"/>
          <w:rtl w:val="0"/>
        </w:rPr>
        <w:t xml:space="preserve">EPE, 2015 - Cenário Econômico 2050: </w:t>
      </w:r>
      <w:commentRangeEnd w:id="0"/>
      <w:r w:rsidDel="00000000" w:rsidR="00000000" w:rsidRPr="00000000">
        <w:commentReference w:id="0"/>
      </w:r>
      <w:hyperlink r:id="rId10">
        <w:r w:rsidDel="00000000" w:rsidR="00000000" w:rsidRPr="00000000">
          <w:rPr>
            <w:color w:val="1155cc"/>
            <w:sz w:val="24"/>
            <w:szCs w:val="24"/>
            <w:u w:val="single"/>
            <w:rtl w:val="0"/>
          </w:rPr>
          <w:t xml:space="preserve">https://www.epe.gov.br/sites-pt/publicacoes-dados-abertos/publicacoes/PublicacoesArquivos/publicacao-227/topico-458/PNE2050_Premissas%20econ%C3%B4micas%20de%20longo%20prazo.pdf</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censo 2010 indica que, enquanto a população brasileira cresceu 12,5% entre 2000 e 2010, o número de domicílios particulares aumentou cerca de 25%. O acréscimo do número de domicílios contribui para a redução do déficit habitacional do país - que em 2011 era de 5,4 milhões – na medida em que reduz a coabitação familiar e o adensamento excessivo nos domicílios. Dessa forma, enquanto no ano de 2010 a razão de habitantes por domicílio era de 3,3, no ano de 2050 a projeção é que essa relação chegue a 2,3, aproximando-se, desta forma, da relação existente, hoje, nos países desenvolvidos.”</w:t>
      </w:r>
    </w:p>
    <w:p w:rsidR="00000000" w:rsidDel="00000000" w:rsidP="00000000" w:rsidRDefault="00000000" w:rsidRPr="00000000" w14:paraId="0000001C">
      <w:pPr>
        <w:spacing w:after="160" w:before="0" w:line="259" w:lineRule="auto"/>
        <w:ind w:left="0" w:right="0" w:firstLine="0"/>
        <w:jc w:val="left"/>
        <w:rPr/>
      </w:pPr>
      <w:r w:rsidDel="00000000" w:rsidR="00000000" w:rsidRPr="00000000">
        <w:rPr>
          <w:rFonts w:ascii="Calibri" w:cs="Calibri" w:eastAsia="Calibri" w:hAnsi="Calibri"/>
          <w:sz w:val="24"/>
          <w:szCs w:val="24"/>
          <w:rtl w:val="0"/>
        </w:rPr>
        <w:t xml:space="preserve">Verifica-se então que, ao contrário do comportamento da população, que diminui, o número de domicílios tende a aumentar, de forma que em 2050, estima-se que existam cerca de 100 milhões de domicílios em 2050. </w:t>
      </w: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Segundo o EPE, essa mudança no comportamento dos dados se deve a alguns fatores como a queda da fecundidade, o número de domicílios ter crescido em um ritmo mais rápido do que o crescimento da população, e pelo aumento da renda da população, permitindo que mais pessoas morem sozinhas. </w:t>
      </w:r>
    </w:p>
    <w:p w:rsidR="00000000" w:rsidDel="00000000" w:rsidP="00000000" w:rsidRDefault="00000000" w:rsidRPr="00000000" w14:paraId="0000001E">
      <w:pPr>
        <w:spacing w:after="160" w:before="0" w:line="259"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Sendo assim, a relação habitante/domicílio decai na projeção em questão, resultando em uma razão de 2,3 habitantes por domicílio em 2050. </w:t>
      </w: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Nacional: Número de domicílios e relação habitante/domicílio</w:t>
      </w:r>
    </w:p>
    <w:p w:rsidR="00000000" w:rsidDel="00000000" w:rsidP="00000000" w:rsidRDefault="00000000" w:rsidRPr="00000000" w14:paraId="00000020">
      <w:pPr>
        <w:rPr/>
      </w:pPr>
      <w:r w:rsidDel="00000000" w:rsidR="00000000" w:rsidRPr="00000000">
        <w:rPr/>
        <w:drawing>
          <wp:inline distB="0" distT="0" distL="114300" distR="114300">
            <wp:extent cx="5538788" cy="3313598"/>
            <wp:effectExtent b="0" l="0" r="0" t="0"/>
            <wp:docPr id="81575976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38788" cy="331359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EPE, MMA, 2018- Plano Decenal de expansão de energia 2029 link: </w:t>
      </w:r>
    </w:p>
    <w:p w:rsidR="00000000" w:rsidDel="00000000" w:rsidP="00000000" w:rsidRDefault="00000000" w:rsidRPr="00000000" w14:paraId="00000023">
      <w:pPr>
        <w:rPr/>
      </w:pPr>
      <w:hyperlink r:id="rId12">
        <w:r w:rsidDel="00000000" w:rsidR="00000000" w:rsidRPr="00000000">
          <w:rPr>
            <w:color w:val="1155cc"/>
            <w:u w:val="single"/>
            <w:rtl w:val="0"/>
          </w:rPr>
          <w:t xml:space="preserve">https://www.epe.gov.br/sites-pt/publicacoes-dados-abertos/publicacoes/PublicacoesArquivos/publicacao-423/topico-480/01%20Premissas%20Gerais.pdf</w:t>
        </w:r>
      </w:hyperlink>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drawing>
          <wp:inline distB="114300" distT="114300" distL="114300" distR="114300">
            <wp:extent cx="5943600" cy="3397816"/>
            <wp:effectExtent b="0" l="0" r="0" t="0"/>
            <wp:docPr id="815759774" name="image4.png"/>
            <a:graphic>
              <a:graphicData uri="http://schemas.openxmlformats.org/drawingml/2006/picture">
                <pic:pic>
                  <pic:nvPicPr>
                    <pic:cNvPr id="0" name="image4.png"/>
                    <pic:cNvPicPr preferRelativeResize="0"/>
                  </pic:nvPicPr>
                  <pic:blipFill>
                    <a:blip r:embed="rId13"/>
                    <a:srcRect b="0" l="0" r="0" t="1183"/>
                    <a:stretch>
                      <a:fillRect/>
                    </a:stretch>
                  </pic:blipFill>
                  <pic:spPr>
                    <a:xfrm>
                      <a:off x="0" y="0"/>
                      <a:ext cx="5943600" cy="339781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b w:val="1"/>
          <w:sz w:val="28"/>
          <w:szCs w:val="28"/>
        </w:rPr>
      </w:pPr>
      <w:r w:rsidDel="00000000" w:rsidR="00000000" w:rsidRPr="00000000">
        <w:rPr>
          <w:b w:val="1"/>
          <w:sz w:val="28"/>
          <w:szCs w:val="28"/>
          <w:rtl w:val="0"/>
        </w:rPr>
        <w:t xml:space="preserve">Evolução da renda das famílias até 2050 </w:t>
      </w:r>
    </w:p>
    <w:p w:rsidR="00000000" w:rsidDel="00000000" w:rsidP="00000000" w:rsidRDefault="00000000" w:rsidRPr="00000000" w14:paraId="00000026">
      <w:pPr>
        <w:jc w:val="center"/>
        <w:rPr>
          <w:b w:val="1"/>
          <w:sz w:val="28"/>
          <w:szCs w:val="28"/>
        </w:rPr>
      </w:pPr>
      <w:r w:rsidDel="00000000" w:rsidR="00000000" w:rsidRPr="00000000">
        <w:rPr>
          <w:rtl w:val="0"/>
        </w:rPr>
      </w:r>
    </w:p>
    <w:p w:rsidR="00000000" w:rsidDel="00000000" w:rsidP="00000000" w:rsidRDefault="00000000" w:rsidRPr="00000000" w14:paraId="00000027">
      <w:pPr>
        <w:jc w:val="left"/>
        <w:rPr>
          <w:b w:val="1"/>
          <w:sz w:val="24"/>
          <w:szCs w:val="24"/>
        </w:rPr>
      </w:pPr>
      <w:r w:rsidDel="00000000" w:rsidR="00000000" w:rsidRPr="00000000">
        <w:rPr>
          <w:b w:val="1"/>
          <w:sz w:val="24"/>
          <w:szCs w:val="24"/>
          <w:rtl w:val="0"/>
        </w:rPr>
        <w:t xml:space="preserve">Cenários Econômicos para o PNE 2050 </w:t>
      </w:r>
    </w:p>
    <w:p w:rsidR="00000000" w:rsidDel="00000000" w:rsidP="00000000" w:rsidRDefault="00000000" w:rsidRPr="00000000" w14:paraId="00000028">
      <w:pPr>
        <w:jc w:val="left"/>
        <w:rPr>
          <w:sz w:val="24"/>
          <w:szCs w:val="24"/>
        </w:rPr>
      </w:pPr>
      <w:hyperlink r:id="rId14">
        <w:r w:rsidDel="00000000" w:rsidR="00000000" w:rsidRPr="00000000">
          <w:rPr>
            <w:color w:val="1155cc"/>
            <w:sz w:val="24"/>
            <w:szCs w:val="24"/>
            <w:u w:val="single"/>
            <w:rtl w:val="0"/>
          </w:rPr>
          <w:t xml:space="preserve">https://www.epe.gov.br/sites-pt/publicacoes-dados-abertos/publicacoes/PublicacoesArquivos/publicacao-227/topico-201/Cen%C3%A1rios%20Econ%C3%B4micos.pdf</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sz w:val="24"/>
          <w:szCs w:val="24"/>
        </w:rPr>
        <w:drawing>
          <wp:inline distB="114300" distT="114300" distL="114300" distR="114300">
            <wp:extent cx="5443538" cy="3149226"/>
            <wp:effectExtent b="0" l="0" r="0" t="0"/>
            <wp:docPr id="81575976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43538" cy="314922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O PwC fez uma projeção econômica mundial, onde o Brasil é citado como um país com grande potencial de crescimento, relacionando o PIB por PPC. Em 2016, ano analisado, o Brasil possuía um PIB por PPC referente a 3135, enquanto na projeção para o ano de 2050, esse indicador vai para 7540, se tornando a 5º maior economia baseada no PIB por PPC. </w:t>
      </w:r>
    </w:p>
    <w:p w:rsidR="00000000" w:rsidDel="00000000" w:rsidP="00000000" w:rsidRDefault="00000000" w:rsidRPr="00000000" w14:paraId="0000002D">
      <w:pPr>
        <w:rPr>
          <w:sz w:val="24"/>
          <w:szCs w:val="24"/>
        </w:rPr>
      </w:pPr>
      <w:r w:rsidDel="00000000" w:rsidR="00000000" w:rsidRPr="00000000">
        <w:rPr>
          <w:sz w:val="24"/>
          <w:szCs w:val="24"/>
          <w:rtl w:val="0"/>
        </w:rPr>
        <w:t xml:space="preserve">Segundo estimativas ainda do PwC, o PIB brasileiro vai passar de </w:t>
      </w:r>
      <w:r w:rsidDel="00000000" w:rsidR="00000000" w:rsidRPr="00000000">
        <w:rPr>
          <w:sz w:val="24"/>
          <w:szCs w:val="24"/>
          <w:rtl w:val="0"/>
        </w:rPr>
        <w:t xml:space="preserve">US$ 3.135</w:t>
      </w:r>
      <w:r w:rsidDel="00000000" w:rsidR="00000000" w:rsidRPr="00000000">
        <w:rPr>
          <w:sz w:val="24"/>
          <w:szCs w:val="24"/>
          <w:rtl w:val="0"/>
        </w:rPr>
        <w:t xml:space="preserve"> para </w:t>
      </w:r>
      <w:r w:rsidDel="00000000" w:rsidR="00000000" w:rsidRPr="00000000">
        <w:rPr>
          <w:sz w:val="24"/>
          <w:szCs w:val="24"/>
          <w:rtl w:val="0"/>
        </w:rPr>
        <w:t xml:space="preserve">US$ 7.540</w:t>
      </w:r>
      <w:r w:rsidDel="00000000" w:rsidR="00000000" w:rsidRPr="00000000">
        <w:rPr>
          <w:sz w:val="24"/>
          <w:szCs w:val="24"/>
          <w:rtl w:val="0"/>
        </w:rPr>
        <w:t xml:space="preserve"> em 2050. </w:t>
      </w:r>
    </w:p>
    <w:p w:rsidR="00000000" w:rsidDel="00000000" w:rsidP="00000000" w:rsidRDefault="00000000" w:rsidRPr="00000000" w14:paraId="0000002E">
      <w:pPr>
        <w:rPr>
          <w:sz w:val="24"/>
          <w:szCs w:val="24"/>
        </w:rPr>
      </w:pPr>
      <w:r w:rsidDel="00000000" w:rsidR="00000000" w:rsidRPr="00000000">
        <w:rPr>
          <w:sz w:val="24"/>
          <w:szCs w:val="24"/>
          <w:rtl w:val="0"/>
        </w:rPr>
        <w:t xml:space="preserve">Indicadores encontrados: </w:t>
      </w:r>
    </w:p>
    <w:p w:rsidR="00000000" w:rsidDel="00000000" w:rsidP="00000000" w:rsidRDefault="00000000" w:rsidRPr="00000000" w14:paraId="0000002F">
      <w:pPr>
        <w:numPr>
          <w:ilvl w:val="0"/>
          <w:numId w:val="2"/>
        </w:numPr>
        <w:spacing w:after="0" w:afterAutospacing="0"/>
        <w:ind w:left="720" w:hanging="360"/>
        <w:rPr>
          <w:sz w:val="24"/>
          <w:szCs w:val="24"/>
        </w:rPr>
      </w:pPr>
      <w:r w:rsidDel="00000000" w:rsidR="00000000" w:rsidRPr="00000000">
        <w:rPr>
          <w:sz w:val="24"/>
          <w:szCs w:val="24"/>
          <w:rtl w:val="0"/>
        </w:rPr>
        <w:t xml:space="preserve">PPC (paridade de poder de compra)</w:t>
      </w:r>
    </w:p>
    <w:p w:rsidR="00000000" w:rsidDel="00000000" w:rsidP="00000000" w:rsidRDefault="00000000" w:rsidRPr="00000000" w14:paraId="00000030">
      <w:pPr>
        <w:numPr>
          <w:ilvl w:val="0"/>
          <w:numId w:val="2"/>
        </w:numPr>
        <w:spacing w:after="0" w:afterAutospacing="0"/>
        <w:ind w:left="720" w:hanging="360"/>
        <w:rPr>
          <w:sz w:val="24"/>
          <w:szCs w:val="24"/>
        </w:rPr>
      </w:pPr>
      <w:r w:rsidDel="00000000" w:rsidR="00000000" w:rsidRPr="00000000">
        <w:rPr>
          <w:sz w:val="24"/>
          <w:szCs w:val="24"/>
          <w:rtl w:val="0"/>
        </w:rPr>
        <w:t xml:space="preserve">PIB por PPC </w:t>
      </w:r>
    </w:p>
    <w:p w:rsidR="00000000" w:rsidDel="00000000" w:rsidP="00000000" w:rsidRDefault="00000000" w:rsidRPr="00000000" w14:paraId="00000031">
      <w:pPr>
        <w:numPr>
          <w:ilvl w:val="0"/>
          <w:numId w:val="2"/>
        </w:numPr>
        <w:ind w:left="720" w:hanging="360"/>
        <w:rPr>
          <w:sz w:val="24"/>
          <w:szCs w:val="24"/>
        </w:rPr>
      </w:pPr>
      <w:r w:rsidDel="00000000" w:rsidR="00000000" w:rsidRPr="00000000">
        <w:rPr>
          <w:sz w:val="24"/>
          <w:szCs w:val="24"/>
          <w:rtl w:val="0"/>
        </w:rPr>
        <w:t xml:space="preserve">PIB</w:t>
      </w:r>
    </w:p>
    <w:p w:rsidR="00000000" w:rsidDel="00000000" w:rsidP="00000000" w:rsidRDefault="00000000" w:rsidRPr="00000000" w14:paraId="00000032">
      <w:pPr>
        <w:rPr>
          <w:sz w:val="24"/>
          <w:szCs w:val="24"/>
        </w:rPr>
      </w:pPr>
      <w:r w:rsidDel="00000000" w:rsidR="00000000" w:rsidRPr="00000000">
        <w:rPr>
          <w:sz w:val="24"/>
          <w:szCs w:val="24"/>
          <w:rtl w:val="0"/>
        </w:rPr>
        <w:t xml:space="preserve">As pesquisas nacionais geralmente projetam esses indicadores para o ano seguinte ou para o ano vigente. É possível encontrar projeções relacionadas ao PIB, mas este não diz detalhadamente sobre a renda das famílias em si.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Fonte: PricewaterhouseCoopers (PwC) 2016: </w:t>
      </w:r>
      <w:hyperlink r:id="rId16">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Histórico de rendimento médio das famílias brasileiras entre 2012 a 2023 (primeiro semestre)</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943600" cy="3505200"/>
            <wp:effectExtent b="0" l="0" r="0" t="0"/>
            <wp:docPr id="81575977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hyperlink r:id="rId18">
        <w:r w:rsidDel="00000000" w:rsidR="00000000" w:rsidRPr="00000000">
          <w:rPr>
            <w:color w:val="1155cc"/>
            <w:sz w:val="24"/>
            <w:szCs w:val="24"/>
            <w:u w:val="single"/>
            <w:rtl w:val="0"/>
          </w:rPr>
          <w:t xml:space="preserve">https://www.ibge.gov.br/estatisticas/sociais/populacao/9171-pesquisa-nacional-por-amostra-de-domicilios-continua-mensal.html?=&amp;t=series-historicas</w:t>
        </w:r>
      </w:hyperlink>
      <w:r w:rsidDel="00000000" w:rsidR="00000000" w:rsidRPr="00000000">
        <w:rPr>
          <w:sz w:val="24"/>
          <w:szCs w:val="24"/>
          <w:rtl w:val="0"/>
        </w:rPr>
        <w:t xml:space="preserve">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https://agenciadenoticias.ibge.gov.br/agencia-noticias/2012-agencia-de-noticias/noticias/34052-em-2021-rendimento-domiciliar-per-capita-cai-ao-menor-nivel-desde-2012</w:t>
      </w:r>
    </w:p>
    <w:p w:rsidR="00000000" w:rsidDel="00000000" w:rsidP="00000000" w:rsidRDefault="00000000" w:rsidRPr="00000000" w14:paraId="0000003D">
      <w:pPr>
        <w:rPr>
          <w:sz w:val="24"/>
          <w:szCs w:val="24"/>
        </w:rPr>
      </w:pPr>
      <w:hyperlink r:id="rId19">
        <w:r w:rsidDel="00000000" w:rsidR="00000000" w:rsidRPr="00000000">
          <w:rPr>
            <w:color w:val="1155cc"/>
            <w:sz w:val="24"/>
            <w:szCs w:val="24"/>
            <w:u w:val="single"/>
            <w:rtl w:val="0"/>
          </w:rPr>
          <w:t xml:space="preserve">http://www.ipeadata.gov.br/Default.aspx</w:t>
        </w:r>
      </w:hyperlink>
      <w:r w:rsidDel="00000000" w:rsidR="00000000" w:rsidRPr="00000000">
        <w:rPr>
          <w:sz w:val="24"/>
          <w:szCs w:val="24"/>
          <w:rtl w:val="0"/>
        </w:rPr>
        <w:t xml:space="preserve"> - possui informações históricas também, mas nada sobre projeções de renda média ou classes sociais </w:t>
      </w:r>
    </w:p>
    <w:p w:rsidR="00000000" w:rsidDel="00000000" w:rsidP="00000000" w:rsidRDefault="00000000" w:rsidRPr="00000000" w14:paraId="0000003E">
      <w:pPr>
        <w:rPr>
          <w:sz w:val="24"/>
          <w:szCs w:val="24"/>
        </w:rPr>
      </w:pPr>
      <w:hyperlink r:id="rId20">
        <w:r w:rsidDel="00000000" w:rsidR="00000000" w:rsidRPr="00000000">
          <w:rPr>
            <w:color w:val="1155cc"/>
            <w:sz w:val="24"/>
            <w:szCs w:val="24"/>
            <w:u w:val="single"/>
            <w:rtl w:val="0"/>
          </w:rPr>
          <w:t xml:space="preserve">https://www.epe.gov.br/sites-pt/publicacoes-dados-abertos/publicacoes/PublicacoesArquivos/publicacao-607/topico-593/NT.EPE.DEA.SEE.019.2021%20-%20Cen%C3%A1rio%20Econ%C3%B4mico%202022-2031%20Rev(Dez21).pdf</w:t>
        </w:r>
      </w:hyperlink>
      <w:r w:rsidDel="00000000" w:rsidR="00000000" w:rsidRPr="00000000">
        <w:rPr>
          <w:sz w:val="24"/>
          <w:szCs w:val="24"/>
          <w:rtl w:val="0"/>
        </w:rPr>
        <w:t xml:space="preserve"> - Fala sobre as projeções para 2030, cita os </w:t>
      </w:r>
      <w:r w:rsidDel="00000000" w:rsidR="00000000" w:rsidRPr="00000000">
        <w:rPr>
          <w:b w:val="1"/>
          <w:sz w:val="24"/>
          <w:szCs w:val="24"/>
          <w:rtl w:val="0"/>
        </w:rPr>
        <w:t xml:space="preserve">ganhos de renda para a população nos próximos dez anos, </w:t>
      </w:r>
      <w:r w:rsidDel="00000000" w:rsidR="00000000" w:rsidRPr="00000000">
        <w:rPr>
          <w:sz w:val="24"/>
          <w:szCs w:val="24"/>
          <w:rtl w:val="0"/>
        </w:rPr>
        <w:t xml:space="preserve">mas as projeções citadas são feitas em cima do PIB</w:t>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sz w:val="24"/>
          <w:szCs w:val="24"/>
          <w:rtl w:val="0"/>
        </w:rPr>
        <w:t xml:space="preserve">Levando em consideração as pesquisas feitas para essa projeção, não foi encontrado nenhum indicador exato de evolução da renda das famílias até 2050, apenas projeções do PIB e PIB per capita até o período pesquisado. Faz sentido não existirem projeções para esse indicador, tendo em vista as possíveis variações e imprevisibilidade </w:t>
      </w:r>
      <w:r w:rsidDel="00000000" w:rsidR="00000000" w:rsidRPr="00000000">
        <w:rPr>
          <w:sz w:val="24"/>
          <w:szCs w:val="24"/>
          <w:rtl w:val="0"/>
        </w:rPr>
        <w:t xml:space="preserve">econômica.</w:t>
      </w:r>
      <w:r w:rsidDel="00000000" w:rsidR="00000000" w:rsidRPr="00000000">
        <w:rPr>
          <w:sz w:val="24"/>
          <w:szCs w:val="24"/>
          <w:rtl w:val="0"/>
        </w:rPr>
        <w:t xml:space="preserve"> Porém, segundo a EPE, as projeções para 2030 para a renda da população incluem ganhos de renda nos próximos anos. O PIB para o mesmo período prevê uma melhora em relação aos últimos anos, como pode ser visto nos gráficos acima. Na mesma publicação existe a definição de cenários alternativos ao cenário de referência levando em consideração pontos críticos (inclusive a pandemia). </w:t>
      </w:r>
    </w:p>
    <w:p w:rsidR="00000000" w:rsidDel="00000000" w:rsidP="00000000" w:rsidRDefault="00000000" w:rsidRPr="00000000" w14:paraId="00000041">
      <w:pPr>
        <w:jc w:val="left"/>
        <w:rPr>
          <w:sz w:val="24"/>
          <w:szCs w:val="24"/>
        </w:rPr>
      </w:pPr>
      <w:r w:rsidDel="00000000" w:rsidR="00000000" w:rsidRPr="00000000">
        <w:rPr>
          <w:sz w:val="24"/>
          <w:szCs w:val="24"/>
          <w:rtl w:val="0"/>
        </w:rPr>
        <w:t xml:space="preserve">Temos o histórico de rendimento médio das famílias brasileiras de 2012 a 2023 e o histórico do PIB nos mesmos anos. É possível perceber algumas semelhanças entre os gráficos, (mas isso deve ser comprovado). Também temos disponível a projeção do PIB para os próximos anos, </w:t>
      </w:r>
      <w:r w:rsidDel="00000000" w:rsidR="00000000" w:rsidRPr="00000000">
        <w:rPr>
          <w:b w:val="1"/>
          <w:sz w:val="24"/>
          <w:szCs w:val="24"/>
          <w:rtl w:val="0"/>
        </w:rPr>
        <w:t xml:space="preserve">sendo considerável pensar na construção de projeções para os próximos anos</w:t>
      </w:r>
      <w:r w:rsidDel="00000000" w:rsidR="00000000" w:rsidRPr="00000000">
        <w:rPr>
          <w:sz w:val="24"/>
          <w:szCs w:val="24"/>
          <w:rtl w:val="0"/>
        </w:rPr>
        <w:t xml:space="preserve"> através das informações disponíveis. </w:t>
      </w:r>
    </w:p>
    <w:p w:rsidR="00000000" w:rsidDel="00000000" w:rsidP="00000000" w:rsidRDefault="00000000" w:rsidRPr="00000000" w14:paraId="00000042">
      <w:pPr>
        <w:jc w:val="left"/>
        <w:rPr>
          <w:sz w:val="24"/>
          <w:szCs w:val="24"/>
        </w:rPr>
      </w:pPr>
      <w:r w:rsidDel="00000000" w:rsidR="00000000" w:rsidRPr="00000000">
        <w:rPr>
          <w:rtl w:val="0"/>
        </w:rPr>
      </w:r>
    </w:p>
    <w:p w:rsidR="00000000" w:rsidDel="00000000" w:rsidP="00000000" w:rsidRDefault="00000000" w:rsidRPr="00000000" w14:paraId="00000043">
      <w:pPr>
        <w:spacing w:after="0" w:lineRule="auto"/>
        <w:ind w:left="0" w:firstLine="0"/>
        <w:jc w:val="center"/>
        <w:rPr>
          <w:b w:val="1"/>
          <w:sz w:val="28"/>
          <w:szCs w:val="28"/>
        </w:rPr>
      </w:pPr>
      <w:r w:rsidDel="00000000" w:rsidR="00000000" w:rsidRPr="00000000">
        <w:rPr>
          <w:b w:val="1"/>
          <w:sz w:val="28"/>
          <w:szCs w:val="28"/>
          <w:rtl w:val="0"/>
        </w:rPr>
        <w:t xml:space="preserve">Posse de equipamentos de acordo com os diferentes anos da PPH por região e para o Brasil</w:t>
      </w:r>
    </w:p>
    <w:p w:rsidR="00000000" w:rsidDel="00000000" w:rsidP="00000000" w:rsidRDefault="00000000" w:rsidRPr="00000000" w14:paraId="00000044">
      <w:pPr>
        <w:jc w:val="left"/>
        <w:rPr>
          <w:sz w:val="24"/>
          <w:szCs w:val="24"/>
        </w:rPr>
      </w:pP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sz w:val="24"/>
          <w:szCs w:val="24"/>
          <w:rtl w:val="0"/>
        </w:rPr>
        <w:t xml:space="preserve">PNAD 2019 (Refrigeradores)  </w:t>
      </w:r>
      <w:hyperlink r:id="rId21">
        <w:r w:rsidDel="00000000" w:rsidR="00000000" w:rsidRPr="00000000">
          <w:rPr>
            <w:color w:val="1155cc"/>
            <w:sz w:val="24"/>
            <w:szCs w:val="24"/>
            <w:u w:val="single"/>
            <w:rtl w:val="0"/>
          </w:rPr>
          <w:t xml:space="preserve">https://biblioteca.ibge.gov.br/visualizacao/livros/liv101707_informativo.pdf</w:t>
        </w:r>
      </w:hyperlink>
      <w:r w:rsidDel="00000000" w:rsidR="00000000" w:rsidRPr="00000000">
        <w:rPr>
          <w:sz w:val="24"/>
          <w:szCs w:val="24"/>
          <w:rtl w:val="0"/>
        </w:rPr>
        <w:t xml:space="preserve"> </w:t>
      </w:r>
    </w:p>
    <w:p w:rsidR="00000000" w:rsidDel="00000000" w:rsidP="00000000" w:rsidRDefault="00000000" w:rsidRPr="00000000" w14:paraId="00000046">
      <w:pPr>
        <w:jc w:val="left"/>
        <w:rPr>
          <w:sz w:val="24"/>
          <w:szCs w:val="24"/>
        </w:rPr>
      </w:pPr>
      <w:r w:rsidDel="00000000" w:rsidR="00000000" w:rsidRPr="00000000">
        <w:rPr>
          <w:sz w:val="24"/>
          <w:szCs w:val="24"/>
          <w:rtl w:val="0"/>
        </w:rPr>
        <w:t xml:space="preserve">PNAD 2019 (Televisão)  </w:t>
      </w:r>
      <w:hyperlink r:id="rId22">
        <w:r w:rsidDel="00000000" w:rsidR="00000000" w:rsidRPr="00000000">
          <w:rPr>
            <w:color w:val="1155cc"/>
            <w:sz w:val="24"/>
            <w:szCs w:val="24"/>
            <w:u w:val="single"/>
            <w:rtl w:val="0"/>
          </w:rPr>
          <w:t xml:space="preserve">https://biblioteca.ibge.gov.br/visualizacao/livros/liv101794_informativo.pdf</w:t>
        </w:r>
      </w:hyperlink>
      <w:r w:rsidDel="00000000" w:rsidR="00000000" w:rsidRPr="00000000">
        <w:rPr>
          <w:rtl w:val="0"/>
        </w:rPr>
      </w:r>
    </w:p>
    <w:p w:rsidR="00000000" w:rsidDel="00000000" w:rsidP="00000000" w:rsidRDefault="00000000" w:rsidRPr="00000000" w14:paraId="00000047">
      <w:pPr>
        <w:jc w:val="left"/>
        <w:rPr>
          <w:b w:val="1"/>
          <w:sz w:val="24"/>
          <w:szCs w:val="24"/>
        </w:rPr>
      </w:pPr>
      <w:r w:rsidDel="00000000" w:rsidR="00000000" w:rsidRPr="00000000">
        <w:rPr>
          <w:b w:val="1"/>
          <w:sz w:val="24"/>
          <w:szCs w:val="24"/>
          <w:rtl w:val="0"/>
        </w:rPr>
        <w:t xml:space="preserve">procurar a visualização inteira desse ano, não apenas o informativo</w:t>
      </w:r>
    </w:p>
    <w:p w:rsidR="00000000" w:rsidDel="00000000" w:rsidP="00000000" w:rsidRDefault="00000000" w:rsidRPr="00000000" w14:paraId="00000048">
      <w:pPr>
        <w:jc w:val="left"/>
        <w:rPr>
          <w:sz w:val="24"/>
          <w:szCs w:val="24"/>
        </w:rPr>
      </w:pPr>
      <w:r w:rsidDel="00000000" w:rsidR="00000000" w:rsidRPr="00000000">
        <w:rPr>
          <w:sz w:val="24"/>
          <w:szCs w:val="24"/>
          <w:rtl w:val="0"/>
        </w:rPr>
        <w:t xml:space="preserve">Posse de bens nos domicílios</w:t>
      </w:r>
    </w:p>
    <w:p w:rsidR="00000000" w:rsidDel="00000000" w:rsidP="00000000" w:rsidRDefault="00000000" w:rsidRPr="00000000" w14:paraId="00000049">
      <w:pPr>
        <w:jc w:val="left"/>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Equipamento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possuem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Geladeira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Máquina de lavar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Televisão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Telefone 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Rádio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freezer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fogão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sz w:val="24"/>
          <w:szCs w:val="24"/>
          <w:rtl w:val="0"/>
        </w:rPr>
        <w:t xml:space="preserve">PNAD 2005 </w:t>
      </w:r>
      <w:hyperlink r:id="rId23">
        <w:r w:rsidDel="00000000" w:rsidR="00000000" w:rsidRPr="00000000">
          <w:rPr>
            <w:color w:val="1155cc"/>
            <w:sz w:val="24"/>
            <w:szCs w:val="24"/>
            <w:u w:val="single"/>
            <w:rtl w:val="0"/>
          </w:rPr>
          <w:t xml:space="preserve">https://biblioteca.ibge.gov.br/visualizacao/periodicos/59/pnad_2005_v26_br.pd</w:t>
        </w:r>
      </w:hyperlink>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b w:val="1"/>
          <w:sz w:val="24"/>
          <w:szCs w:val="24"/>
          <w:rtl w:val="0"/>
        </w:rPr>
        <w:t xml:space="preserve">Total de domicílios analisados</w:t>
      </w:r>
      <w:r w:rsidDel="00000000" w:rsidR="00000000" w:rsidRPr="00000000">
        <w:rPr>
          <w:sz w:val="24"/>
          <w:szCs w:val="24"/>
          <w:rtl w:val="0"/>
        </w:rPr>
        <w:t xml:space="preserve">: 53 052 621 </w:t>
      </w:r>
      <w:r w:rsidDel="00000000" w:rsidR="00000000" w:rsidRPr="00000000">
        <w:rPr>
          <w:rtl w:val="0"/>
        </w:rPr>
      </w:r>
    </w:p>
    <w:tbl>
      <w:tblPr>
        <w:tblStyle w:val="Table2"/>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57.0731707317077"/>
        <w:gridCol w:w="2701.463414634147"/>
        <w:gridCol w:w="2701.463414634147"/>
        <w:tblGridChange w:id="0">
          <w:tblGrid>
            <w:gridCol w:w="3957.0731707317077"/>
            <w:gridCol w:w="2701.463414634147"/>
            <w:gridCol w:w="2701.46341463414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Equipamento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Residências que possuem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Televisão (em cores e preto e branco)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sz w:val="24"/>
                <w:szCs w:val="24"/>
              </w:rPr>
            </w:pPr>
            <w:r w:rsidDel="00000000" w:rsidR="00000000" w:rsidRPr="00000000">
              <w:rPr>
                <w:sz w:val="24"/>
                <w:szCs w:val="24"/>
                <w:rtl w:val="0"/>
              </w:rPr>
              <w:t xml:space="preserve"> 48 476 947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sz w:val="24"/>
                <w:szCs w:val="24"/>
              </w:rPr>
            </w:pPr>
            <w:r w:rsidDel="00000000" w:rsidR="00000000" w:rsidRPr="00000000">
              <w:rPr>
                <w:sz w:val="24"/>
                <w:szCs w:val="24"/>
                <w:rtl w:val="0"/>
              </w:rPr>
              <w:t xml:space="preserve">91,37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24"/>
                <w:szCs w:val="24"/>
              </w:rPr>
            </w:pPr>
            <w:r w:rsidDel="00000000" w:rsidR="00000000" w:rsidRPr="00000000">
              <w:rPr>
                <w:sz w:val="24"/>
                <w:szCs w:val="24"/>
                <w:rtl w:val="0"/>
              </w:rPr>
              <w:t xml:space="preserve">Geladeira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sz w:val="24"/>
                <w:szCs w:val="24"/>
              </w:rPr>
            </w:pPr>
            <w:r w:rsidDel="00000000" w:rsidR="00000000" w:rsidRPr="00000000">
              <w:rPr>
                <w:sz w:val="24"/>
                <w:szCs w:val="24"/>
                <w:rtl w:val="0"/>
              </w:rPr>
              <w:t xml:space="preserve">46 663 691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sz w:val="24"/>
                <w:szCs w:val="24"/>
              </w:rPr>
            </w:pPr>
            <w:r w:rsidDel="00000000" w:rsidR="00000000" w:rsidRPr="00000000">
              <w:rPr>
                <w:sz w:val="24"/>
                <w:szCs w:val="24"/>
                <w:rtl w:val="0"/>
              </w:rPr>
              <w:t xml:space="preserve">87,96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sz w:val="24"/>
                <w:szCs w:val="24"/>
              </w:rPr>
            </w:pPr>
            <w:r w:rsidDel="00000000" w:rsidR="00000000" w:rsidRPr="00000000">
              <w:rPr>
                <w:sz w:val="24"/>
                <w:szCs w:val="24"/>
                <w:rtl w:val="0"/>
              </w:rPr>
              <w:t xml:space="preserve">Fogão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sz w:val="24"/>
                <w:szCs w:val="24"/>
              </w:rPr>
            </w:pPr>
            <w:r w:rsidDel="00000000" w:rsidR="00000000" w:rsidRPr="00000000">
              <w:rPr>
                <w:sz w:val="24"/>
                <w:szCs w:val="24"/>
                <w:rtl w:val="0"/>
              </w:rPr>
              <w:t xml:space="preserve">51 742 900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sz w:val="24"/>
                <w:szCs w:val="24"/>
              </w:rPr>
            </w:pPr>
            <w:r w:rsidDel="00000000" w:rsidR="00000000" w:rsidRPr="00000000">
              <w:rPr>
                <w:sz w:val="24"/>
                <w:szCs w:val="24"/>
                <w:rtl w:val="0"/>
              </w:rPr>
              <w:t xml:space="preserve">97,53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sz w:val="24"/>
                <w:szCs w:val="24"/>
              </w:rPr>
            </w:pPr>
            <w:r w:rsidDel="00000000" w:rsidR="00000000" w:rsidRPr="00000000">
              <w:rPr>
                <w:sz w:val="24"/>
                <w:szCs w:val="24"/>
                <w:rtl w:val="0"/>
              </w:rPr>
              <w:t xml:space="preserve">freezer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sz w:val="24"/>
                <w:szCs w:val="24"/>
              </w:rPr>
            </w:pPr>
            <w:r w:rsidDel="00000000" w:rsidR="00000000" w:rsidRPr="00000000">
              <w:rPr>
                <w:sz w:val="24"/>
                <w:szCs w:val="24"/>
                <w:rtl w:val="0"/>
              </w:rPr>
              <w:t xml:space="preserve">8 869 916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sz w:val="24"/>
                <w:szCs w:val="24"/>
              </w:rPr>
            </w:pPr>
            <w:r w:rsidDel="00000000" w:rsidR="00000000" w:rsidRPr="00000000">
              <w:rPr>
                <w:sz w:val="24"/>
                <w:szCs w:val="24"/>
                <w:rtl w:val="0"/>
              </w:rPr>
              <w:t xml:space="preserve">16,72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sz w:val="24"/>
                <w:szCs w:val="24"/>
              </w:rPr>
            </w:pPr>
            <w:r w:rsidDel="00000000" w:rsidR="00000000" w:rsidRPr="00000000">
              <w:rPr>
                <w:sz w:val="24"/>
                <w:szCs w:val="24"/>
                <w:rtl w:val="0"/>
              </w:rPr>
              <w:t xml:space="preserve">Máquina de lavar roupa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sz w:val="24"/>
                <w:szCs w:val="24"/>
              </w:rPr>
            </w:pPr>
            <w:r w:rsidDel="00000000" w:rsidR="00000000" w:rsidRPr="00000000">
              <w:rPr>
                <w:sz w:val="24"/>
                <w:szCs w:val="24"/>
                <w:rtl w:val="0"/>
              </w:rPr>
              <w:t xml:space="preserve">18 990 891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sz w:val="24"/>
                <w:szCs w:val="24"/>
              </w:rPr>
            </w:pPr>
            <w:r w:rsidDel="00000000" w:rsidR="00000000" w:rsidRPr="00000000">
              <w:rPr>
                <w:sz w:val="24"/>
                <w:szCs w:val="24"/>
                <w:rtl w:val="0"/>
              </w:rPr>
              <w:t xml:space="preserve">35,80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sz w:val="24"/>
                <w:szCs w:val="24"/>
              </w:rPr>
            </w:pPr>
            <w:r w:rsidDel="00000000" w:rsidR="00000000" w:rsidRPr="00000000">
              <w:rPr>
                <w:sz w:val="24"/>
                <w:szCs w:val="24"/>
                <w:rtl w:val="0"/>
              </w:rPr>
              <w:t xml:space="preserve">Rádio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sz w:val="24"/>
                <w:szCs w:val="24"/>
              </w:rPr>
            </w:pPr>
            <w:r w:rsidDel="00000000" w:rsidR="00000000" w:rsidRPr="00000000">
              <w:rPr>
                <w:sz w:val="24"/>
                <w:szCs w:val="24"/>
                <w:rtl w:val="0"/>
              </w:rPr>
              <w:t xml:space="preserve">46 698 262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sz w:val="24"/>
                <w:szCs w:val="24"/>
              </w:rPr>
            </w:pPr>
            <w:r w:rsidDel="00000000" w:rsidR="00000000" w:rsidRPr="00000000">
              <w:rPr>
                <w:sz w:val="24"/>
                <w:szCs w:val="24"/>
                <w:rtl w:val="0"/>
              </w:rPr>
              <w:t xml:space="preserve">88,02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sz w:val="24"/>
                <w:szCs w:val="24"/>
              </w:rPr>
            </w:pPr>
            <w:r w:rsidDel="00000000" w:rsidR="00000000" w:rsidRPr="00000000">
              <w:rPr>
                <w:rtl w:val="0"/>
              </w:rPr>
            </w:r>
          </w:p>
        </w:tc>
      </w:tr>
    </w:tbl>
    <w:p w:rsidR="00000000" w:rsidDel="00000000" w:rsidP="00000000" w:rsidRDefault="00000000" w:rsidRPr="00000000" w14:paraId="00000077">
      <w:pPr>
        <w:jc w:val="left"/>
        <w:rPr>
          <w:sz w:val="24"/>
          <w:szCs w:val="24"/>
        </w:rPr>
      </w:pPr>
      <w:r w:rsidDel="00000000" w:rsidR="00000000" w:rsidRPr="00000000">
        <w:rPr>
          <w:rtl w:val="0"/>
        </w:rPr>
      </w:r>
    </w:p>
    <w:p w:rsidR="00000000" w:rsidDel="00000000" w:rsidP="00000000" w:rsidRDefault="00000000" w:rsidRPr="00000000" w14:paraId="00000078">
      <w:pPr>
        <w:jc w:val="left"/>
        <w:rPr>
          <w:sz w:val="24"/>
          <w:szCs w:val="24"/>
        </w:rPr>
      </w:pP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sz w:val="24"/>
          <w:szCs w:val="24"/>
          <w:rtl w:val="0"/>
        </w:rPr>
        <w:t xml:space="preserve">PNAD 1997 </w:t>
      </w:r>
      <w:hyperlink r:id="rId24">
        <w:r w:rsidDel="00000000" w:rsidR="00000000" w:rsidRPr="00000000">
          <w:rPr>
            <w:color w:val="1155cc"/>
            <w:sz w:val="24"/>
            <w:szCs w:val="24"/>
            <w:u w:val="single"/>
            <w:rtl w:val="0"/>
          </w:rPr>
          <w:t xml:space="preserve">https://biblioteca.ibge.gov.br/visualizacao/periodicos/59/pnad_1997_v19_n1_br.pdf</w:t>
        </w:r>
      </w:hyperlink>
      <w:r w:rsidDel="00000000" w:rsidR="00000000" w:rsidRPr="00000000">
        <w:rPr>
          <w:sz w:val="24"/>
          <w:szCs w:val="24"/>
          <w:rtl w:val="0"/>
        </w:rPr>
        <w:t xml:space="preserve"> </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Total domicílios: 40 644 623</w:t>
      </w:r>
    </w:p>
    <w:tbl>
      <w:tblPr>
        <w:tblStyle w:val="Table3"/>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57.0731707317077"/>
        <w:gridCol w:w="2701.463414634147"/>
        <w:gridCol w:w="2701.463414634147"/>
        <w:tblGridChange w:id="0">
          <w:tblGrid>
            <w:gridCol w:w="3957.0731707317077"/>
            <w:gridCol w:w="2701.463414634147"/>
            <w:gridCol w:w="2701.46341463414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sz w:val="24"/>
                <w:szCs w:val="24"/>
              </w:rPr>
            </w:pPr>
            <w:r w:rsidDel="00000000" w:rsidR="00000000" w:rsidRPr="00000000">
              <w:rPr>
                <w:sz w:val="24"/>
                <w:szCs w:val="24"/>
                <w:rtl w:val="0"/>
              </w:rPr>
              <w:t xml:space="preserve">Equipamento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sz w:val="24"/>
                <w:szCs w:val="24"/>
              </w:rPr>
            </w:pPr>
            <w:r w:rsidDel="00000000" w:rsidR="00000000" w:rsidRPr="00000000">
              <w:rPr>
                <w:sz w:val="24"/>
                <w:szCs w:val="24"/>
                <w:rtl w:val="0"/>
              </w:rPr>
              <w:t xml:space="preserve">Residências que possuem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sz w:val="24"/>
                <w:szCs w:val="24"/>
              </w:rPr>
            </w:pPr>
            <w:r w:rsidDel="00000000" w:rsidR="00000000" w:rsidRPr="00000000">
              <w:rPr>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sz w:val="24"/>
                <w:szCs w:val="24"/>
              </w:rPr>
            </w:pPr>
            <w:r w:rsidDel="00000000" w:rsidR="00000000" w:rsidRPr="00000000">
              <w:rPr>
                <w:sz w:val="24"/>
                <w:szCs w:val="24"/>
                <w:rtl w:val="0"/>
              </w:rPr>
              <w:t xml:space="preserve">Televisão (em cores e preto e branco)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sz w:val="24"/>
                <w:szCs w:val="24"/>
              </w:rPr>
            </w:pPr>
            <w:r w:rsidDel="00000000" w:rsidR="00000000" w:rsidRPr="00000000">
              <w:rPr>
                <w:sz w:val="24"/>
                <w:szCs w:val="24"/>
                <w:rtl w:val="0"/>
              </w:rPr>
              <w:t xml:space="preserve">35 041 042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sz w:val="24"/>
                <w:szCs w:val="24"/>
              </w:rPr>
            </w:pPr>
            <w:r w:rsidDel="00000000" w:rsidR="00000000" w:rsidRPr="00000000">
              <w:rPr>
                <w:sz w:val="24"/>
                <w:szCs w:val="24"/>
                <w:rtl w:val="0"/>
              </w:rPr>
              <w:t xml:space="preserve">86,21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sz w:val="24"/>
                <w:szCs w:val="24"/>
              </w:rPr>
            </w:pPr>
            <w:r w:rsidDel="00000000" w:rsidR="00000000" w:rsidRPr="00000000">
              <w:rPr>
                <w:sz w:val="24"/>
                <w:szCs w:val="24"/>
                <w:rtl w:val="0"/>
              </w:rPr>
              <w:t xml:space="preserve">Geladeira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sz w:val="24"/>
                <w:szCs w:val="24"/>
              </w:rPr>
            </w:pPr>
            <w:r w:rsidDel="00000000" w:rsidR="00000000" w:rsidRPr="00000000">
              <w:rPr>
                <w:sz w:val="24"/>
                <w:szCs w:val="24"/>
                <w:rtl w:val="0"/>
              </w:rPr>
              <w:t xml:space="preserve">32 623 985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sz w:val="24"/>
                <w:szCs w:val="24"/>
              </w:rPr>
            </w:pPr>
            <w:r w:rsidDel="00000000" w:rsidR="00000000" w:rsidRPr="00000000">
              <w:rPr>
                <w:sz w:val="24"/>
                <w:szCs w:val="24"/>
                <w:rtl w:val="0"/>
              </w:rPr>
              <w:t xml:space="preserve">80,27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sz w:val="24"/>
                <w:szCs w:val="24"/>
              </w:rPr>
            </w:pPr>
            <w:r w:rsidDel="00000000" w:rsidR="00000000" w:rsidRPr="00000000">
              <w:rPr>
                <w:sz w:val="24"/>
                <w:szCs w:val="24"/>
                <w:rtl w:val="0"/>
              </w:rPr>
              <w:t xml:space="preserve">Fogão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sz w:val="24"/>
                <w:szCs w:val="24"/>
              </w:rPr>
            </w:pPr>
            <w:r w:rsidDel="00000000" w:rsidR="00000000" w:rsidRPr="00000000">
              <w:rPr>
                <w:sz w:val="24"/>
                <w:szCs w:val="24"/>
                <w:rtl w:val="0"/>
              </w:rPr>
              <w:t xml:space="preserve">39 431 219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sz w:val="24"/>
                <w:szCs w:val="24"/>
              </w:rPr>
            </w:pPr>
            <w:r w:rsidDel="00000000" w:rsidR="00000000" w:rsidRPr="00000000">
              <w:rPr>
                <w:sz w:val="24"/>
                <w:szCs w:val="24"/>
                <w:rtl w:val="0"/>
              </w:rPr>
              <w:t xml:space="preserve">97,01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sz w:val="24"/>
                <w:szCs w:val="24"/>
              </w:rPr>
            </w:pPr>
            <w:r w:rsidDel="00000000" w:rsidR="00000000" w:rsidRPr="00000000">
              <w:rPr>
                <w:sz w:val="24"/>
                <w:szCs w:val="24"/>
                <w:rtl w:val="0"/>
              </w:rPr>
              <w:t xml:space="preserve">freezer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sz w:val="24"/>
                <w:szCs w:val="24"/>
              </w:rPr>
            </w:pPr>
            <w:r w:rsidDel="00000000" w:rsidR="00000000" w:rsidRPr="00000000">
              <w:rPr>
                <w:sz w:val="24"/>
                <w:szCs w:val="24"/>
                <w:rtl w:val="0"/>
              </w:rPr>
              <w:t xml:space="preserve">7 630 603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sz w:val="24"/>
                <w:szCs w:val="24"/>
              </w:rPr>
            </w:pPr>
            <w:r w:rsidDel="00000000" w:rsidR="00000000" w:rsidRPr="00000000">
              <w:rPr>
                <w:sz w:val="24"/>
                <w:szCs w:val="24"/>
                <w:rtl w:val="0"/>
              </w:rPr>
              <w:t xml:space="preserve">18,77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sz w:val="24"/>
                <w:szCs w:val="24"/>
              </w:rPr>
            </w:pPr>
            <w:r w:rsidDel="00000000" w:rsidR="00000000" w:rsidRPr="00000000">
              <w:rPr>
                <w:sz w:val="24"/>
                <w:szCs w:val="24"/>
                <w:rtl w:val="0"/>
              </w:rPr>
              <w:t xml:space="preserve">Máquina de lavar roupa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sz w:val="24"/>
                <w:szCs w:val="24"/>
              </w:rPr>
            </w:pPr>
            <w:r w:rsidDel="00000000" w:rsidR="00000000" w:rsidRPr="00000000">
              <w:rPr>
                <w:sz w:val="24"/>
                <w:szCs w:val="24"/>
                <w:rtl w:val="0"/>
              </w:rPr>
              <w:t xml:space="preserve">12 894 505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sz w:val="24"/>
                <w:szCs w:val="24"/>
              </w:rPr>
            </w:pPr>
            <w:r w:rsidDel="00000000" w:rsidR="00000000" w:rsidRPr="00000000">
              <w:rPr>
                <w:sz w:val="24"/>
                <w:szCs w:val="24"/>
                <w:rtl w:val="0"/>
              </w:rPr>
              <w:t xml:space="preserve">31,72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sz w:val="24"/>
                <w:szCs w:val="24"/>
              </w:rPr>
            </w:pPr>
            <w:r w:rsidDel="00000000" w:rsidR="00000000" w:rsidRPr="00000000">
              <w:rPr>
                <w:sz w:val="24"/>
                <w:szCs w:val="24"/>
                <w:rtl w:val="0"/>
              </w:rPr>
              <w:t xml:space="preserve">Rádio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sz w:val="24"/>
                <w:szCs w:val="24"/>
              </w:rPr>
            </w:pPr>
            <w:r w:rsidDel="00000000" w:rsidR="00000000" w:rsidRPr="00000000">
              <w:rPr>
                <w:sz w:val="24"/>
                <w:szCs w:val="24"/>
                <w:rtl w:val="0"/>
              </w:rPr>
              <w:t xml:space="preserve">36 712 634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sz w:val="24"/>
                <w:szCs w:val="24"/>
              </w:rPr>
            </w:pPr>
            <w:r w:rsidDel="00000000" w:rsidR="00000000" w:rsidRPr="00000000">
              <w:rPr>
                <w:sz w:val="24"/>
                <w:szCs w:val="24"/>
                <w:rtl w:val="0"/>
              </w:rPr>
              <w:t xml:space="preserve">90,32</w:t>
            </w:r>
          </w:p>
        </w:tc>
      </w:tr>
    </w:tbl>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jc w:val="left"/>
        <w:rPr>
          <w:sz w:val="24"/>
          <w:szCs w:val="24"/>
        </w:rPr>
      </w:pPr>
      <w:r w:rsidDel="00000000" w:rsidR="00000000" w:rsidRPr="00000000">
        <w:rPr>
          <w:sz w:val="24"/>
          <w:szCs w:val="24"/>
          <w:rtl w:val="0"/>
        </w:rPr>
        <w:t xml:space="preserve">PNAD 1988 </w:t>
      </w:r>
      <w:hyperlink r:id="rId25">
        <w:r w:rsidDel="00000000" w:rsidR="00000000" w:rsidRPr="00000000">
          <w:rPr>
            <w:color w:val="1155cc"/>
            <w:sz w:val="24"/>
            <w:szCs w:val="24"/>
            <w:u w:val="single"/>
            <w:rtl w:val="0"/>
          </w:rPr>
          <w:t xml:space="preserve">https://biblioteca.ibge.gov.br/visualizacao/periodicos/59/pnad_1988_v12_t1_br.pdf</w:t>
        </w:r>
      </w:hyperlink>
      <w:r w:rsidDel="00000000" w:rsidR="00000000" w:rsidRPr="00000000">
        <w:rPr>
          <w:sz w:val="24"/>
          <w:szCs w:val="24"/>
          <w:rtl w:val="0"/>
        </w:rPr>
        <w:t xml:space="preserve"> </w:t>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Total domicílios: 15 805 676</w:t>
      </w:r>
    </w:p>
    <w:tbl>
      <w:tblPr>
        <w:tblStyle w:val="Table4"/>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57.0731707317077"/>
        <w:gridCol w:w="2701.463414634147"/>
        <w:gridCol w:w="2701.463414634147"/>
        <w:tblGridChange w:id="0">
          <w:tblGrid>
            <w:gridCol w:w="3957.0731707317077"/>
            <w:gridCol w:w="2701.463414634147"/>
            <w:gridCol w:w="2701.46341463414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4"/>
                <w:szCs w:val="24"/>
              </w:rPr>
            </w:pPr>
            <w:r w:rsidDel="00000000" w:rsidR="00000000" w:rsidRPr="00000000">
              <w:rPr>
                <w:sz w:val="24"/>
                <w:szCs w:val="24"/>
                <w:rtl w:val="0"/>
              </w:rPr>
              <w:t xml:space="preserve">Equipamento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sz w:val="24"/>
                <w:szCs w:val="24"/>
              </w:rPr>
            </w:pPr>
            <w:r w:rsidDel="00000000" w:rsidR="00000000" w:rsidRPr="00000000">
              <w:rPr>
                <w:sz w:val="24"/>
                <w:szCs w:val="24"/>
                <w:rtl w:val="0"/>
              </w:rPr>
              <w:t xml:space="preserve">Residências que possuem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sz w:val="24"/>
                <w:szCs w:val="24"/>
              </w:rPr>
            </w:pPr>
            <w:r w:rsidDel="00000000" w:rsidR="00000000" w:rsidRPr="00000000">
              <w:rPr>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sz w:val="24"/>
                <w:szCs w:val="24"/>
              </w:rPr>
            </w:pPr>
            <w:r w:rsidDel="00000000" w:rsidR="00000000" w:rsidRPr="00000000">
              <w:rPr>
                <w:sz w:val="24"/>
                <w:szCs w:val="24"/>
                <w:rtl w:val="0"/>
              </w:rPr>
              <w:t xml:space="preserve">Televisão (em cores e preto e branco)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sz w:val="24"/>
                <w:szCs w:val="24"/>
              </w:rPr>
            </w:pPr>
            <w:r w:rsidDel="00000000" w:rsidR="00000000" w:rsidRPr="00000000">
              <w:rPr>
                <w:sz w:val="24"/>
                <w:szCs w:val="24"/>
                <w:rtl w:val="0"/>
              </w:rPr>
              <w:t xml:space="preserve">13 319 522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sz w:val="24"/>
                <w:szCs w:val="24"/>
              </w:rPr>
            </w:pPr>
            <w:r w:rsidDel="00000000" w:rsidR="00000000" w:rsidRPr="00000000">
              <w:rPr>
                <w:sz w:val="24"/>
                <w:szCs w:val="24"/>
                <w:rtl w:val="0"/>
              </w:rPr>
              <w:t xml:space="preserve">84,27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sz w:val="24"/>
                <w:szCs w:val="24"/>
              </w:rPr>
            </w:pPr>
            <w:r w:rsidDel="00000000" w:rsidR="00000000" w:rsidRPr="00000000">
              <w:rPr>
                <w:sz w:val="24"/>
                <w:szCs w:val="24"/>
                <w:rtl w:val="0"/>
              </w:rPr>
              <w:t xml:space="preserve">Geladeira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sz w:val="24"/>
                <w:szCs w:val="24"/>
              </w:rPr>
            </w:pPr>
            <w:r w:rsidDel="00000000" w:rsidR="00000000" w:rsidRPr="00000000">
              <w:rPr>
                <w:sz w:val="24"/>
                <w:szCs w:val="24"/>
                <w:rtl w:val="0"/>
              </w:rPr>
              <w:t xml:space="preserve">12 896 891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sz w:val="24"/>
                <w:szCs w:val="24"/>
              </w:rPr>
            </w:pPr>
            <w:r w:rsidDel="00000000" w:rsidR="00000000" w:rsidRPr="00000000">
              <w:rPr>
                <w:sz w:val="24"/>
                <w:szCs w:val="24"/>
                <w:rtl w:val="0"/>
              </w:rPr>
              <w:t xml:space="preserve">81,60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sz w:val="24"/>
                <w:szCs w:val="24"/>
              </w:rPr>
            </w:pPr>
            <w:r w:rsidDel="00000000" w:rsidR="00000000" w:rsidRPr="00000000">
              <w:rPr>
                <w:sz w:val="24"/>
                <w:szCs w:val="24"/>
                <w:rtl w:val="0"/>
              </w:rPr>
              <w:t xml:space="preserve">Fogão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sz w:val="24"/>
                <w:szCs w:val="24"/>
              </w:rPr>
            </w:pPr>
            <w:r w:rsidDel="00000000" w:rsidR="00000000" w:rsidRPr="00000000">
              <w:rPr>
                <w:sz w:val="24"/>
                <w:szCs w:val="24"/>
                <w:rtl w:val="0"/>
              </w:rPr>
              <w:t xml:space="preserve">15 702 795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sz w:val="24"/>
                <w:szCs w:val="24"/>
              </w:rPr>
            </w:pPr>
            <w:r w:rsidDel="00000000" w:rsidR="00000000" w:rsidRPr="00000000">
              <w:rPr>
                <w:sz w:val="24"/>
                <w:szCs w:val="24"/>
                <w:rtl w:val="0"/>
              </w:rPr>
              <w:t xml:space="preserve">99,35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sz w:val="24"/>
                <w:szCs w:val="24"/>
              </w:rPr>
            </w:pPr>
            <w:r w:rsidDel="00000000" w:rsidR="00000000" w:rsidRPr="00000000">
              <w:rPr>
                <w:sz w:val="24"/>
                <w:szCs w:val="24"/>
                <w:rtl w:val="0"/>
              </w:rPr>
              <w:t xml:space="preserve">Rádio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sz w:val="24"/>
                <w:szCs w:val="24"/>
              </w:rPr>
            </w:pPr>
            <w:r w:rsidDel="00000000" w:rsidR="00000000" w:rsidRPr="00000000">
              <w:rPr>
                <w:sz w:val="24"/>
                <w:szCs w:val="24"/>
                <w:rtl w:val="0"/>
              </w:rPr>
              <w:t xml:space="preserve">32 205 772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sz w:val="24"/>
                <w:szCs w:val="24"/>
              </w:rPr>
            </w:pPr>
            <w:r w:rsidDel="00000000" w:rsidR="00000000" w:rsidRPr="00000000">
              <w:rPr>
                <w:sz w:val="24"/>
                <w:szCs w:val="24"/>
                <w:rtl w:val="0"/>
              </w:rPr>
              <w:t xml:space="preserve">97,10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sz w:val="24"/>
                <w:szCs w:val="24"/>
              </w:rPr>
            </w:pPr>
            <w:r w:rsidDel="00000000" w:rsidR="00000000" w:rsidRPr="00000000">
              <w:rPr>
                <w:sz w:val="24"/>
                <w:szCs w:val="24"/>
                <w:rtl w:val="0"/>
              </w:rPr>
              <w:t xml:space="preserve">Máquina de lavar roupa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sz w:val="24"/>
                <w:szCs w:val="24"/>
              </w:rPr>
            </w:pPr>
            <w:r w:rsidDel="00000000" w:rsidR="00000000" w:rsidRPr="00000000">
              <w:rPr>
                <w:sz w:val="24"/>
                <w:szCs w:val="24"/>
                <w:rtl w:val="0"/>
              </w:rPr>
              <w:t xml:space="preserve">freezer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sz w:val="24"/>
                <w:szCs w:val="24"/>
              </w:rPr>
            </w:pPr>
            <w:r w:rsidDel="00000000" w:rsidR="00000000" w:rsidRPr="00000000">
              <w:rPr>
                <w:rtl w:val="0"/>
              </w:rPr>
            </w:r>
          </w:p>
        </w:tc>
      </w:tr>
    </w:tbl>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jc w:val="left"/>
        <w:rPr>
          <w:sz w:val="24"/>
          <w:szCs w:val="24"/>
        </w:rPr>
      </w:pPr>
      <w:r w:rsidDel="00000000" w:rsidR="00000000" w:rsidRPr="00000000">
        <w:rPr>
          <w:sz w:val="24"/>
          <w:szCs w:val="24"/>
          <w:rtl w:val="0"/>
        </w:rPr>
        <w:t xml:space="preserve">Por </w:t>
      </w:r>
      <w:r w:rsidDel="00000000" w:rsidR="00000000" w:rsidRPr="00000000">
        <w:rPr>
          <w:b w:val="1"/>
          <w:sz w:val="24"/>
          <w:szCs w:val="24"/>
          <w:rtl w:val="0"/>
        </w:rPr>
        <w:t xml:space="preserve">região </w:t>
      </w:r>
      <w:r w:rsidDel="00000000" w:rsidR="00000000" w:rsidRPr="00000000">
        <w:rPr>
          <w:sz w:val="24"/>
          <w:szCs w:val="24"/>
          <w:rtl w:val="0"/>
        </w:rPr>
        <w:t xml:space="preserve">também pode ser analisado, mas não em todos os anos: </w:t>
      </w:r>
      <w:hyperlink r:id="rId26">
        <w:r w:rsidDel="00000000" w:rsidR="00000000" w:rsidRPr="00000000">
          <w:rPr>
            <w:color w:val="1155cc"/>
            <w:sz w:val="24"/>
            <w:szCs w:val="24"/>
            <w:u w:val="single"/>
            <w:rtl w:val="0"/>
          </w:rPr>
          <w:t xml:space="preserve">https://biblioteca.ibge.gov.br/index.php/biblioteca-catalogo?view=detalhes&amp;id=759</w:t>
        </w:r>
      </w:hyperlink>
      <w:r w:rsidDel="00000000" w:rsidR="00000000" w:rsidRPr="00000000">
        <w:rPr>
          <w:sz w:val="24"/>
          <w:szCs w:val="24"/>
          <w:rtl w:val="0"/>
        </w:rPr>
        <w:t xml:space="preserve"> </w:t>
      </w:r>
    </w:p>
    <w:p w:rsidR="00000000" w:rsidDel="00000000" w:rsidP="00000000" w:rsidRDefault="00000000" w:rsidRPr="00000000" w14:paraId="000000AA">
      <w:pPr>
        <w:jc w:val="left"/>
        <w:rPr>
          <w:sz w:val="24"/>
          <w:szCs w:val="24"/>
        </w:rPr>
      </w:pPr>
      <w:r w:rsidDel="00000000" w:rsidR="00000000" w:rsidRPr="00000000">
        <w:rPr>
          <w:rtl w:val="0"/>
        </w:rPr>
      </w:r>
    </w:p>
    <w:p w:rsidR="00000000" w:rsidDel="00000000" w:rsidP="00000000" w:rsidRDefault="00000000" w:rsidRPr="00000000" w14:paraId="000000AB">
      <w:pPr>
        <w:ind w:left="720" w:firstLine="0"/>
        <w:jc w:val="left"/>
        <w:rPr>
          <w:sz w:val="24"/>
          <w:szCs w:val="24"/>
        </w:rPr>
      </w:pPr>
      <w:r w:rsidDel="00000000" w:rsidR="00000000" w:rsidRPr="00000000">
        <w:rPr>
          <w:rtl w:val="0"/>
        </w:rPr>
      </w:r>
    </w:p>
    <w:p w:rsidR="00000000" w:rsidDel="00000000" w:rsidP="00000000" w:rsidRDefault="00000000" w:rsidRPr="00000000" w14:paraId="000000AC">
      <w:pPr>
        <w:jc w:val="left"/>
        <w:rPr>
          <w:sz w:val="24"/>
          <w:szCs w:val="24"/>
        </w:rPr>
      </w:pPr>
      <w:hyperlink r:id="rId27">
        <w:r w:rsidDel="00000000" w:rsidR="00000000" w:rsidRPr="00000000">
          <w:rPr>
            <w:color w:val="1155cc"/>
            <w:sz w:val="24"/>
            <w:szCs w:val="24"/>
            <w:u w:val="single"/>
            <w:rtl w:val="0"/>
          </w:rPr>
          <w:t xml:space="preserve">https://biblioteca.ibge.gov.br/visualizacao/periodicos/230/pmc_2019_jan.pdf</w:t>
        </w:r>
      </w:hyperlink>
      <w:r w:rsidDel="00000000" w:rsidR="00000000" w:rsidRPr="00000000">
        <w:rPr>
          <w:sz w:val="24"/>
          <w:szCs w:val="24"/>
          <w:rtl w:val="0"/>
        </w:rPr>
        <w:t xml:space="preserve"> </w:t>
      </w:r>
    </w:p>
    <w:p w:rsidR="00000000" w:rsidDel="00000000" w:rsidP="00000000" w:rsidRDefault="00000000" w:rsidRPr="00000000" w14:paraId="000000AD">
      <w:pPr>
        <w:jc w:val="left"/>
        <w:rPr>
          <w:sz w:val="24"/>
          <w:szCs w:val="24"/>
        </w:rPr>
      </w:pPr>
      <w:r w:rsidDel="00000000" w:rsidR="00000000" w:rsidRPr="00000000">
        <w:rPr>
          <w:b w:val="1"/>
          <w:sz w:val="24"/>
          <w:szCs w:val="24"/>
          <w:rtl w:val="0"/>
        </w:rPr>
        <w:t xml:space="preserve">Resultados setoriais de vendas do comércio varejista </w:t>
      </w:r>
      <w:r w:rsidDel="00000000" w:rsidR="00000000" w:rsidRPr="00000000">
        <w:rPr>
          <w:sz w:val="24"/>
          <w:szCs w:val="24"/>
          <w:rtl w:val="0"/>
        </w:rPr>
        <w:t xml:space="preserve">(Ceará, Pernambuco, Bahia, Minas Gerais, Espírito Santo, Rio de Janeiro, São Paulo, Paraná, Santa Catarina, Rio Grande do Sul, Goiás e Distrito Federal)</w:t>
      </w:r>
    </w:p>
    <w:p w:rsidR="00000000" w:rsidDel="00000000" w:rsidP="00000000" w:rsidRDefault="00000000" w:rsidRPr="00000000" w14:paraId="000000AE">
      <w:pPr>
        <w:jc w:val="left"/>
        <w:rPr>
          <w:sz w:val="24"/>
          <w:szCs w:val="24"/>
        </w:rPr>
      </w:pPr>
      <w:r w:rsidDel="00000000" w:rsidR="00000000" w:rsidRPr="00000000">
        <w:rPr>
          <w:sz w:val="24"/>
          <w:szCs w:val="24"/>
          <w:rtl w:val="0"/>
        </w:rPr>
        <w:t xml:space="preserve">Categoria em que os equipamentos se encaixam Móveis e eletrodomésticos (artigos de uso pessoal e doméstico?) </w:t>
      </w:r>
      <w:r w:rsidDel="00000000" w:rsidR="00000000" w:rsidRPr="00000000">
        <w:rPr>
          <w:rtl w:val="0"/>
        </w:rPr>
      </w:r>
    </w:p>
    <w:p w:rsidR="00000000" w:rsidDel="00000000" w:rsidP="00000000" w:rsidRDefault="00000000" w:rsidRPr="00000000" w14:paraId="000000AF">
      <w:pPr>
        <w:jc w:val="left"/>
        <w:rPr>
          <w:sz w:val="24"/>
          <w:szCs w:val="24"/>
        </w:rPr>
      </w:pPr>
      <w:r w:rsidDel="00000000" w:rsidR="00000000" w:rsidRPr="00000000">
        <w:rPr>
          <w:sz w:val="24"/>
          <w:szCs w:val="24"/>
          <w:rtl w:val="0"/>
        </w:rPr>
        <w:t xml:space="preserve">É possível encontrar por estado: </w:t>
      </w:r>
      <w:hyperlink r:id="rId28">
        <w:r w:rsidDel="00000000" w:rsidR="00000000" w:rsidRPr="00000000">
          <w:rPr>
            <w:color w:val="1155cc"/>
            <w:sz w:val="24"/>
            <w:szCs w:val="24"/>
            <w:u w:val="single"/>
            <w:rtl w:val="0"/>
          </w:rPr>
          <w:t xml:space="preserve">https://biblioteca.ibge.gov.br/index.php/biblioteca-catalogo?view=detalhes&amp;id=7230</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0">
      <w:pPr>
        <w:jc w:val="center"/>
        <w:rPr>
          <w:b w:val="1"/>
          <w:sz w:val="26"/>
          <w:szCs w:val="26"/>
        </w:rPr>
      </w:pPr>
      <w:r w:rsidDel="00000000" w:rsidR="00000000" w:rsidRPr="00000000">
        <w:rPr>
          <w:rtl w:val="0"/>
        </w:rPr>
      </w:r>
    </w:p>
    <w:p w:rsidR="00000000" w:rsidDel="00000000" w:rsidP="00000000" w:rsidRDefault="00000000" w:rsidRPr="00000000" w14:paraId="000000B1">
      <w:pPr>
        <w:jc w:val="center"/>
        <w:rPr>
          <w:b w:val="1"/>
          <w:sz w:val="26"/>
          <w:szCs w:val="26"/>
        </w:rPr>
      </w:pPr>
      <w:r w:rsidDel="00000000" w:rsidR="00000000" w:rsidRPr="00000000">
        <w:rPr>
          <w:b w:val="1"/>
          <w:sz w:val="26"/>
          <w:szCs w:val="26"/>
          <w:rtl w:val="0"/>
        </w:rPr>
        <w:t xml:space="preserve">Histórico de posse de equipamentos em países desenvolvidos </w:t>
      </w:r>
    </w:p>
    <w:p w:rsidR="00000000" w:rsidDel="00000000" w:rsidP="00000000" w:rsidRDefault="00000000" w:rsidRPr="00000000" w14:paraId="000000B2">
      <w:pPr>
        <w:jc w:val="center"/>
        <w:rPr>
          <w:b w:val="1"/>
          <w:sz w:val="26"/>
          <w:szCs w:val="26"/>
        </w:rPr>
      </w:pPr>
      <w:r w:rsidDel="00000000" w:rsidR="00000000" w:rsidRPr="00000000">
        <w:rPr>
          <w:b w:val="1"/>
          <w:sz w:val="26"/>
          <w:szCs w:val="26"/>
          <w:rtl w:val="0"/>
        </w:rPr>
        <w:t xml:space="preserve">Histórico de venda de equipamentos por região e Brasil </w:t>
      </w:r>
    </w:p>
    <w:p w:rsidR="00000000" w:rsidDel="00000000" w:rsidP="00000000" w:rsidRDefault="00000000" w:rsidRPr="00000000" w14:paraId="000000B3">
      <w:pPr>
        <w:jc w:val="center"/>
        <w:rPr>
          <w:b w:val="1"/>
          <w:sz w:val="26"/>
          <w:szCs w:val="26"/>
        </w:rPr>
      </w:pPr>
      <w:r w:rsidDel="00000000" w:rsidR="00000000" w:rsidRPr="00000000">
        <w:rPr>
          <w:rtl w:val="0"/>
        </w:rPr>
      </w:r>
    </w:p>
    <w:p w:rsidR="00000000" w:rsidDel="00000000" w:rsidP="00000000" w:rsidRDefault="00000000" w:rsidRPr="00000000" w14:paraId="000000B4">
      <w:pPr>
        <w:jc w:val="center"/>
        <w:rPr>
          <w:b w:val="1"/>
          <w:sz w:val="26"/>
          <w:szCs w:val="26"/>
        </w:rPr>
      </w:pPr>
      <w:r w:rsidDel="00000000" w:rsidR="00000000" w:rsidRPr="00000000">
        <w:rPr>
          <w:b w:val="1"/>
          <w:sz w:val="26"/>
          <w:szCs w:val="26"/>
          <w:rtl w:val="0"/>
        </w:rPr>
        <w:t xml:space="preserve">Projeção de venda de equipamentos por região e brasil até 2050</w:t>
      </w:r>
    </w:p>
    <w:p w:rsidR="00000000" w:rsidDel="00000000" w:rsidP="00000000" w:rsidRDefault="00000000" w:rsidRPr="00000000" w14:paraId="000000B5">
      <w:pPr>
        <w:jc w:val="center"/>
        <w:rPr>
          <w:b w:val="1"/>
          <w:sz w:val="26"/>
          <w:szCs w:val="26"/>
        </w:rPr>
      </w:pPr>
      <w:r w:rsidDel="00000000" w:rsidR="00000000" w:rsidRPr="00000000">
        <w:rPr>
          <w:rtl w:val="0"/>
        </w:rPr>
      </w:r>
    </w:p>
    <w:p w:rsidR="00000000" w:rsidDel="00000000" w:rsidP="00000000" w:rsidRDefault="00000000" w:rsidRPr="00000000" w14:paraId="000000B6">
      <w:pPr>
        <w:jc w:val="left"/>
        <w:rPr>
          <w:sz w:val="24"/>
          <w:szCs w:val="24"/>
        </w:rPr>
      </w:pPr>
      <w:r w:rsidDel="00000000" w:rsidR="00000000" w:rsidRPr="00000000">
        <w:rPr>
          <w:b w:val="1"/>
          <w:sz w:val="26"/>
          <w:szCs w:val="26"/>
          <w:rtl w:val="0"/>
        </w:rPr>
        <w:t xml:space="preserve">Ar condicionado (2035): </w:t>
      </w:r>
      <w:hyperlink r:id="rId29">
        <w:r w:rsidDel="00000000" w:rsidR="00000000" w:rsidRPr="00000000">
          <w:rPr>
            <w:color w:val="1155cc"/>
            <w:sz w:val="24"/>
            <w:szCs w:val="24"/>
            <w:u w:val="single"/>
            <w:rtl w:val="0"/>
          </w:rPr>
          <w:t xml:space="preserve">https://www.epe.gov.br/sites-pt/publicacoes-dados-abertos/publicacoes/PublicacoesArquivos/publicacao-341/NT%20EPE%20030_2018_18Dez2018.pdf</w:t>
        </w:r>
      </w:hyperlink>
      <w:r w:rsidDel="00000000" w:rsidR="00000000" w:rsidRPr="00000000">
        <w:rPr>
          <w:sz w:val="24"/>
          <w:szCs w:val="24"/>
          <w:rtl w:val="0"/>
        </w:rPr>
        <w:t xml:space="preserve"> </w:t>
      </w:r>
    </w:p>
    <w:p w:rsidR="00000000" w:rsidDel="00000000" w:rsidP="00000000" w:rsidRDefault="00000000" w:rsidRPr="00000000" w14:paraId="000000B7">
      <w:pPr>
        <w:jc w:val="left"/>
        <w:rPr>
          <w:sz w:val="24"/>
          <w:szCs w:val="24"/>
        </w:rPr>
      </w:pPr>
      <w:r w:rsidDel="00000000" w:rsidR="00000000" w:rsidRPr="00000000">
        <w:rPr>
          <w:sz w:val="24"/>
          <w:szCs w:val="24"/>
          <w:rtl w:val="0"/>
        </w:rPr>
        <w:t xml:space="preserve">“espera-se que a posse de equipamentos de ar-condicionado nas residências brasileiras passará de 0,43, em 2018, para 0,96 unidades em 2035, ou seja, a posse pode mais que dobrar no período” </w:t>
      </w:r>
    </w:p>
    <w:p w:rsidR="00000000" w:rsidDel="00000000" w:rsidP="00000000" w:rsidRDefault="00000000" w:rsidRPr="00000000" w14:paraId="000000B8">
      <w:pPr>
        <w:jc w:val="left"/>
        <w:rPr>
          <w:sz w:val="24"/>
          <w:szCs w:val="24"/>
        </w:rPr>
      </w:pPr>
      <w:r w:rsidDel="00000000" w:rsidR="00000000" w:rsidRPr="00000000">
        <w:rPr>
          <w:sz w:val="24"/>
          <w:szCs w:val="24"/>
        </w:rPr>
        <w:drawing>
          <wp:inline distB="114300" distT="114300" distL="114300" distR="114300">
            <wp:extent cx="5943600" cy="3467100"/>
            <wp:effectExtent b="0" l="0" r="0" t="0"/>
            <wp:docPr id="81575977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left"/>
        <w:rPr>
          <w:sz w:val="24"/>
          <w:szCs w:val="24"/>
        </w:rPr>
      </w:pPr>
      <w:r w:rsidDel="00000000" w:rsidR="00000000" w:rsidRPr="00000000">
        <w:rPr>
          <w:rtl w:val="0"/>
        </w:rPr>
      </w:r>
    </w:p>
    <w:p w:rsidR="00000000" w:rsidDel="00000000" w:rsidP="00000000" w:rsidRDefault="00000000" w:rsidRPr="00000000" w14:paraId="000000BA">
      <w:pPr>
        <w:jc w:val="left"/>
        <w:rPr>
          <w:sz w:val="24"/>
          <w:szCs w:val="24"/>
        </w:rPr>
      </w:pPr>
      <w:r w:rsidDel="00000000" w:rsidR="00000000" w:rsidRPr="00000000">
        <w:rPr>
          <w:rtl w:val="0"/>
        </w:rPr>
      </w:r>
    </w:p>
    <w:p w:rsidR="00000000" w:rsidDel="00000000" w:rsidP="00000000" w:rsidRDefault="00000000" w:rsidRPr="00000000" w14:paraId="000000BB">
      <w:pPr>
        <w:jc w:val="left"/>
        <w:rPr>
          <w:sz w:val="24"/>
          <w:szCs w:val="24"/>
        </w:rPr>
      </w:pPr>
      <w:r w:rsidDel="00000000" w:rsidR="00000000" w:rsidRPr="00000000">
        <w:rPr>
          <w:rtl w:val="0"/>
        </w:rPr>
      </w:r>
    </w:p>
    <w:p w:rsidR="00000000" w:rsidDel="00000000" w:rsidP="00000000" w:rsidRDefault="00000000" w:rsidRPr="00000000" w14:paraId="000000BC">
      <w:pPr>
        <w:jc w:val="left"/>
        <w:rPr>
          <w:sz w:val="24"/>
          <w:szCs w:val="24"/>
        </w:rPr>
      </w:pPr>
      <w:r w:rsidDel="00000000" w:rsidR="00000000" w:rsidRPr="00000000">
        <w:rPr>
          <w:rtl w:val="0"/>
        </w:rPr>
      </w:r>
    </w:p>
    <w:p w:rsidR="00000000" w:rsidDel="00000000" w:rsidP="00000000" w:rsidRDefault="00000000" w:rsidRPr="00000000" w14:paraId="000000BD">
      <w:pPr>
        <w:spacing w:after="0" w:lineRule="auto"/>
        <w:ind w:left="0" w:firstLine="0"/>
        <w:jc w:val="center"/>
        <w:rPr>
          <w:b w:val="1"/>
          <w:sz w:val="28"/>
          <w:szCs w:val="28"/>
        </w:rPr>
      </w:pPr>
      <w:r w:rsidDel="00000000" w:rsidR="00000000" w:rsidRPr="00000000">
        <w:rPr>
          <w:b w:val="1"/>
          <w:sz w:val="28"/>
          <w:szCs w:val="28"/>
          <w:rtl w:val="0"/>
        </w:rPr>
        <w:t xml:space="preserve">Projeção de posse de equipamentos por região e Brasil até 2050</w:t>
      </w:r>
      <w:r w:rsidDel="00000000" w:rsidR="00000000" w:rsidRPr="00000000">
        <w:rPr>
          <w:rtl w:val="0"/>
        </w:rPr>
      </w:r>
    </w:p>
    <w:p w:rsidR="00000000" w:rsidDel="00000000" w:rsidP="00000000" w:rsidRDefault="00000000" w:rsidRPr="00000000" w14:paraId="000000BE">
      <w:pPr>
        <w:spacing w:after="0" w:lineRule="auto"/>
        <w:ind w:left="0" w:firstLine="0"/>
        <w:jc w:val="left"/>
        <w:rPr>
          <w:sz w:val="24"/>
          <w:szCs w:val="24"/>
        </w:rPr>
      </w:pPr>
      <w:r w:rsidDel="00000000" w:rsidR="00000000" w:rsidRPr="00000000">
        <w:rPr>
          <w:rtl w:val="0"/>
        </w:rPr>
      </w:r>
    </w:p>
    <w:p w:rsidR="00000000" w:rsidDel="00000000" w:rsidP="00000000" w:rsidRDefault="00000000" w:rsidRPr="00000000" w14:paraId="000000BF">
      <w:pPr>
        <w:spacing w:after="0" w:lineRule="auto"/>
        <w:ind w:left="0" w:firstLine="0"/>
        <w:jc w:val="left"/>
        <w:rPr>
          <w:sz w:val="24"/>
          <w:szCs w:val="24"/>
        </w:rPr>
      </w:pPr>
      <w:r w:rsidDel="00000000" w:rsidR="00000000" w:rsidRPr="00000000">
        <w:rPr>
          <w:sz w:val="24"/>
          <w:szCs w:val="24"/>
          <w:rtl w:val="0"/>
        </w:rPr>
        <w:t xml:space="preserve">Na publicação sobre modelagem setorial de opções de baixo carbono para o setor de edificações (enviado pela Thalita) são feitas projeções para 2050 da posse de equipamentos, usando 2010 como ano-base e o uso de um procedimento metodológico.</w:t>
      </w:r>
    </w:p>
    <w:p w:rsidR="00000000" w:rsidDel="00000000" w:rsidP="00000000" w:rsidRDefault="00000000" w:rsidRPr="00000000" w14:paraId="000000C0">
      <w:pPr>
        <w:spacing w:after="0" w:lineRule="auto"/>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1">
      <w:pPr>
        <w:spacing w:after="0" w:lineRule="auto"/>
        <w:ind w:left="0" w:firstLine="0"/>
        <w:jc w:val="left"/>
        <w:rPr>
          <w:sz w:val="24"/>
          <w:szCs w:val="24"/>
        </w:rPr>
      </w:pPr>
      <w:r w:rsidDel="00000000" w:rsidR="00000000" w:rsidRPr="00000000">
        <w:rPr>
          <w:sz w:val="24"/>
          <w:szCs w:val="24"/>
          <w:rtl w:val="0"/>
        </w:rPr>
        <w:t xml:space="preserve">A seguir há um trecho da publicação da EPE de histórico e cenário para posse e hábitos de uso de equipamentos elétricos e eletrônicos nas residências: </w:t>
      </w:r>
    </w:p>
    <w:p w:rsidR="00000000" w:rsidDel="00000000" w:rsidP="00000000" w:rsidRDefault="00000000" w:rsidRPr="00000000" w14:paraId="000000C2">
      <w:pPr>
        <w:spacing w:after="0" w:lineRule="auto"/>
        <w:ind w:left="0" w:firstLine="0"/>
        <w:jc w:val="left"/>
        <w:rPr>
          <w:b w:val="1"/>
          <w:sz w:val="24"/>
          <w:szCs w:val="24"/>
        </w:rPr>
      </w:pPr>
      <w:r w:rsidDel="00000000" w:rsidR="00000000" w:rsidRPr="00000000">
        <w:rPr>
          <w:b w:val="1"/>
          <w:sz w:val="24"/>
          <w:szCs w:val="24"/>
          <w:rtl w:val="0"/>
        </w:rPr>
        <w:t xml:space="preserve">O ano utilizado para projeção futura é 2030</w:t>
      </w:r>
    </w:p>
    <w:p w:rsidR="00000000" w:rsidDel="00000000" w:rsidP="00000000" w:rsidRDefault="00000000" w:rsidRPr="00000000" w14:paraId="000000C3">
      <w:pPr>
        <w:spacing w:after="0" w:lineRule="auto"/>
        <w:ind w:left="0" w:firstLine="0"/>
        <w:jc w:val="left"/>
        <w:rPr>
          <w:sz w:val="24"/>
          <w:szCs w:val="24"/>
        </w:rPr>
      </w:pPr>
      <w:r w:rsidDel="00000000" w:rsidR="00000000" w:rsidRPr="00000000">
        <w:rPr>
          <w:rtl w:val="0"/>
        </w:rPr>
      </w:r>
    </w:p>
    <w:p w:rsidR="00000000" w:rsidDel="00000000" w:rsidP="00000000" w:rsidRDefault="00000000" w:rsidRPr="00000000" w14:paraId="000000C4">
      <w:pPr>
        <w:spacing w:after="0" w:lineRule="auto"/>
        <w:ind w:left="0" w:firstLine="0"/>
        <w:jc w:val="center"/>
        <w:rPr>
          <w:sz w:val="24"/>
          <w:szCs w:val="24"/>
        </w:rPr>
      </w:pPr>
      <w:r w:rsidDel="00000000" w:rsidR="00000000" w:rsidRPr="00000000">
        <w:rPr>
          <w:sz w:val="24"/>
          <w:szCs w:val="24"/>
        </w:rPr>
        <w:drawing>
          <wp:inline distB="114300" distT="114300" distL="114300" distR="114300">
            <wp:extent cx="2986088" cy="2416916"/>
            <wp:effectExtent b="0" l="0" r="0" t="0"/>
            <wp:docPr id="81575976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986088" cy="241691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Rule="auto"/>
        <w:ind w:left="0" w:firstLine="0"/>
        <w:jc w:val="both"/>
        <w:rPr>
          <w:sz w:val="24"/>
          <w:szCs w:val="24"/>
        </w:rPr>
      </w:pPr>
      <w:r w:rsidDel="00000000" w:rsidR="00000000" w:rsidRPr="00000000">
        <w:rPr>
          <w:sz w:val="24"/>
          <w:szCs w:val="24"/>
          <w:rtl w:val="0"/>
        </w:rPr>
        <w:t xml:space="preserve">O Gráfico 2-10 sugere que </w:t>
      </w:r>
      <w:r w:rsidDel="00000000" w:rsidR="00000000" w:rsidRPr="00000000">
        <w:rPr>
          <w:b w:val="1"/>
          <w:sz w:val="24"/>
          <w:szCs w:val="24"/>
          <w:rtl w:val="0"/>
        </w:rPr>
        <w:t xml:space="preserve">o consumo de energia elétrica associado aos principais eletrodomésticos deverá crescer nos próximos anos</w:t>
      </w:r>
      <w:r w:rsidDel="00000000" w:rsidR="00000000" w:rsidRPr="00000000">
        <w:rPr>
          <w:sz w:val="24"/>
          <w:szCs w:val="24"/>
          <w:rtl w:val="0"/>
        </w:rPr>
        <w:t xml:space="preserve">. </w:t>
      </w:r>
    </w:p>
    <w:p w:rsidR="00000000" w:rsidDel="00000000" w:rsidP="00000000" w:rsidRDefault="00000000" w:rsidRPr="00000000" w14:paraId="000000C6">
      <w:pPr>
        <w:spacing w:after="0" w:lineRule="auto"/>
        <w:ind w:left="0" w:firstLine="0"/>
        <w:jc w:val="both"/>
        <w:rPr>
          <w:sz w:val="24"/>
          <w:szCs w:val="24"/>
        </w:rPr>
      </w:pPr>
      <w:r w:rsidDel="00000000" w:rsidR="00000000" w:rsidRPr="00000000">
        <w:rPr>
          <w:sz w:val="24"/>
          <w:szCs w:val="24"/>
          <w:rtl w:val="0"/>
        </w:rPr>
        <w:t xml:space="preserve">Enquanto uma maior propensão dos indivíduos por ambientes climatizados tende a aumentar o uso de condicionadores de ar nas residências, o avanço da penetração das tecnologias no cotidiano pode estimular a utilização de equipamentos eletrônicos nos domicílios, tais como televisão, computadores, entre outros. </w:t>
      </w:r>
    </w:p>
    <w:p w:rsidR="00000000" w:rsidDel="00000000" w:rsidP="00000000" w:rsidRDefault="00000000" w:rsidRPr="00000000" w14:paraId="000000C7">
      <w:pPr>
        <w:spacing w:after="0" w:lineRule="auto"/>
        <w:ind w:left="0" w:firstLine="0"/>
        <w:jc w:val="both"/>
        <w:rPr>
          <w:sz w:val="24"/>
          <w:szCs w:val="24"/>
        </w:rPr>
      </w:pPr>
      <w:r w:rsidDel="00000000" w:rsidR="00000000" w:rsidRPr="00000000">
        <w:rPr>
          <w:sz w:val="24"/>
          <w:szCs w:val="24"/>
          <w:rtl w:val="0"/>
        </w:rPr>
        <w:t xml:space="preserve">Já a demanda por conservação de alimentos é um fator perene importante para o uso de geladeiras, cuja posse média é de praticamente um equipamento por domicílio (cálculo EPE a partir da Pesquisa de Posse e Hábitos de Uso de Equipamentos Elétricos na Classe Residencial - PPH 2019/PROCEL). </w:t>
      </w:r>
    </w:p>
    <w:p w:rsidR="00000000" w:rsidDel="00000000" w:rsidP="00000000" w:rsidRDefault="00000000" w:rsidRPr="00000000" w14:paraId="000000C8">
      <w:pPr>
        <w:spacing w:after="0" w:lineRule="auto"/>
        <w:ind w:left="0" w:firstLine="0"/>
        <w:jc w:val="both"/>
        <w:rPr>
          <w:sz w:val="24"/>
          <w:szCs w:val="24"/>
        </w:rPr>
      </w:pPr>
      <w:r w:rsidDel="00000000" w:rsidR="00000000" w:rsidRPr="00000000">
        <w:rPr>
          <w:sz w:val="24"/>
          <w:szCs w:val="24"/>
          <w:rtl w:val="0"/>
        </w:rPr>
        <w:t xml:space="preserve">Por outro lado, a demanda por eletricidade para</w:t>
      </w:r>
      <w:r w:rsidDel="00000000" w:rsidR="00000000" w:rsidRPr="00000000">
        <w:rPr>
          <w:b w:val="1"/>
          <w:sz w:val="24"/>
          <w:szCs w:val="24"/>
          <w:rtl w:val="0"/>
        </w:rPr>
        <w:t xml:space="preserve"> iluminação provavelmente permanecerá se reduzindo</w:t>
      </w:r>
      <w:r w:rsidDel="00000000" w:rsidR="00000000" w:rsidRPr="00000000">
        <w:rPr>
          <w:sz w:val="24"/>
          <w:szCs w:val="24"/>
          <w:rtl w:val="0"/>
        </w:rPr>
        <w:t xml:space="preserve">, em razão da maior penetração da tecnologia LED (light-emitting diode), que apresenta menor consumo específico e maior vida útil quando comparada com as lâmpadas fluorescentes. Portanto, de forma agregada, espera-se que o consumo de eletricidade nas residências cresça cerca de 3,4% a.a. entre 2019 e 2030.</w:t>
      </w:r>
    </w:p>
    <w:p w:rsidR="00000000" w:rsidDel="00000000" w:rsidP="00000000" w:rsidRDefault="00000000" w:rsidRPr="00000000" w14:paraId="000000C9">
      <w:pPr>
        <w:spacing w:after="0" w:lineRule="auto"/>
        <w:ind w:left="0" w:firstLine="0"/>
        <w:jc w:val="both"/>
        <w:rPr>
          <w:sz w:val="24"/>
          <w:szCs w:val="24"/>
        </w:rPr>
      </w:pPr>
      <w:r w:rsidDel="00000000" w:rsidR="00000000" w:rsidRPr="00000000">
        <w:rPr>
          <w:sz w:val="24"/>
          <w:szCs w:val="24"/>
          <w:rtl w:val="0"/>
        </w:rPr>
        <w:t xml:space="preserve"> Cabe ressaltar que um cenário mais otimista que o adotado poderá resultar em um crescimento nas vendas de equipamentos residenciais, em especial daqueles que ainda exibem </w:t>
      </w:r>
      <w:r w:rsidDel="00000000" w:rsidR="00000000" w:rsidRPr="00000000">
        <w:rPr>
          <w:b w:val="1"/>
          <w:sz w:val="24"/>
          <w:szCs w:val="24"/>
          <w:rtl w:val="0"/>
        </w:rPr>
        <w:t xml:space="preserve">potencial elevado de penetração nos domicílios, como as máquinas de lavar roupas</w:t>
      </w:r>
      <w:r w:rsidDel="00000000" w:rsidR="00000000" w:rsidRPr="00000000">
        <w:rPr>
          <w:sz w:val="24"/>
          <w:szCs w:val="24"/>
          <w:rtl w:val="0"/>
        </w:rPr>
        <w:t xml:space="preserve"> (posse média de 0,73 unidade/domicílio, cálculo EPE a partir da PPH 2019/PROCEL) </w:t>
      </w:r>
      <w:r w:rsidDel="00000000" w:rsidR="00000000" w:rsidRPr="00000000">
        <w:rPr>
          <w:b w:val="1"/>
          <w:sz w:val="24"/>
          <w:szCs w:val="24"/>
          <w:rtl w:val="0"/>
        </w:rPr>
        <w:t xml:space="preserve">e os condicionadores de ar</w:t>
      </w:r>
      <w:r w:rsidDel="00000000" w:rsidR="00000000" w:rsidRPr="00000000">
        <w:rPr>
          <w:sz w:val="24"/>
          <w:szCs w:val="24"/>
          <w:rtl w:val="0"/>
        </w:rPr>
        <w:t xml:space="preserve"> (posse média de 0,18 unidade/domicílio, cálculo EPE a partir da PPH 2019/PROCEL). </w:t>
      </w:r>
    </w:p>
    <w:p w:rsidR="00000000" w:rsidDel="00000000" w:rsidP="00000000" w:rsidRDefault="00000000" w:rsidRPr="00000000" w14:paraId="000000CA">
      <w:pPr>
        <w:spacing w:after="0" w:lineRule="auto"/>
        <w:ind w:left="0" w:firstLine="0"/>
        <w:jc w:val="both"/>
        <w:rPr>
          <w:sz w:val="24"/>
          <w:szCs w:val="24"/>
        </w:rPr>
      </w:pPr>
      <w:r w:rsidDel="00000000" w:rsidR="00000000" w:rsidRPr="00000000">
        <w:rPr>
          <w:sz w:val="24"/>
          <w:szCs w:val="24"/>
          <w:rtl w:val="0"/>
        </w:rPr>
        <w:t xml:space="preserve">Eventos atípicos, como ondas de calor, podem aumentar permanentemente o consumo de eletricidade nas habitações, na medida em que os equipamentos adquiridos durantes esses eventos passam a ser utilizados regularmente em períodos posteriores com a temperatura mais amena. Além disso, mudanças de comportamento dos indivíduos, decorrentes do processo natural de interações sociais, de rupturas tecnológicas, de eventos inesperados de grandes consequências, ou induzidas por políticas públicas, também podem impactar a demanda futura de energia nas residências.</w:t>
      </w:r>
    </w:p>
    <w:p w:rsidR="00000000" w:rsidDel="00000000" w:rsidP="00000000" w:rsidRDefault="00000000" w:rsidRPr="00000000" w14:paraId="000000CB">
      <w:pPr>
        <w:spacing w:after="0" w:lineRule="auto"/>
        <w:ind w:left="0" w:firstLine="0"/>
        <w:jc w:val="left"/>
        <w:rPr>
          <w:sz w:val="24"/>
          <w:szCs w:val="24"/>
        </w:rPr>
      </w:pPr>
      <w:r w:rsidDel="00000000" w:rsidR="00000000" w:rsidRPr="00000000">
        <w:rPr>
          <w:rtl w:val="0"/>
        </w:rPr>
      </w:r>
    </w:p>
    <w:p w:rsidR="00000000" w:rsidDel="00000000" w:rsidP="00000000" w:rsidRDefault="00000000" w:rsidRPr="00000000" w14:paraId="000000CC">
      <w:pPr>
        <w:spacing w:after="0" w:lineRule="auto"/>
        <w:ind w:left="0" w:firstLine="0"/>
        <w:rPr/>
      </w:pPr>
      <w:hyperlink r:id="rId32">
        <w:r w:rsidDel="00000000" w:rsidR="00000000" w:rsidRPr="00000000">
          <w:rPr>
            <w:color w:val="1155cc"/>
            <w:u w:val="single"/>
            <w:rtl w:val="0"/>
          </w:rPr>
          <w:t xml:space="preserve">https://www.epe.gov.br/sites-pt/publicacoes-dados-abertos/publicacoes/PublicacoesArquivos/publicacao-490/PDE%202030_RevisaoPosCP_rv2.pdf#search=Hist%C3%B3rico%20e%20cen%C3%A1rio%20para%20a%20posse%20e%20h%C3%A1bitos%20de%20uso%20de%20aparelhos%20el%C3%A9tricos%20e%20eletr%C3%B4nicos%20utilizados%20nas%20resid%C3%AAncias%20brasileiras</w:t>
        </w:r>
      </w:hyperlink>
      <w:r w:rsidDel="00000000" w:rsidR="00000000" w:rsidRPr="00000000">
        <w:rPr>
          <w:rtl w:val="0"/>
        </w:rPr>
      </w:r>
    </w:p>
    <w:p w:rsidR="00000000" w:rsidDel="00000000" w:rsidP="00000000" w:rsidRDefault="00000000" w:rsidRPr="00000000" w14:paraId="000000CD">
      <w:pPr>
        <w:jc w:val="left"/>
        <w:rPr>
          <w:sz w:val="24"/>
          <w:szCs w:val="24"/>
        </w:rPr>
      </w:pPr>
      <w:r w:rsidDel="00000000" w:rsidR="00000000" w:rsidRPr="00000000">
        <w:rPr>
          <w:sz w:val="24"/>
          <w:szCs w:val="24"/>
        </w:rPr>
        <w:drawing>
          <wp:inline distB="114300" distT="114300" distL="114300" distR="114300">
            <wp:extent cx="5943600" cy="1739900"/>
            <wp:effectExtent b="0" l="0" r="0" t="0"/>
            <wp:docPr id="81575977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left"/>
        <w:rPr>
          <w:sz w:val="24"/>
          <w:szCs w:val="24"/>
        </w:rPr>
      </w:pPr>
      <w:r w:rsidDel="00000000" w:rsidR="00000000" w:rsidRPr="00000000">
        <w:rPr>
          <w:rtl w:val="0"/>
        </w:rPr>
      </w:r>
    </w:p>
    <w:p w:rsidR="00000000" w:rsidDel="00000000" w:rsidP="00000000" w:rsidRDefault="00000000" w:rsidRPr="00000000" w14:paraId="000000CF">
      <w:pPr>
        <w:spacing w:after="0" w:lineRule="auto"/>
        <w:ind w:left="0" w:firstLine="0"/>
        <w:jc w:val="center"/>
        <w:rPr>
          <w:b w:val="1"/>
          <w:sz w:val="28"/>
          <w:szCs w:val="28"/>
        </w:rPr>
      </w:pPr>
      <w:r w:rsidDel="00000000" w:rsidR="00000000" w:rsidRPr="00000000">
        <w:rPr>
          <w:b w:val="1"/>
          <w:sz w:val="28"/>
          <w:szCs w:val="28"/>
          <w:rtl w:val="0"/>
        </w:rPr>
        <w:t xml:space="preserve">Políticas de incentivo a aquisição de equipamentos</w:t>
      </w:r>
    </w:p>
    <w:p w:rsidR="00000000" w:rsidDel="00000000" w:rsidP="00000000" w:rsidRDefault="00000000" w:rsidRPr="00000000" w14:paraId="000000D0">
      <w:pPr>
        <w:spacing w:after="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D1">
      <w:pPr>
        <w:spacing w:after="0" w:lineRule="auto"/>
        <w:ind w:left="0" w:firstLine="0"/>
        <w:rPr>
          <w:sz w:val="24"/>
          <w:szCs w:val="24"/>
        </w:rPr>
      </w:pPr>
      <w:hyperlink r:id="rId34">
        <w:r w:rsidDel="00000000" w:rsidR="00000000" w:rsidRPr="00000000">
          <w:rPr>
            <w:color w:val="1155cc"/>
            <w:sz w:val="24"/>
            <w:szCs w:val="24"/>
            <w:u w:val="single"/>
            <w:rtl w:val="0"/>
          </w:rPr>
          <w:t xml:space="preserve">http://www.mdic.gov.br/sistemas_web/renai/public/arquivo/arq1338231455.pdf</w:t>
        </w:r>
      </w:hyperlink>
      <w:r w:rsidDel="00000000" w:rsidR="00000000" w:rsidRPr="00000000">
        <w:rPr>
          <w:rtl w:val="0"/>
        </w:rPr>
      </w:r>
    </w:p>
    <w:p w:rsidR="00000000" w:rsidDel="00000000" w:rsidP="00000000" w:rsidRDefault="00000000" w:rsidRPr="00000000" w14:paraId="000000D2">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D3">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D4">
      <w:pPr>
        <w:spacing w:after="0" w:lineRule="auto"/>
        <w:ind w:left="720" w:firstLine="0"/>
        <w:jc w:val="center"/>
        <w:rPr>
          <w:b w:val="1"/>
          <w:sz w:val="28"/>
          <w:szCs w:val="28"/>
        </w:rPr>
      </w:pPr>
      <w:r w:rsidDel="00000000" w:rsidR="00000000" w:rsidRPr="00000000">
        <w:rPr>
          <w:b w:val="1"/>
          <w:sz w:val="28"/>
          <w:szCs w:val="28"/>
          <w:rtl w:val="0"/>
        </w:rPr>
        <w:t xml:space="preserve">Classe de renda dos domicílios analisados da PPH</w:t>
      </w:r>
    </w:p>
    <w:p w:rsidR="00000000" w:rsidDel="00000000" w:rsidP="00000000" w:rsidRDefault="00000000" w:rsidRPr="00000000" w14:paraId="000000D5">
      <w:pPr>
        <w:spacing w:after="0" w:lineRule="auto"/>
        <w:ind w:left="0" w:firstLine="0"/>
        <w:rPr>
          <w:sz w:val="24"/>
          <w:szCs w:val="24"/>
        </w:rPr>
      </w:pPr>
      <w:r w:rsidDel="00000000" w:rsidR="00000000" w:rsidRPr="00000000">
        <w:rPr>
          <w:sz w:val="24"/>
          <w:szCs w:val="24"/>
          <w:rtl w:val="0"/>
        </w:rPr>
        <w:t xml:space="preserve">Em relação ao PPH de 2019: </w:t>
      </w:r>
      <w:hyperlink r:id="rId35">
        <w:r w:rsidDel="00000000" w:rsidR="00000000" w:rsidRPr="00000000">
          <w:rPr>
            <w:color w:val="1155cc"/>
            <w:sz w:val="24"/>
            <w:szCs w:val="24"/>
            <w:u w:val="single"/>
            <w:rtl w:val="0"/>
          </w:rPr>
          <w:t xml:space="preserve">https://www.infomoney.com.br/minhas-financas/classes-d-e-e-continuarao-a-ser-mais-da-metade-da-populacao-ate-2024-projeta-consultoria/</w:t>
        </w:r>
      </w:hyperlink>
      <w:r w:rsidDel="00000000" w:rsidR="00000000" w:rsidRPr="00000000">
        <w:rPr>
          <w:rtl w:val="0"/>
        </w:rPr>
      </w:r>
    </w:p>
    <w:p w:rsidR="00000000" w:rsidDel="00000000" w:rsidP="00000000" w:rsidRDefault="00000000" w:rsidRPr="00000000" w14:paraId="000000D6">
      <w:pPr>
        <w:spacing w:after="0" w:lineRule="auto"/>
        <w:ind w:left="0" w:firstLine="0"/>
        <w:jc w:val="center"/>
        <w:rPr>
          <w:sz w:val="24"/>
          <w:szCs w:val="24"/>
        </w:rPr>
      </w:pPr>
      <w:r w:rsidDel="00000000" w:rsidR="00000000" w:rsidRPr="00000000">
        <w:rPr>
          <w:sz w:val="24"/>
          <w:szCs w:val="24"/>
        </w:rPr>
        <w:drawing>
          <wp:inline distB="114300" distT="114300" distL="114300" distR="114300">
            <wp:extent cx="4162425" cy="2286000"/>
            <wp:effectExtent b="0" l="0" r="0" t="0"/>
            <wp:docPr id="81575976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1624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
        </w:numPr>
        <w:shd w:fill="ffffff" w:val="clear"/>
        <w:spacing w:after="0" w:afterAutospacing="0" w:line="335.99999999999994" w:lineRule="auto"/>
        <w:ind w:left="720" w:hanging="360"/>
        <w:rPr>
          <w:sz w:val="24"/>
          <w:szCs w:val="24"/>
        </w:rPr>
      </w:pPr>
      <w:r w:rsidDel="00000000" w:rsidR="00000000" w:rsidRPr="00000000">
        <w:rPr>
          <w:sz w:val="24"/>
          <w:szCs w:val="24"/>
          <w:rtl w:val="0"/>
        </w:rPr>
        <w:t xml:space="preserve">Classe A: 2,8% (renda mensal domiciliar superior a R$ 22 mil)</w:t>
      </w:r>
    </w:p>
    <w:p w:rsidR="00000000" w:rsidDel="00000000" w:rsidP="00000000" w:rsidRDefault="00000000" w:rsidRPr="00000000" w14:paraId="000000D8">
      <w:pPr>
        <w:numPr>
          <w:ilvl w:val="0"/>
          <w:numId w:val="1"/>
        </w:numPr>
        <w:shd w:fill="ffffff" w:val="clear"/>
        <w:spacing w:after="0" w:afterAutospacing="0" w:line="335.99999999999994" w:lineRule="auto"/>
        <w:ind w:left="720" w:hanging="360"/>
        <w:rPr>
          <w:sz w:val="24"/>
          <w:szCs w:val="24"/>
        </w:rPr>
      </w:pPr>
      <w:r w:rsidDel="00000000" w:rsidR="00000000" w:rsidRPr="00000000">
        <w:rPr>
          <w:sz w:val="24"/>
          <w:szCs w:val="24"/>
          <w:rtl w:val="0"/>
        </w:rPr>
        <w:t xml:space="preserve">Classe B: 13,2% (renda mensal domiciliar entre R$ 7,1 mil e R$ 22 mil)</w:t>
      </w:r>
    </w:p>
    <w:p w:rsidR="00000000" w:rsidDel="00000000" w:rsidP="00000000" w:rsidRDefault="00000000" w:rsidRPr="00000000" w14:paraId="000000D9">
      <w:pPr>
        <w:numPr>
          <w:ilvl w:val="0"/>
          <w:numId w:val="1"/>
        </w:numPr>
        <w:shd w:fill="ffffff" w:val="clear"/>
        <w:spacing w:after="0" w:afterAutospacing="0" w:line="335.99999999999994" w:lineRule="auto"/>
        <w:ind w:left="720" w:hanging="360"/>
        <w:rPr>
          <w:sz w:val="24"/>
          <w:szCs w:val="24"/>
        </w:rPr>
      </w:pPr>
      <w:r w:rsidDel="00000000" w:rsidR="00000000" w:rsidRPr="00000000">
        <w:rPr>
          <w:sz w:val="24"/>
          <w:szCs w:val="24"/>
          <w:rtl w:val="0"/>
        </w:rPr>
        <w:t xml:space="preserve">Classe C: 33,3% (renda mensal domiciliar entre R$ 2,9 mil e R$ 7,1 mil)</w:t>
      </w:r>
    </w:p>
    <w:p w:rsidR="00000000" w:rsidDel="00000000" w:rsidP="00000000" w:rsidRDefault="00000000" w:rsidRPr="00000000" w14:paraId="000000DA">
      <w:pPr>
        <w:numPr>
          <w:ilvl w:val="0"/>
          <w:numId w:val="1"/>
        </w:numPr>
        <w:shd w:fill="ffffff" w:val="clear"/>
        <w:spacing w:after="360" w:line="335.99999999999994" w:lineRule="auto"/>
        <w:ind w:left="720" w:hanging="360"/>
        <w:rPr>
          <w:sz w:val="24"/>
          <w:szCs w:val="24"/>
        </w:rPr>
      </w:pPr>
      <w:r w:rsidDel="00000000" w:rsidR="00000000" w:rsidRPr="00000000">
        <w:rPr>
          <w:sz w:val="24"/>
          <w:szCs w:val="24"/>
          <w:rtl w:val="0"/>
        </w:rPr>
        <w:t xml:space="preserve">Classes D/E: 50,7% (renda mensal domiciliar até R$ 2,9 mil)</w:t>
      </w:r>
    </w:p>
    <w:p w:rsidR="00000000" w:rsidDel="00000000" w:rsidP="00000000" w:rsidRDefault="00000000" w:rsidRPr="00000000" w14:paraId="000000DB">
      <w:pPr>
        <w:ind w:left="0" w:firstLine="0"/>
        <w:jc w:val="center"/>
        <w:rPr>
          <w:b w:val="1"/>
          <w:sz w:val="28"/>
          <w:szCs w:val="28"/>
        </w:rPr>
      </w:pPr>
      <w:r w:rsidDel="00000000" w:rsidR="00000000" w:rsidRPr="00000000">
        <w:rPr>
          <w:b w:val="1"/>
          <w:sz w:val="28"/>
          <w:szCs w:val="28"/>
          <w:rtl w:val="0"/>
        </w:rPr>
        <w:t xml:space="preserve">MEPs</w:t>
      </w:r>
    </w:p>
    <w:p w:rsidR="00000000" w:rsidDel="00000000" w:rsidP="00000000" w:rsidRDefault="00000000" w:rsidRPr="00000000" w14:paraId="000000DC">
      <w:pPr>
        <w:ind w:left="0" w:firstLine="0"/>
        <w:jc w:val="both"/>
        <w:rPr>
          <w:sz w:val="24"/>
          <w:szCs w:val="24"/>
        </w:rPr>
      </w:pPr>
      <w:hyperlink r:id="rId37">
        <w:r w:rsidDel="00000000" w:rsidR="00000000" w:rsidRPr="00000000">
          <w:rPr>
            <w:color w:val="1155cc"/>
            <w:sz w:val="24"/>
            <w:szCs w:val="24"/>
            <w:u w:val="single"/>
            <w:rtl w:val="0"/>
          </w:rPr>
          <w:t xml:space="preserve">https://www.gov.br/mme/pt-br/assuntos/conselhos-e-comites/cgiee/portarias-e-resolucoes</w:t>
        </w:r>
      </w:hyperlink>
      <w:r w:rsidDel="00000000" w:rsidR="00000000" w:rsidRPr="00000000">
        <w:rPr>
          <w:rtl w:val="0"/>
        </w:rPr>
      </w:r>
    </w:p>
    <w:p w:rsidR="00000000" w:rsidDel="00000000" w:rsidP="00000000" w:rsidRDefault="00000000" w:rsidRPr="00000000" w14:paraId="000000DD">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Lâmpadas Fluorescentes Compactas</w:t>
      </w:r>
    </w:p>
    <w:p w:rsidR="00000000" w:rsidDel="00000000" w:rsidP="00000000" w:rsidRDefault="00000000" w:rsidRPr="00000000" w14:paraId="000000DE">
      <w:pPr>
        <w:numPr>
          <w:ilvl w:val="1"/>
          <w:numId w:val="3"/>
        </w:numPr>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Última atualização em 2010</w:t>
      </w:r>
    </w:p>
    <w:p w:rsidR="00000000" w:rsidDel="00000000" w:rsidP="00000000" w:rsidRDefault="00000000" w:rsidRPr="00000000" w14:paraId="000000DF">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05413" cy="3695509"/>
            <wp:effectExtent b="0" l="0" r="0" t="0"/>
            <wp:docPr id="81575976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205413" cy="369550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Refrigeradores E Congeladores</w:t>
      </w:r>
    </w:p>
    <w:p w:rsidR="00000000" w:rsidDel="00000000" w:rsidP="00000000" w:rsidRDefault="00000000" w:rsidRPr="00000000" w14:paraId="000000E1">
      <w:pPr>
        <w:numPr>
          <w:ilvl w:val="1"/>
          <w:numId w:val="3"/>
        </w:numPr>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Última atualização em 2018</w:t>
      </w:r>
    </w:p>
    <w:p w:rsidR="00000000" w:rsidDel="00000000" w:rsidP="00000000" w:rsidRDefault="00000000" w:rsidRPr="00000000" w14:paraId="000000E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14963" cy="2785582"/>
            <wp:effectExtent b="0" l="0" r="0" t="0"/>
            <wp:docPr id="81575976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414963" cy="278558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Fogões E Fornos A Gás</w:t>
      </w:r>
    </w:p>
    <w:p w:rsidR="00000000" w:rsidDel="00000000" w:rsidP="00000000" w:rsidRDefault="00000000" w:rsidRPr="00000000" w14:paraId="000000E4">
      <w:pPr>
        <w:numPr>
          <w:ilvl w:val="1"/>
          <w:numId w:val="3"/>
        </w:numPr>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Última atualização em 2011</w:t>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663700"/>
            <wp:effectExtent b="0" l="0" r="0" t="0"/>
            <wp:docPr id="81575977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Condicionadores De Ar</w:t>
      </w:r>
    </w:p>
    <w:p w:rsidR="00000000" w:rsidDel="00000000" w:rsidP="00000000" w:rsidRDefault="00000000" w:rsidRPr="00000000" w14:paraId="000000E7">
      <w:pPr>
        <w:numPr>
          <w:ilvl w:val="1"/>
          <w:numId w:val="3"/>
        </w:numPr>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Última atualização em 2022</w:t>
      </w:r>
    </w:p>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914400"/>
            <wp:effectExtent b="0" l="0" r="0" t="0"/>
            <wp:docPr id="81575976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889000"/>
            <wp:effectExtent b="0" l="0" r="0" t="0"/>
            <wp:docPr id="81575976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Lâmpadas Incandescentes</w:t>
      </w:r>
    </w:p>
    <w:p w:rsidR="00000000" w:rsidDel="00000000" w:rsidP="00000000" w:rsidRDefault="00000000" w:rsidRPr="00000000" w14:paraId="000000EB">
      <w:pPr>
        <w:numPr>
          <w:ilvl w:val="1"/>
          <w:numId w:val="3"/>
        </w:numPr>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Última atualização em 2010</w:t>
      </w:r>
    </w:p>
    <w:p w:rsidR="00000000" w:rsidDel="00000000" w:rsidP="00000000" w:rsidRDefault="00000000" w:rsidRPr="00000000" w14:paraId="000000E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57788" cy="3636901"/>
            <wp:effectExtent b="0" l="0" r="0" t="0"/>
            <wp:docPr id="81575976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157788" cy="363690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sz w:val="28"/>
          <w:szCs w:val="28"/>
        </w:rPr>
      </w:pPr>
      <w:r w:rsidDel="00000000" w:rsidR="00000000" w:rsidRPr="00000000">
        <w:rPr>
          <w:b w:val="1"/>
          <w:sz w:val="28"/>
          <w:szCs w:val="28"/>
          <w:rtl w:val="0"/>
        </w:rPr>
        <w:t xml:space="preserve">Programas de distribuição de renda (2008 a 2019) (Tarifa Social)</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hyperlink r:id="rId44">
        <w:r w:rsidDel="00000000" w:rsidR="00000000" w:rsidRPr="00000000">
          <w:rPr>
            <w:color w:val="1155cc"/>
            <w:sz w:val="24"/>
            <w:szCs w:val="24"/>
            <w:u w:val="single"/>
            <w:rtl w:val="0"/>
          </w:rPr>
          <w:t xml:space="preserve">https://www.gov.br/cidadania/pt-br/acoes-e-programas/assistencia-social/beneficios-assistenciais/tarifa-social-de-energia</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hyperlink r:id="rId45">
        <w:r w:rsidDel="00000000" w:rsidR="00000000" w:rsidRPr="00000000">
          <w:rPr>
            <w:color w:val="1155cc"/>
            <w:sz w:val="24"/>
            <w:szCs w:val="24"/>
            <w:u w:val="single"/>
            <w:rtl w:val="0"/>
          </w:rPr>
          <w:t xml:space="preserve">https://www.gov.br/aneel/pt-br/assuntos/tarifas/tarifa-social</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hyperlink r:id="rId46">
        <w:r w:rsidDel="00000000" w:rsidR="00000000" w:rsidRPr="00000000">
          <w:rPr>
            <w:color w:val="1155cc"/>
            <w:sz w:val="24"/>
            <w:szCs w:val="24"/>
            <w:u w:val="single"/>
            <w:rtl w:val="0"/>
          </w:rPr>
          <w:t xml:space="preserve">https://app.powerbi.com/view?r=eyJrIjoiOTY0NWQzOGItMmQ3ZS00MWUzLTllNmMtNTA5NTYxODdhYTkzIiwidCI6IjQwZDZmOWI4LWVjYTctNDZhMi05MmQ0LWVhNGU5YzAxNzBlMSIsImMiOjR9</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Motta" w:id="0" w:date="2023-04-27T18:39:16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Ambos os documentos da EPE trazem estimativas parecidas para a projeção. Mas neste relatório ele dá algumas justificativas para os dados, como o motivo do aumento de residências e diminuição da população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7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763"/>
    </w:rPr>
  </w:style>
  <w:style w:type="paragraph" w:styleId="Title">
    <w:name w:val="Title"/>
    <w:basedOn w:val="Normal"/>
    <w:next w:val="Normal"/>
    <w:pPr>
      <w:spacing w:after="0" w:lineRule="auto"/>
    </w:pPr>
    <w:rPr>
      <w:rFonts w:ascii="Calibri" w:cs="Calibri" w:eastAsia="Calibri" w:hAnsi="Calibri"/>
      <w:sz w:val="56"/>
      <w:szCs w:val="56"/>
    </w:rPr>
  </w:style>
  <w:style w:type="paragraph" w:styleId="Normal" w:default="1">
    <w:name w:val="Normal"/>
    <w:uiPriority w:val="0"/>
    <w:qFormat w:val="1"/>
    <w:rsid w:val="00723A6E"/>
    <w:rPr>
      <w:noProof w:val="0"/>
      <w:lang w:val="pt-B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ing1">
    <w:name w:val="heading 1"/>
    <w:basedOn w:val="Normal"/>
    <w:next w:val="Normal"/>
    <w:link w:val="Heading1Char"/>
    <w:uiPriority w:val="9"/>
    <w:qFormat w:val="1"/>
    <w:rsid w:val="00723A6E"/>
    <w:pPr>
      <w:keepNext w:val="1"/>
      <w:keepLines w:val="1"/>
      <w:spacing w:after="0" w:before="240"/>
      <w:outlineLvl w:val="0"/>
    </w:pPr>
    <w:rPr>
      <w:rFonts w:ascii="Calibri Light" w:cs="" w:eastAsia="" w:hAnsi="Calibri Light" w:asciiTheme="majorAscii" w:cstheme="majorBidi" w:eastAsiaTheme="majorEastAsia" w:hAnsiTheme="majorAsci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23A6E"/>
    <w:pPr>
      <w:keepNext w:val="1"/>
      <w:keepLines w:val="1"/>
      <w:spacing w:after="0" w:before="40"/>
      <w:outlineLvl w:val="1"/>
    </w:pPr>
    <w:rPr>
      <w:rFonts w:ascii="Calibri Light" w:cs="" w:eastAsia="" w:hAnsi="Calibri Light" w:asciiTheme="majorAscii" w:cstheme="majorBidi" w:eastAsiaTheme="majorEastAsia" w:hAnsiTheme="majorAscii"/>
      <w:color w:val="2f5496" w:themeColor="accent1" w:themeShade="0000BF"/>
      <w:sz w:val="26"/>
      <w:szCs w:val="26"/>
    </w:rPr>
  </w:style>
  <w:style w:type="paragraph" w:styleId="Heading3">
    <w:name w:val="heading 3"/>
    <w:basedOn w:val="Normal"/>
    <w:next w:val="Normal"/>
    <w:link w:val="Heading3Char"/>
    <w:uiPriority w:val="9"/>
    <w:unhideWhenUsed w:val="1"/>
    <w:qFormat w:val="1"/>
    <w:rsid w:val="00723A6E"/>
    <w:pPr>
      <w:keepNext w:val="1"/>
      <w:keepLines w:val="1"/>
      <w:spacing w:after="0" w:before="40"/>
      <w:outlineLvl w:val="2"/>
    </w:pPr>
    <w:rPr>
      <w:rFonts w:ascii="Calibri Light" w:cs="" w:eastAsia="" w:hAnsi="Calibri Light" w:asciiTheme="majorAscii" w:cstheme="majorBidi" w:eastAsiaTheme="majorEastAsia" w:hAnsiTheme="majorAscii"/>
      <w:color w:val="1f3763"/>
      <w:sz w:val="24"/>
      <w:szCs w:val="24"/>
    </w:rPr>
  </w:style>
  <w:style w:type="paragraph" w:styleId="Heading4">
    <w:name w:val="heading 4"/>
    <w:basedOn w:val="Normal"/>
    <w:next w:val="Normal"/>
    <w:link w:val="Heading4Char"/>
    <w:uiPriority w:val="9"/>
    <w:unhideWhenUsed w:val="1"/>
    <w:qFormat w:val="1"/>
    <w:rsid w:val="00723A6E"/>
    <w:pPr>
      <w:keepNext w:val="1"/>
      <w:keepLines w:val="1"/>
      <w:spacing w:after="0" w:before="40"/>
      <w:outlineLvl w:val="3"/>
    </w:pPr>
    <w:rPr>
      <w:rFonts w:ascii="Calibri Light" w:cs="" w:eastAsia="" w:hAnsi="Calibri Light" w:asciiTheme="majorAscii" w:cstheme="majorBidi" w:eastAsiaTheme="majorEastAsia" w:hAnsiTheme="majorAscii"/>
      <w:i w:val="1"/>
      <w:iCs w:val="1"/>
      <w:color w:val="2f5496" w:themeColor="accent1" w:themeShade="0000BF"/>
    </w:rPr>
  </w:style>
  <w:style w:type="paragraph" w:styleId="Heading5">
    <w:name w:val="heading 5"/>
    <w:basedOn w:val="Normal"/>
    <w:next w:val="Normal"/>
    <w:link w:val="Heading5Char"/>
    <w:uiPriority w:val="9"/>
    <w:unhideWhenUsed w:val="1"/>
    <w:qFormat w:val="1"/>
    <w:rsid w:val="00723A6E"/>
    <w:pPr>
      <w:keepNext w:val="1"/>
      <w:keepLines w:val="1"/>
      <w:spacing w:after="0" w:before="40"/>
      <w:outlineLvl w:val="4"/>
    </w:pPr>
    <w:rPr>
      <w:rFonts w:ascii="Calibri Light" w:cs="" w:eastAsia="" w:hAnsi="Calibri Light" w:asciiTheme="majorAscii" w:cstheme="majorBidi" w:eastAsiaTheme="majorEastAsia" w:hAnsiTheme="majorAscii"/>
      <w:color w:val="2f5496" w:themeColor="accent1" w:themeShade="0000BF"/>
    </w:rPr>
  </w:style>
  <w:style w:type="paragraph" w:styleId="Heading6">
    <w:name w:val="heading 6"/>
    <w:basedOn w:val="Normal"/>
    <w:next w:val="Normal"/>
    <w:link w:val="Heading6Char"/>
    <w:uiPriority w:val="9"/>
    <w:unhideWhenUsed w:val="1"/>
    <w:qFormat w:val="1"/>
    <w:rsid w:val="00723A6E"/>
    <w:pPr>
      <w:keepNext w:val="1"/>
      <w:keepLines w:val="1"/>
      <w:spacing w:after="0" w:before="40"/>
      <w:outlineLvl w:val="5"/>
    </w:pPr>
    <w:rPr>
      <w:rFonts w:ascii="Calibri Light" w:cs="" w:eastAsia="" w:hAnsi="Calibri Light" w:asciiTheme="majorAscii" w:cstheme="majorBidi" w:eastAsiaTheme="majorEastAsia" w:hAnsiTheme="majorAscii"/>
      <w:color w:val="1f3763"/>
    </w:rPr>
  </w:style>
  <w:style w:type="paragraph" w:styleId="Heading7">
    <w:name w:val="heading 7"/>
    <w:basedOn w:val="Normal"/>
    <w:next w:val="Normal"/>
    <w:link w:val="Heading7Char"/>
    <w:uiPriority w:val="9"/>
    <w:unhideWhenUsed w:val="1"/>
    <w:qFormat w:val="1"/>
    <w:rsid w:val="00723A6E"/>
    <w:pPr>
      <w:keepNext w:val="1"/>
      <w:keepLines w:val="1"/>
      <w:spacing w:after="0" w:before="40"/>
      <w:outlineLvl w:val="6"/>
    </w:pPr>
    <w:rPr>
      <w:rFonts w:ascii="Calibri Light" w:cs="" w:eastAsia="" w:hAnsi="Calibri Light" w:asciiTheme="majorAscii" w:cstheme="majorBidi" w:eastAsiaTheme="majorEastAsia" w:hAnsiTheme="majorAscii"/>
      <w:i w:val="1"/>
      <w:iCs w:val="1"/>
      <w:color w:val="1f3763"/>
    </w:rPr>
  </w:style>
  <w:style w:type="paragraph" w:styleId="Heading8">
    <w:name w:val="heading 8"/>
    <w:basedOn w:val="Normal"/>
    <w:next w:val="Normal"/>
    <w:link w:val="Heading8Char"/>
    <w:uiPriority w:val="9"/>
    <w:unhideWhenUsed w:val="1"/>
    <w:qFormat w:val="1"/>
    <w:rsid w:val="00723A6E"/>
    <w:pPr>
      <w:keepNext w:val="1"/>
      <w:keepLines w:val="1"/>
      <w:spacing w:after="0" w:before="40"/>
      <w:outlineLvl w:val="7"/>
    </w:pPr>
    <w:rPr>
      <w:rFonts w:ascii="Calibri Light" w:cs="" w:eastAsia="" w:hAnsi="Calibri Light" w:asciiTheme="majorAscii" w:cstheme="majorBidi" w:eastAsiaTheme="majorEastAsia" w:hAnsiTheme="majorAscii"/>
      <w:color w:val="272727"/>
      <w:sz w:val="21"/>
      <w:szCs w:val="21"/>
    </w:rPr>
  </w:style>
  <w:style w:type="paragraph" w:styleId="Heading9">
    <w:name w:val="heading 9"/>
    <w:basedOn w:val="Normal"/>
    <w:next w:val="Normal"/>
    <w:link w:val="Heading9Char"/>
    <w:uiPriority w:val="9"/>
    <w:unhideWhenUsed w:val="1"/>
    <w:qFormat w:val="1"/>
    <w:rsid w:val="00723A6E"/>
    <w:pPr>
      <w:keepNext w:val="1"/>
      <w:keepLines w:val="1"/>
      <w:spacing w:after="0" w:before="40"/>
      <w:outlineLvl w:val="8"/>
    </w:pPr>
    <w:rPr>
      <w:rFonts w:ascii="Calibri Light" w:cs="" w:eastAsia="" w:hAnsi="Calibri Light" w:asciiTheme="majorAscii" w:cstheme="majorBidi" w:eastAsiaTheme="majorEastAsia" w:hAnsiTheme="majorAscii"/>
      <w:i w:val="1"/>
      <w:iCs w:val="1"/>
      <w:color w:val="272727"/>
      <w:sz w:val="21"/>
      <w:szCs w:val="21"/>
    </w:rPr>
  </w:style>
  <w:style w:type="paragraph" w:styleId="Title">
    <w:name w:val="Title"/>
    <w:basedOn w:val="Normal"/>
    <w:next w:val="Normal"/>
    <w:link w:val="TitleChar"/>
    <w:uiPriority w:val="10"/>
    <w:qFormat w:val="1"/>
    <w:rsid w:val="00723A6E"/>
    <w:pPr>
      <w:spacing w:after="0"/>
      <w:contextualSpacing w:val="1"/>
    </w:pPr>
    <w:rPr>
      <w:rFonts w:ascii="Calibri Light" w:cs="" w:eastAsia="" w:hAnsi="Calibri Light" w:asciiTheme="majorAscii" w:cstheme="majorBidi" w:eastAsiaTheme="majorEastAsia" w:hAnsiTheme="majorAscii"/>
      <w:sz w:val="56"/>
      <w:szCs w:val="56"/>
    </w:rPr>
  </w:style>
  <w:style w:type="paragraph" w:styleId="Subtitle">
    <w:name w:val="Subtitle"/>
    <w:basedOn w:val="Normal"/>
    <w:next w:val="Normal"/>
    <w:link w:val="SubtitleChar"/>
    <w:uiPriority w:val="11"/>
    <w:qFormat w:val="1"/>
    <w:rsid w:val="00723A6E"/>
    <w:rPr>
      <w:rFonts w:ascii="Calibri" w:cs="" w:eastAsia="" w:hAnsi="Calibri" w:asciiTheme="minorAscii" w:cstheme="minorBidi" w:eastAsiaTheme="minorEastAsia" w:hAnsiTheme="minorAscii"/>
      <w:color w:val="5a5a5a"/>
    </w:rPr>
  </w:style>
  <w:style w:type="paragraph" w:styleId="Quote">
    <w:name w:val="Quote"/>
    <w:basedOn w:val="Normal"/>
    <w:next w:val="Normal"/>
    <w:link w:val="QuoteChar"/>
    <w:uiPriority w:val="29"/>
    <w:qFormat w:val="1"/>
    <w:rsid w:val="00723A6E"/>
    <w:pPr>
      <w:spacing w:before="200"/>
      <w:ind w:left="864" w:right="864"/>
      <w:jc w:val="center"/>
    </w:pPr>
    <w:rPr>
      <w:i w:val="1"/>
      <w:iCs w:val="1"/>
      <w:color w:val="404040" w:themeColor="text1" w:themeTint="0000BF"/>
    </w:rPr>
  </w:style>
  <w:style w:type="paragraph" w:styleId="IntenseQuote">
    <w:name w:val="Intense Quote"/>
    <w:basedOn w:val="Normal"/>
    <w:next w:val="Normal"/>
    <w:link w:val="IntenseQuoteChar"/>
    <w:uiPriority w:val="30"/>
    <w:qFormat w:val="1"/>
    <w:rsid w:val="00723A6E"/>
    <w:pPr>
      <w:spacing w:after="360" w:before="360"/>
      <w:ind w:left="864" w:right="864"/>
      <w:jc w:val="center"/>
    </w:pPr>
    <w:rPr>
      <w:i w:val="1"/>
      <w:iCs w:val="1"/>
      <w:color w:val="4472c4" w:themeColor="accent1"/>
    </w:rPr>
  </w:style>
  <w:style w:type="paragraph" w:styleId="ListParagraph">
    <w:name w:val="List Paragraph"/>
    <w:basedOn w:val="Normal"/>
    <w:uiPriority w:val="34"/>
    <w:qFormat w:val="1"/>
    <w:rsid w:val="00723A6E"/>
    <w:pPr>
      <w:spacing/>
      <w:ind w:left="720"/>
      <w:contextualSpacing w:val="1"/>
    </w:pPr>
  </w:style>
  <w:style w:type="character" w:styleId="Heading1Char" w:customStyle="1">
    <w:name w:val="Heading 1 Char"/>
    <w:basedOn w:val="DefaultParagraphFont"/>
    <w:link w:val="Heading1"/>
    <w:uiPriority w:val="9"/>
    <w:rsid w:val="00723A6E"/>
    <w:rPr>
      <w:rFonts w:ascii="Calibri Light" w:cs="" w:eastAsia="" w:hAnsi="Calibri Light" w:asciiTheme="majorAscii" w:cstheme="majorBidi" w:eastAsiaTheme="majorEastAsia" w:hAnsiTheme="majorAscii"/>
      <w:noProof w:val="0"/>
      <w:color w:val="2f5496" w:themeColor="accent1" w:themeShade="0000BF"/>
      <w:sz w:val="32"/>
      <w:szCs w:val="32"/>
      <w:lang w:val="pt-BR"/>
    </w:rPr>
  </w:style>
  <w:style w:type="character" w:styleId="Heading2Char" w:customStyle="1">
    <w:name w:val="Heading 2 Char"/>
    <w:basedOn w:val="DefaultParagraphFont"/>
    <w:link w:val="Heading2"/>
    <w:uiPriority w:val="9"/>
    <w:rsid w:val="00723A6E"/>
    <w:rPr>
      <w:rFonts w:ascii="Calibri Light" w:cs="" w:eastAsia="" w:hAnsi="Calibri Light" w:asciiTheme="majorAscii" w:cstheme="majorBidi" w:eastAsiaTheme="majorEastAsia" w:hAnsiTheme="majorAscii"/>
      <w:noProof w:val="0"/>
      <w:color w:val="2f5496" w:themeColor="accent1" w:themeShade="0000BF"/>
      <w:sz w:val="26"/>
      <w:szCs w:val="26"/>
      <w:lang w:val="pt-BR"/>
    </w:rPr>
  </w:style>
  <w:style w:type="character" w:styleId="Heading3Char" w:customStyle="1">
    <w:name w:val="Heading 3 Char"/>
    <w:basedOn w:val="DefaultParagraphFont"/>
    <w:link w:val="Heading3"/>
    <w:uiPriority w:val="9"/>
    <w:rsid w:val="00723A6E"/>
    <w:rPr>
      <w:rFonts w:ascii="Calibri Light" w:cs="" w:eastAsia="" w:hAnsi="Calibri Light" w:asciiTheme="majorAscii" w:cstheme="majorBidi" w:eastAsiaTheme="majorEastAsia" w:hAnsiTheme="majorAscii"/>
      <w:noProof w:val="0"/>
      <w:color w:val="1f3763"/>
      <w:sz w:val="24"/>
      <w:szCs w:val="24"/>
      <w:lang w:val="pt-BR"/>
    </w:rPr>
  </w:style>
  <w:style w:type="character" w:styleId="Heading4Char" w:customStyle="1">
    <w:name w:val="Heading 4 Char"/>
    <w:basedOn w:val="DefaultParagraphFont"/>
    <w:link w:val="Heading4"/>
    <w:uiPriority w:val="9"/>
    <w:rsid w:val="00723A6E"/>
    <w:rPr>
      <w:rFonts w:ascii="Calibri Light" w:cs="" w:eastAsia="" w:hAnsi="Calibri Light" w:asciiTheme="majorAscii" w:cstheme="majorBidi" w:eastAsiaTheme="majorEastAsia" w:hAnsiTheme="majorAscii"/>
      <w:i w:val="1"/>
      <w:iCs w:val="1"/>
      <w:noProof w:val="0"/>
      <w:color w:val="2f5496" w:themeColor="accent1" w:themeShade="0000BF"/>
      <w:lang w:val="pt-BR"/>
    </w:rPr>
  </w:style>
  <w:style w:type="character" w:styleId="Heading5Char" w:customStyle="1">
    <w:name w:val="Heading 5 Char"/>
    <w:basedOn w:val="DefaultParagraphFont"/>
    <w:link w:val="Heading5"/>
    <w:uiPriority w:val="9"/>
    <w:rsid w:val="00723A6E"/>
    <w:rPr>
      <w:rFonts w:ascii="Calibri Light" w:cs="" w:eastAsia="" w:hAnsi="Calibri Light" w:asciiTheme="majorAscii" w:cstheme="majorBidi" w:eastAsiaTheme="majorEastAsia" w:hAnsiTheme="majorAscii"/>
      <w:noProof w:val="0"/>
      <w:color w:val="2f5496" w:themeColor="accent1" w:themeShade="0000BF"/>
      <w:lang w:val="pt-BR"/>
    </w:rPr>
  </w:style>
  <w:style w:type="character" w:styleId="Heading6Char" w:customStyle="1">
    <w:name w:val="Heading 6 Char"/>
    <w:basedOn w:val="DefaultParagraphFont"/>
    <w:link w:val="Heading6"/>
    <w:uiPriority w:val="9"/>
    <w:rsid w:val="00723A6E"/>
    <w:rPr>
      <w:rFonts w:ascii="Calibri Light" w:cs="" w:eastAsia="" w:hAnsi="Calibri Light" w:asciiTheme="majorAscii" w:cstheme="majorBidi" w:eastAsiaTheme="majorEastAsia" w:hAnsiTheme="majorAscii"/>
      <w:noProof w:val="0"/>
      <w:color w:val="1f3763"/>
      <w:lang w:val="pt-BR"/>
    </w:rPr>
  </w:style>
  <w:style w:type="character" w:styleId="Heading7Char" w:customStyle="1">
    <w:name w:val="Heading 7 Char"/>
    <w:basedOn w:val="DefaultParagraphFont"/>
    <w:link w:val="Heading7"/>
    <w:uiPriority w:val="9"/>
    <w:rsid w:val="00723A6E"/>
    <w:rPr>
      <w:rFonts w:ascii="Calibri Light" w:cs="" w:eastAsia="" w:hAnsi="Calibri Light" w:asciiTheme="majorAscii" w:cstheme="majorBidi" w:eastAsiaTheme="majorEastAsia" w:hAnsiTheme="majorAscii"/>
      <w:i w:val="1"/>
      <w:iCs w:val="1"/>
      <w:noProof w:val="0"/>
      <w:color w:val="1f3763"/>
      <w:lang w:val="pt-BR"/>
    </w:rPr>
  </w:style>
  <w:style w:type="character" w:styleId="Heading8Char" w:customStyle="1">
    <w:name w:val="Heading 8 Char"/>
    <w:basedOn w:val="DefaultParagraphFont"/>
    <w:link w:val="Heading8"/>
    <w:uiPriority w:val="9"/>
    <w:rsid w:val="00723A6E"/>
    <w:rPr>
      <w:rFonts w:ascii="Calibri Light" w:cs="" w:eastAsia="" w:hAnsi="Calibri Light" w:asciiTheme="majorAscii" w:cstheme="majorBidi" w:eastAsiaTheme="majorEastAsia" w:hAnsiTheme="majorAscii"/>
      <w:noProof w:val="0"/>
      <w:color w:val="272727"/>
      <w:sz w:val="21"/>
      <w:szCs w:val="21"/>
      <w:lang w:val="pt-BR"/>
    </w:rPr>
  </w:style>
  <w:style w:type="character" w:styleId="Heading9Char" w:customStyle="1">
    <w:name w:val="Heading 9 Char"/>
    <w:basedOn w:val="DefaultParagraphFont"/>
    <w:link w:val="Heading9"/>
    <w:uiPriority w:val="9"/>
    <w:rsid w:val="00723A6E"/>
    <w:rPr>
      <w:rFonts w:ascii="Calibri Light" w:cs="" w:eastAsia="" w:hAnsi="Calibri Light" w:asciiTheme="majorAscii" w:cstheme="majorBidi" w:eastAsiaTheme="majorEastAsia" w:hAnsiTheme="majorAscii"/>
      <w:i w:val="1"/>
      <w:iCs w:val="1"/>
      <w:noProof w:val="0"/>
      <w:color w:val="272727"/>
      <w:sz w:val="21"/>
      <w:szCs w:val="21"/>
      <w:lang w:val="pt-BR"/>
    </w:rPr>
  </w:style>
  <w:style w:type="character" w:styleId="TitleChar" w:customStyle="1">
    <w:name w:val="Title Char"/>
    <w:basedOn w:val="DefaultParagraphFont"/>
    <w:link w:val="Title"/>
    <w:uiPriority w:val="10"/>
    <w:rsid w:val="00723A6E"/>
    <w:rPr>
      <w:rFonts w:ascii="Calibri Light" w:cs="" w:eastAsia="" w:hAnsi="Calibri Light" w:asciiTheme="majorAscii" w:cstheme="majorBidi" w:eastAsiaTheme="majorEastAsia" w:hAnsiTheme="majorAscii"/>
      <w:noProof w:val="0"/>
      <w:sz w:val="56"/>
      <w:szCs w:val="56"/>
      <w:lang w:val="pt-BR"/>
    </w:rPr>
  </w:style>
  <w:style w:type="character" w:styleId="SubtitleChar" w:customStyle="1">
    <w:name w:val="Subtitle Char"/>
    <w:basedOn w:val="DefaultParagraphFont"/>
    <w:link w:val="Subtitle"/>
    <w:uiPriority w:val="11"/>
    <w:rsid w:val="00723A6E"/>
    <w:rPr>
      <w:rFonts w:ascii="Calibri" w:cs="" w:eastAsia="" w:hAnsi="Calibri" w:asciiTheme="minorAscii" w:cstheme="minorBidi" w:eastAsiaTheme="minorEastAsia" w:hAnsiTheme="minorAscii"/>
      <w:noProof w:val="0"/>
      <w:color w:val="5a5a5a"/>
      <w:lang w:val="pt-BR"/>
    </w:rPr>
  </w:style>
  <w:style w:type="character" w:styleId="QuoteChar" w:customStyle="1">
    <w:name w:val="Quote Char"/>
    <w:basedOn w:val="DefaultParagraphFont"/>
    <w:link w:val="Quote"/>
    <w:uiPriority w:val="29"/>
    <w:rsid w:val="00723A6E"/>
    <w:rPr>
      <w:i w:val="1"/>
      <w:iCs w:val="1"/>
      <w:noProof w:val="0"/>
      <w:color w:val="404040" w:themeColor="text1" w:themeTint="0000BF"/>
      <w:lang w:val="pt-BR"/>
    </w:rPr>
  </w:style>
  <w:style w:type="character" w:styleId="IntenseQuoteChar" w:customStyle="1">
    <w:name w:val="Intense Quote Char"/>
    <w:basedOn w:val="DefaultParagraphFont"/>
    <w:link w:val="IntenseQuote"/>
    <w:uiPriority w:val="30"/>
    <w:rsid w:val="00723A6E"/>
    <w:rPr>
      <w:i w:val="1"/>
      <w:iCs w:val="1"/>
      <w:noProof w:val="0"/>
      <w:color w:val="4472c4" w:themeColor="accent1"/>
      <w:lang w:val="pt-BR"/>
    </w:rPr>
  </w:style>
  <w:style w:type="paragraph" w:styleId="TOC1">
    <w:name w:val="toc 1"/>
    <w:basedOn w:val="Normal"/>
    <w:next w:val="Normal"/>
    <w:uiPriority w:val="39"/>
    <w:unhideWhenUsed w:val="1"/>
    <w:rsid w:val="00723A6E"/>
    <w:pPr>
      <w:spacing w:after="100"/>
    </w:pPr>
  </w:style>
  <w:style w:type="paragraph" w:styleId="TOC2">
    <w:name w:val="toc 2"/>
    <w:basedOn w:val="Normal"/>
    <w:next w:val="Normal"/>
    <w:uiPriority w:val="39"/>
    <w:unhideWhenUsed w:val="1"/>
    <w:rsid w:val="00723A6E"/>
    <w:pPr>
      <w:spacing w:after="100"/>
      <w:ind w:left="220"/>
    </w:pPr>
  </w:style>
  <w:style w:type="paragraph" w:styleId="TOC3">
    <w:name w:val="toc 3"/>
    <w:basedOn w:val="Normal"/>
    <w:next w:val="Normal"/>
    <w:uiPriority w:val="39"/>
    <w:unhideWhenUsed w:val="1"/>
    <w:rsid w:val="00723A6E"/>
    <w:pPr>
      <w:spacing w:after="100"/>
      <w:ind w:left="440"/>
    </w:pPr>
  </w:style>
  <w:style w:type="paragraph" w:styleId="TOC4">
    <w:name w:val="toc 4"/>
    <w:basedOn w:val="Normal"/>
    <w:next w:val="Normal"/>
    <w:uiPriority w:val="39"/>
    <w:unhideWhenUsed w:val="1"/>
    <w:rsid w:val="00723A6E"/>
    <w:pPr>
      <w:spacing w:after="100"/>
      <w:ind w:left="660"/>
    </w:pPr>
  </w:style>
  <w:style w:type="paragraph" w:styleId="TOC5">
    <w:name w:val="toc 5"/>
    <w:basedOn w:val="Normal"/>
    <w:next w:val="Normal"/>
    <w:uiPriority w:val="39"/>
    <w:unhideWhenUsed w:val="1"/>
    <w:rsid w:val="00723A6E"/>
    <w:pPr>
      <w:spacing w:after="100"/>
      <w:ind w:left="880"/>
    </w:pPr>
  </w:style>
  <w:style w:type="paragraph" w:styleId="TOC6">
    <w:name w:val="toc 6"/>
    <w:basedOn w:val="Normal"/>
    <w:next w:val="Normal"/>
    <w:uiPriority w:val="39"/>
    <w:unhideWhenUsed w:val="1"/>
    <w:rsid w:val="00723A6E"/>
    <w:pPr>
      <w:spacing w:after="100"/>
      <w:ind w:left="1100"/>
    </w:pPr>
  </w:style>
  <w:style w:type="paragraph" w:styleId="TOC7">
    <w:name w:val="toc 7"/>
    <w:basedOn w:val="Normal"/>
    <w:next w:val="Normal"/>
    <w:uiPriority w:val="39"/>
    <w:unhideWhenUsed w:val="1"/>
    <w:rsid w:val="00723A6E"/>
    <w:pPr>
      <w:spacing w:after="100"/>
      <w:ind w:left="1320"/>
    </w:pPr>
  </w:style>
  <w:style w:type="paragraph" w:styleId="TOC8">
    <w:name w:val="toc 8"/>
    <w:basedOn w:val="Normal"/>
    <w:next w:val="Normal"/>
    <w:uiPriority w:val="39"/>
    <w:unhideWhenUsed w:val="1"/>
    <w:rsid w:val="00723A6E"/>
    <w:pPr>
      <w:spacing w:after="100"/>
      <w:ind w:left="1540"/>
    </w:pPr>
  </w:style>
  <w:style w:type="paragraph" w:styleId="TOC9">
    <w:name w:val="toc 9"/>
    <w:basedOn w:val="Normal"/>
    <w:next w:val="Normal"/>
    <w:uiPriority w:val="39"/>
    <w:unhideWhenUsed w:val="1"/>
    <w:rsid w:val="00723A6E"/>
    <w:pPr>
      <w:spacing w:after="100"/>
      <w:ind w:left="1760"/>
    </w:pPr>
  </w:style>
  <w:style w:type="paragraph" w:styleId="EndnoteText">
    <w:name w:val="endnote text"/>
    <w:basedOn w:val="Normal"/>
    <w:link w:val="EndnoteTextChar"/>
    <w:uiPriority w:val="99"/>
    <w:semiHidden w:val="1"/>
    <w:unhideWhenUsed w:val="1"/>
    <w:rsid w:val="00723A6E"/>
    <w:pPr>
      <w:spacing w:after="0"/>
    </w:pPr>
    <w:rPr>
      <w:sz w:val="20"/>
      <w:szCs w:val="20"/>
    </w:rPr>
  </w:style>
  <w:style w:type="character" w:styleId="EndnoteTextChar" w:customStyle="1">
    <w:name w:val="Endnote Text Char"/>
    <w:basedOn w:val="DefaultParagraphFont"/>
    <w:link w:val="EndnoteText"/>
    <w:uiPriority w:val="99"/>
    <w:semiHidden w:val="1"/>
    <w:rsid w:val="00723A6E"/>
    <w:rPr>
      <w:noProof w:val="0"/>
      <w:sz w:val="20"/>
      <w:szCs w:val="20"/>
      <w:lang w:val="pt-BR"/>
    </w:rPr>
  </w:style>
  <w:style w:type="paragraph" w:styleId="Footer">
    <w:name w:val="footer"/>
    <w:basedOn w:val="Normal"/>
    <w:link w:val="FooterChar"/>
    <w:uiPriority w:val="99"/>
    <w:unhideWhenUsed w:val="1"/>
    <w:rsid w:val="00723A6E"/>
    <w:pPr>
      <w:tabs>
        <w:tab w:val="center" w:leader="none" w:pos="4680"/>
        <w:tab w:val="right" w:leader="none" w:pos="9360"/>
      </w:tabs>
      <w:spacing w:after="0"/>
    </w:pPr>
  </w:style>
  <w:style w:type="character" w:styleId="FooterChar" w:customStyle="1">
    <w:name w:val="Footer Char"/>
    <w:basedOn w:val="DefaultParagraphFont"/>
    <w:link w:val="Footer"/>
    <w:uiPriority w:val="99"/>
    <w:rsid w:val="00723A6E"/>
    <w:rPr>
      <w:noProof w:val="0"/>
      <w:lang w:val="pt-BR"/>
    </w:rPr>
  </w:style>
  <w:style w:type="paragraph" w:styleId="FootnoteText">
    <w:name w:val="footnote text"/>
    <w:basedOn w:val="Normal"/>
    <w:link w:val="FootnoteTextChar"/>
    <w:uiPriority w:val="99"/>
    <w:semiHidden w:val="1"/>
    <w:unhideWhenUsed w:val="1"/>
    <w:rsid w:val="00723A6E"/>
    <w:pPr>
      <w:spacing w:after="0"/>
    </w:pPr>
    <w:rPr>
      <w:sz w:val="20"/>
      <w:szCs w:val="20"/>
    </w:rPr>
  </w:style>
  <w:style w:type="character" w:styleId="FootnoteTextChar" w:customStyle="1">
    <w:name w:val="Footnote Text Char"/>
    <w:basedOn w:val="DefaultParagraphFont"/>
    <w:link w:val="FootnoteText"/>
    <w:uiPriority w:val="99"/>
    <w:semiHidden w:val="1"/>
    <w:rsid w:val="00723A6E"/>
    <w:rPr>
      <w:noProof w:val="0"/>
      <w:sz w:val="20"/>
      <w:szCs w:val="20"/>
      <w:lang w:val="pt-BR"/>
    </w:rPr>
  </w:style>
  <w:style w:type="paragraph" w:styleId="Header">
    <w:name w:val="header"/>
    <w:basedOn w:val="Normal"/>
    <w:link w:val="HeaderChar"/>
    <w:uiPriority w:val="99"/>
    <w:unhideWhenUsed w:val="1"/>
    <w:rsid w:val="00723A6E"/>
    <w:pPr>
      <w:tabs>
        <w:tab w:val="center" w:leader="none" w:pos="4680"/>
        <w:tab w:val="right" w:leader="none" w:pos="9360"/>
      </w:tabs>
      <w:spacing w:after="0"/>
    </w:pPr>
  </w:style>
  <w:style w:type="character" w:styleId="HeaderChar" w:customStyle="1">
    <w:name w:val="Header Char"/>
    <w:basedOn w:val="DefaultParagraphFont"/>
    <w:link w:val="Header"/>
    <w:uiPriority w:val="99"/>
    <w:rsid w:val="00723A6E"/>
    <w:rPr>
      <w:noProof w:val="0"/>
      <w:lang w:val="pt-BR"/>
    </w:rPr>
  </w:style>
  <w:style w:type="paragraph" w:styleId="Subtitle">
    <w:name w:val="Subtitle"/>
    <w:basedOn w:val="Normal"/>
    <w:next w:val="Normal"/>
    <w:pPr/>
    <w:rPr>
      <w:rFonts w:ascii="Calibri" w:cs="Calibri" w:eastAsia="Calibri" w:hAnsi="Calibri"/>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s://www.epe.gov.br/sites-pt/publicacoes-dados-abertos/publicacoes/PublicacoesArquivos/publicacao-607/topico-593/NT.EPE.DEA.SEE.019.2021%20-%20Cen%C3%A1rio%20Econ%C3%B4mico%202022-2031%20Rev(Dez21).pdf" TargetMode="External"/><Relationship Id="rId42" Type="http://schemas.openxmlformats.org/officeDocument/2006/relationships/image" Target="media/image3.png"/><Relationship Id="rId41" Type="http://schemas.openxmlformats.org/officeDocument/2006/relationships/image" Target="media/image8.png"/><Relationship Id="rId22" Type="http://schemas.openxmlformats.org/officeDocument/2006/relationships/hyperlink" Target="https://biblioteca.ibge.gov.br/visualizacao/livros/liv101794_informativo.pdf" TargetMode="External"/><Relationship Id="rId44" Type="http://schemas.openxmlformats.org/officeDocument/2006/relationships/hyperlink" Target="https://www.gov.br/cidadania/pt-br/acoes-e-programas/assistencia-social/beneficios-assistenciais/tarifa-social-de-energia" TargetMode="External"/><Relationship Id="rId21" Type="http://schemas.openxmlformats.org/officeDocument/2006/relationships/hyperlink" Target="https://biblioteca.ibge.gov.br/visualizacao/livros/liv101707_informativo.pdf" TargetMode="External"/><Relationship Id="rId43" Type="http://schemas.openxmlformats.org/officeDocument/2006/relationships/image" Target="media/image7.png"/><Relationship Id="rId24" Type="http://schemas.openxmlformats.org/officeDocument/2006/relationships/hyperlink" Target="https://biblioteca.ibge.gov.br/visualizacao/periodicos/59/pnad_1997_v19_n1_br.pdf" TargetMode="External"/><Relationship Id="rId46" Type="http://schemas.openxmlformats.org/officeDocument/2006/relationships/hyperlink" Target="https://app.powerbi.com/view?r=eyJrIjoiOTY0NWQzOGItMmQ3ZS00MWUzLTllNmMtNTA5NTYxODdhYTkzIiwidCI6IjQwZDZmOWI4LWVjYTctNDZhMi05MmQ0LWVhNGU5YzAxNzBlMSIsImMiOjR9" TargetMode="External"/><Relationship Id="rId23" Type="http://schemas.openxmlformats.org/officeDocument/2006/relationships/hyperlink" Target="https://biblioteca.ibge.gov.br/visualizacao/periodicos/59/pnad_2005_v26_br.pdf" TargetMode="External"/><Relationship Id="rId45" Type="http://schemas.openxmlformats.org/officeDocument/2006/relationships/hyperlink" Target="https://www.gov.br/aneel/pt-br/assuntos/tarifas/tarifa-socia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epe.gov.br/sites-pt/publicacoes-dados-abertos/publicacoes/PublicacoesArquivos/publicacao-227/topico-201/Cen%C3%A1rios%20Econ%C3%B4micos.pdf" TargetMode="External"/><Relationship Id="rId26" Type="http://schemas.openxmlformats.org/officeDocument/2006/relationships/hyperlink" Target="https://biblioteca.ibge.gov.br/index.php/biblioteca-catalogo?view=detalhes&amp;id=759" TargetMode="External"/><Relationship Id="rId25" Type="http://schemas.openxmlformats.org/officeDocument/2006/relationships/hyperlink" Target="https://biblioteca.ibge.gov.br/visualizacao/periodicos/59/pnad_1988_v12_t1_br.pdf" TargetMode="External"/><Relationship Id="rId28" Type="http://schemas.openxmlformats.org/officeDocument/2006/relationships/hyperlink" Target="https://biblioteca.ibge.gov.br/index.php/biblioteca-catalogo?view=detalhes&amp;id=7230" TargetMode="External"/><Relationship Id="rId27" Type="http://schemas.openxmlformats.org/officeDocument/2006/relationships/hyperlink" Target="https://biblioteca.ibge.gov.br/visualizacao/periodicos/230/pmc_2019_jan.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epe.gov.br/sites-pt/publicacoes-dados-abertos/publicacoes/PublicacoesArquivos/publicacao-341/NT%20EPE%20030_2018_18Dez2018.pdf"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image" Target="media/image1.png"/><Relationship Id="rId33" Type="http://schemas.openxmlformats.org/officeDocument/2006/relationships/image" Target="media/image14.png"/><Relationship Id="rId10" Type="http://schemas.openxmlformats.org/officeDocument/2006/relationships/hyperlink" Target="https://www.epe.gov.br/sites-pt/publicacoes-dados-abertos/publicacoes/PublicacoesArquivos/publicacao-227/topico-458/PNE2050_Premissas%20econ%C3%B4micas%20de%20longo%20prazo.pdf" TargetMode="External"/><Relationship Id="rId32" Type="http://schemas.openxmlformats.org/officeDocument/2006/relationships/hyperlink" Target="https://www.epe.gov.br/sites-pt/publicacoes-dados-abertos/publicacoes/PublicacoesArquivos/publicacao-490/PDE%202030_RevisaoPosCP_rv2.pdf#search=Hist%C3%B3rico%20e%20cen%C3%A1rio%20para%20a%20posse%20e%20h%C3%A1bitos%20de%20uso%20de%20aparelhos%20el%C3%A9tricos%20e%20eletr%C3%B4nicos%20utilizados%20nas%20resid%C3%AAncias%20brasileiras" TargetMode="External"/><Relationship Id="rId13" Type="http://schemas.openxmlformats.org/officeDocument/2006/relationships/image" Target="media/image4.png"/><Relationship Id="rId35" Type="http://schemas.openxmlformats.org/officeDocument/2006/relationships/hyperlink" Target="https://www.infomoney.com.br/minhas-financas/classes-d-e-e-continuarao-a-ser-mais-da-metade-da-populacao-ate-2024-projeta-consultoria/" TargetMode="External"/><Relationship Id="rId12" Type="http://schemas.openxmlformats.org/officeDocument/2006/relationships/hyperlink" Target="https://www.epe.gov.br/sites-pt/publicacoes-dados-abertos/publicacoes/PublicacoesArquivos/publicacao-423/topico-480/01%20Premissas%20Gerais.pdf" TargetMode="External"/><Relationship Id="rId34" Type="http://schemas.openxmlformats.org/officeDocument/2006/relationships/hyperlink" Target="http://www.mdic.gov.br/sistemas_web/renai/public/arquivo/arq1338231455.pdf" TargetMode="External"/><Relationship Id="rId15" Type="http://schemas.openxmlformats.org/officeDocument/2006/relationships/image" Target="media/image10.png"/><Relationship Id="rId37" Type="http://schemas.openxmlformats.org/officeDocument/2006/relationships/hyperlink" Target="https://www.gov.br/mme/pt-br/assuntos/conselhos-e-comites/cgiee/portarias-e-resolucoes" TargetMode="External"/><Relationship Id="rId14" Type="http://schemas.openxmlformats.org/officeDocument/2006/relationships/hyperlink" Target="https://www.epe.gov.br/sites-pt/publicacoes-dados-abertos/publicacoes/PublicacoesArquivos/publicacao-227/topico-201/Cen%C3%A1rios%20Econ%C3%B4micos.pdf" TargetMode="External"/><Relationship Id="rId36" Type="http://schemas.openxmlformats.org/officeDocument/2006/relationships/image" Target="media/image9.png"/><Relationship Id="rId17" Type="http://schemas.openxmlformats.org/officeDocument/2006/relationships/image" Target="media/image2.png"/><Relationship Id="rId39" Type="http://schemas.openxmlformats.org/officeDocument/2006/relationships/image" Target="media/image5.png"/><Relationship Id="rId16" Type="http://schemas.openxmlformats.org/officeDocument/2006/relationships/hyperlink" Target="https://www.pwc.com/gx/en/world-2050/assets/pwc-the-world-in-2050-full-report-feb-2017.pdf" TargetMode="External"/><Relationship Id="rId38" Type="http://schemas.openxmlformats.org/officeDocument/2006/relationships/image" Target="media/image12.png"/><Relationship Id="rId19" Type="http://schemas.openxmlformats.org/officeDocument/2006/relationships/hyperlink" Target="http://www.ipeadata.gov.br/Default.aspx" TargetMode="External"/><Relationship Id="rId18" Type="http://schemas.openxmlformats.org/officeDocument/2006/relationships/hyperlink" Target="https://www.ibge.gov.br/estatisticas/sociais/populacao/9171-pesquisa-nacional-por-amostra-de-domicilios-continua-mensal.html?=&amp;t=series-historica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DNhU8RZKc9sn7bMSba+m1jI+RA==">AMUW2mWdkl87TDDt9g6MkG3l52HaOf6tcKTAFqhijjnJWFQK1Ru53tUQG0RrXkCKOCEgXVi7PfTQF+DZEDsQc6uqRnC7BNUUNQI4+jKjJqxz0FM2bPUyc9Hzl6sxk5CJdGug3ysij7qtsXnc80LMf1YFtQjXbQY3e2Wf2ErPAClJrN8TC8yTof6XS5fNpHBkBF/0Uz0KduEt2HXyFaDEJPwunysWcaG6GTuw0mEOzSr4obZL2ngYdVkQSDqTv/BQU63PdRC4oybTLQY7tWcT7BtaWoKerqWGl/oeAI92C0oqJrH420Z89ggHtcRCdzRCFdFiWPj6vE6zgKA/zt1awjjNsXNboFzkxDWhIVA6A6UeaiiCvGy4MDjyA3XP70L8UQORXIbxtrbfqOveSMj4DqIgQflY8UYKn4ngsc//RsG4KGTiI8OOAgzu9+8oxZsUIdlqdlzQE9ILA2cfFsAIiSesLG4wCqESn00bYbYG6tkWPuRItkxx+Z4CVw31+ANGfF6C/rOAV1qxH6TVwdSpF3/FuNXvoGwT5i5yL5+ytb8ST6uAEaZsVvtaCtv02daLlu1B16uK4oSgEv797kjR3+Vh8pqG3GvkirorVb1sXUc6P5mGAvQ8MMtEV7tep7WnO5R/13Ui9IG1dQRvGX+NLy1zGH8mPjJpTbVntP429dEqUb3oIHhAVk0vTnxWofAty8BbIU0NFfQWzmIvZe5GqAVYqgwzNUTYlSjnWQ2CWfthnc+zqeq+0y/13+xJsbKgWYkSeZJUkALHO4b7oRfBZZViRcjjNtEbUf+23QCZijJNq9xjNAkfgG5QOcSzeOHk6Sxc/N6s9H0LhHVLKvVrR+1kcfqzzXmAOskIG9UZZMHeN5Sp+aCCohJD6PpBbDy2Ghmjz9FXok8L0+fF+hd7d6Ikth9FK0CPPho8bEHqXvgAxOBNkCYEhOdv4JuSPWg7co1XayILkTkumUjsqjgC10tP/7RuEp7+SLkjcEbsVrQDJ6QmQgmFPQamVAuwM7hhpgwt92YTktTr48ot4RRZ5siYABd/zvG5AdJL67X17lWJHUhGmER67iA98TJm5TkIBB/49lln5V95rnIkfP80AT7C/1mQ8ZFWwz/i6U4JC7g3620oLqJOb/ZCMbrUD/1ISPhAxdnNf4BrgBS47nkCCbkWI4VF3t0fN9//CzG+XuD5k1sF8PKO8+Fs8jCBP6JHos+Wol4wq4lVamrJ6ShdSOLTMPebkvJtPmDptxEg7xTorZY85gnO/Ammwyl5dARAQNSu+nWxNJILnVXb2DbLBwg45Psdz987LwuGuryFYYBGxE3569C/q4XjpxyoNcSszZPWqvSIf1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2023-04-17T12:31:17.4780529Z</dcterms:created>
  <dc:creator>Giovanna Motta</dc:creator>
</cp:coreProperties>
</file>