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9D7CF" w14:textId="1EE176DF" w:rsidR="000F1D44" w:rsidRPr="00374923" w:rsidRDefault="00522808" w:rsidP="00374923">
      <w:pPr>
        <w:shd w:val="clear" w:color="auto" w:fill="FFFFFF"/>
        <w:spacing w:line="276" w:lineRule="auto"/>
        <w:jc w:val="both"/>
        <w:rPr>
          <w:rFonts w:eastAsia="Times New Roman" w:cstheme="minorHAnsi"/>
          <w:kern w:val="0"/>
          <w:lang w:val="es-PA"/>
          <w14:ligatures w14:val="none"/>
        </w:rPr>
      </w:pPr>
      <w:r>
        <w:rPr>
          <w:rFonts w:eastAsia="Times New Roman" w:cstheme="minorHAnsi"/>
          <w:kern w:val="0"/>
          <w:lang w:val="es-PA"/>
          <w14:ligatures w14:val="none"/>
        </w:rPr>
        <w:t xml:space="preserve">Introducción: </w:t>
      </w:r>
      <w:r w:rsidR="000F1D44">
        <w:rPr>
          <w:rFonts w:eastAsia="Times New Roman" w:cstheme="minorHAnsi"/>
          <w:kern w:val="0"/>
          <w:lang w:val="es-PA"/>
          <w14:ligatures w14:val="none"/>
        </w:rPr>
        <w:t>El microbioma y sepsis</w:t>
      </w:r>
    </w:p>
    <w:p w14:paraId="72F7833E" w14:textId="352D8165" w:rsidR="0020107C" w:rsidRPr="0020107C" w:rsidRDefault="0020107C" w:rsidP="00374923">
      <w:pPr>
        <w:shd w:val="clear" w:color="auto" w:fill="FFFFFF"/>
        <w:spacing w:line="276" w:lineRule="auto"/>
        <w:jc w:val="both"/>
        <w:rPr>
          <w:rFonts w:eastAsia="Times New Roman" w:cstheme="minorHAnsi"/>
          <w:kern w:val="0"/>
          <w:lang w:val="es-PA"/>
          <w14:ligatures w14:val="none"/>
        </w:rPr>
      </w:pPr>
      <w:r w:rsidRPr="0020107C">
        <w:rPr>
          <w:rFonts w:eastAsia="Times New Roman" w:cstheme="minorHAnsi"/>
          <w:kern w:val="0"/>
          <w:lang w:val="es-PA"/>
          <w14:ligatures w14:val="none"/>
        </w:rPr>
        <w:t>El microbioma intestinal es la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 </w:t>
      </w:r>
      <w:r w:rsidRPr="0020107C">
        <w:rPr>
          <w:rFonts w:eastAsia="Times New Roman" w:cstheme="minorHAnsi"/>
          <w:kern w:val="0"/>
          <w:lang w:val="es-PA"/>
          <w14:ligatures w14:val="none"/>
        </w:rPr>
        <w:t>comunidad de microorganismos (principalmente bacterias, pero también virus, hongos y otros) que habitan en el tracto gastrointestinal. Es una comunidad diversa y compleja, con más de 100 billones de microorganismos que desempeñan funciones cruciales para la salud humana. </w:t>
      </w:r>
      <w:r w:rsidRPr="00374923">
        <w:rPr>
          <w:rFonts w:cstheme="minorHAnsi"/>
          <w:shd w:val="clear" w:color="auto" w:fill="FFFFFF"/>
          <w:lang w:val="es-PA"/>
        </w:rPr>
        <w:t>Se le ha implicado en múltiples enfermedades autoinmunes, autoinflamatorias, en cáncer, obesidad, síndrome metabólico y riesgo cardiovascular.</w:t>
      </w:r>
    </w:p>
    <w:p w14:paraId="7A3CBD13" w14:textId="77777777" w:rsidR="0020107C" w:rsidRPr="0020107C" w:rsidRDefault="0020107C" w:rsidP="00374923">
      <w:pPr>
        <w:shd w:val="clear" w:color="auto" w:fill="FFFFFF"/>
        <w:spacing w:line="276" w:lineRule="auto"/>
        <w:jc w:val="both"/>
        <w:rPr>
          <w:rFonts w:eastAsia="Times New Roman" w:cstheme="minorHAnsi"/>
          <w:kern w:val="0"/>
          <w:lang w:val="es-PA"/>
          <w14:ligatures w14:val="none"/>
        </w:rPr>
      </w:pPr>
      <w:r w:rsidRPr="0020107C">
        <w:rPr>
          <w:rFonts w:eastAsia="Times New Roman" w:cstheme="minorHAnsi"/>
          <w:kern w:val="0"/>
          <w:lang w:val="es-PA"/>
          <w14:ligatures w14:val="none"/>
        </w:rPr>
        <w:t>El microbioma intestinal es el ecosistema microbiano que vive dentro del intestino, una comunidad en constante interacción con nuestro cuerpo. A diferencia de la flora intestinal, el término microbioma se refiere a la comunidad de microorganismos en sí, incluyendo su diversidad y composición genética. </w:t>
      </w:r>
    </w:p>
    <w:p w14:paraId="77255B42" w14:textId="6178002B" w:rsidR="0020107C" w:rsidRPr="0020107C" w:rsidRDefault="0020107C" w:rsidP="00374923">
      <w:pPr>
        <w:shd w:val="clear" w:color="auto" w:fill="FFFFFF"/>
        <w:spacing w:after="150" w:line="276" w:lineRule="auto"/>
        <w:jc w:val="both"/>
        <w:rPr>
          <w:rFonts w:eastAsia="Times New Roman" w:cstheme="minorHAnsi"/>
          <w:kern w:val="0"/>
          <w:lang w:val="es-PA"/>
          <w14:ligatures w14:val="none"/>
        </w:rPr>
      </w:pPr>
      <w:r w:rsidRPr="0020107C">
        <w:rPr>
          <w:rFonts w:eastAsia="Times New Roman" w:cstheme="minorHAnsi"/>
          <w:kern w:val="0"/>
          <w:lang w:val="es-PA"/>
          <w14:ligatures w14:val="none"/>
        </w:rPr>
        <w:t>El microbioma intestinal tiene un papel fundamental en</w:t>
      </w:r>
      <w:r w:rsidR="00522808" w:rsidRPr="00374923">
        <w:rPr>
          <w:rFonts w:eastAsia="Times New Roman" w:cstheme="minorHAnsi"/>
          <w:kern w:val="0"/>
          <w:lang w:val="es-PA"/>
          <w14:ligatures w14:val="none"/>
        </w:rPr>
        <w:t xml:space="preserve"> la d</w:t>
      </w:r>
      <w:r w:rsidRPr="0020107C">
        <w:rPr>
          <w:rFonts w:eastAsia="Times New Roman" w:cstheme="minorHAnsi"/>
          <w:kern w:val="0"/>
          <w:lang w:val="es-PA"/>
          <w14:ligatures w14:val="none"/>
        </w:rPr>
        <w:t>igestión y absorción de nutrientes</w:t>
      </w:r>
      <w:r w:rsidRPr="00374923">
        <w:rPr>
          <w:rFonts w:eastAsia="Times New Roman" w:cstheme="minorHAnsi"/>
          <w:kern w:val="0"/>
          <w:lang w:val="es-PA"/>
          <w14:ligatures w14:val="none"/>
        </w:rPr>
        <w:t>, s</w:t>
      </w:r>
      <w:r w:rsidRPr="0020107C">
        <w:rPr>
          <w:rFonts w:eastAsia="Times New Roman" w:cstheme="minorHAnsi"/>
          <w:kern w:val="0"/>
          <w:lang w:val="es-PA"/>
          <w14:ligatures w14:val="none"/>
        </w:rPr>
        <w:t>íntesis de vitaminas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 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>como la K y las vitaminas del grupo B</w:t>
      </w:r>
      <w:r w:rsidRPr="00374923">
        <w:rPr>
          <w:rFonts w:eastAsia="Times New Roman" w:cstheme="minorHAnsi"/>
          <w:kern w:val="0"/>
          <w:lang w:val="es-PA"/>
          <w14:ligatures w14:val="none"/>
        </w:rPr>
        <w:t>, s</w:t>
      </w:r>
      <w:r w:rsidRPr="0020107C">
        <w:rPr>
          <w:rFonts w:eastAsia="Times New Roman" w:cstheme="minorHAnsi"/>
          <w:kern w:val="0"/>
          <w:lang w:val="es-PA"/>
          <w14:ligatures w14:val="none"/>
        </w:rPr>
        <w:t>istema inmunológico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 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>ayudando al cuerpo a distinguir entre microorganismos beneficiosos y patógenos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Pr="00374923">
        <w:rPr>
          <w:rFonts w:eastAsia="Times New Roman" w:cstheme="minorHAnsi"/>
          <w:kern w:val="0"/>
          <w:lang w:val="es-PA"/>
          <w14:ligatures w14:val="none"/>
        </w:rPr>
        <w:t>p</w:t>
      </w:r>
      <w:r w:rsidRPr="0020107C">
        <w:rPr>
          <w:rFonts w:eastAsia="Times New Roman" w:cstheme="minorHAnsi"/>
          <w:kern w:val="0"/>
          <w:lang w:val="es-PA"/>
          <w14:ligatures w14:val="none"/>
        </w:rPr>
        <w:t>rotección contra patógenos</w:t>
      </w:r>
      <w:r w:rsidRPr="00374923">
        <w:rPr>
          <w:rFonts w:eastAsia="Times New Roman" w:cstheme="minorHAnsi"/>
          <w:kern w:val="0"/>
          <w:lang w:val="es-PA"/>
          <w14:ligatures w14:val="none"/>
        </w:rPr>
        <w:t>, m</w:t>
      </w:r>
      <w:r w:rsidRPr="0020107C">
        <w:rPr>
          <w:rFonts w:eastAsia="Times New Roman" w:cstheme="minorHAnsi"/>
          <w:kern w:val="0"/>
          <w:lang w:val="es-PA"/>
          <w14:ligatures w14:val="none"/>
        </w:rPr>
        <w:t>etabolismo y salud en general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 y 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>función cerebral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.</w:t>
      </w:r>
    </w:p>
    <w:p w14:paraId="31D9C0AA" w14:textId="191EB673" w:rsidR="00D3481C" w:rsidRPr="00374923" w:rsidRDefault="0020107C" w:rsidP="00374923">
      <w:pPr>
        <w:shd w:val="clear" w:color="auto" w:fill="FFFFFF"/>
        <w:spacing w:after="150" w:line="276" w:lineRule="auto"/>
        <w:jc w:val="both"/>
        <w:rPr>
          <w:rFonts w:eastAsia="Times New Roman" w:cstheme="minorHAnsi"/>
          <w:kern w:val="0"/>
          <w:lang w:val="es-PA"/>
          <w14:ligatures w14:val="none"/>
        </w:rPr>
      </w:pPr>
      <w:r w:rsidRPr="00374923">
        <w:rPr>
          <w:rFonts w:eastAsia="Times New Roman" w:cstheme="minorHAnsi"/>
          <w:kern w:val="0"/>
          <w:lang w:val="es-PA"/>
          <w14:ligatures w14:val="none"/>
        </w:rPr>
        <w:t>Los</w:t>
      </w:r>
      <w:r w:rsidR="00F57092" w:rsidRPr="00374923">
        <w:rPr>
          <w:rFonts w:eastAsia="Times New Roman" w:cstheme="minorHAnsi"/>
          <w:kern w:val="0"/>
          <w:lang w:val="es-PA"/>
          <w14:ligatures w14:val="none"/>
        </w:rPr>
        <w:t xml:space="preserve"> </w:t>
      </w:r>
      <w:r w:rsidR="00374923" w:rsidRPr="00374923">
        <w:rPr>
          <w:rFonts w:eastAsia="Times New Roman" w:cstheme="minorHAnsi"/>
          <w:kern w:val="0"/>
          <w:lang w:val="es-PA"/>
          <w14:ligatures w14:val="none"/>
        </w:rPr>
        <w:t>f</w:t>
      </w:r>
      <w:r w:rsidRPr="0020107C">
        <w:rPr>
          <w:rFonts w:eastAsia="Times New Roman" w:cstheme="minorHAnsi"/>
          <w:kern w:val="0"/>
          <w:lang w:val="es-PA"/>
          <w14:ligatures w14:val="none"/>
        </w:rPr>
        <w:t xml:space="preserve">actores que afectan el microbioma </w:t>
      </w:r>
      <w:r w:rsidR="00F57092" w:rsidRPr="00374923">
        <w:rPr>
          <w:rFonts w:eastAsia="Times New Roman" w:cstheme="minorHAnsi"/>
          <w:kern w:val="0"/>
          <w:lang w:val="es-PA"/>
          <w14:ligatures w14:val="none"/>
        </w:rPr>
        <w:t>intestinal son la d</w:t>
      </w:r>
      <w:r w:rsidRPr="0020107C">
        <w:rPr>
          <w:rFonts w:eastAsia="Times New Roman" w:cstheme="minorHAnsi"/>
          <w:kern w:val="0"/>
          <w:lang w:val="es-PA"/>
          <w14:ligatures w14:val="none"/>
        </w:rPr>
        <w:t>ieta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, el uso de </w:t>
      </w:r>
      <w:r w:rsidR="00F57092" w:rsidRPr="00374923">
        <w:rPr>
          <w:rFonts w:eastAsia="Times New Roman" w:cstheme="minorHAnsi"/>
          <w:kern w:val="0"/>
          <w:lang w:val="es-PA"/>
          <w14:ligatures w14:val="none"/>
        </w:rPr>
        <w:t>a</w:t>
      </w:r>
      <w:r w:rsidRPr="0020107C">
        <w:rPr>
          <w:rFonts w:eastAsia="Times New Roman" w:cstheme="minorHAnsi"/>
          <w:kern w:val="0"/>
          <w:lang w:val="es-PA"/>
          <w14:ligatures w14:val="none"/>
        </w:rPr>
        <w:t>ntibióticos</w:t>
      </w:r>
      <w:r w:rsidRPr="00374923">
        <w:rPr>
          <w:rFonts w:eastAsia="Times New Roman" w:cstheme="minorHAnsi"/>
          <w:kern w:val="0"/>
          <w:lang w:val="es-PA"/>
          <w14:ligatures w14:val="none"/>
        </w:rPr>
        <w:t xml:space="preserve"> dando desequilibrio</w:t>
      </w:r>
      <w:r w:rsidR="00002161" w:rsidRPr="00374923">
        <w:rPr>
          <w:rFonts w:eastAsia="Times New Roman" w:cstheme="minorHAnsi"/>
          <w:kern w:val="0"/>
          <w:lang w:val="es-PA"/>
          <w14:ligatures w14:val="none"/>
        </w:rPr>
        <w:t xml:space="preserve">, uso de medicamentos que afectan la bomba de protones, 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>uso prolongado de antibióticos puede alterar la composición del microbioma, lo que puede conducir a desequilibrio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="000F1D44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el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método de parto (vaginal o cesárea) puede influir en la composición del microbioma del recién nacido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y f</w:t>
      </w:r>
      <w:r w:rsidRPr="0020107C">
        <w:rPr>
          <w:rFonts w:eastAsia="Times New Roman" w:cstheme="minorHAnsi"/>
          <w:spacing w:val="2"/>
          <w:kern w:val="0"/>
          <w:lang w:val="es-PA"/>
          <w14:ligatures w14:val="none"/>
        </w:rPr>
        <w:t>actores como enfermedades crónicas, estrés o ciertas condiciones médicas pueden afectar la salud del microbioma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como: enfermedades digestivas., diabetes, Alzheimer, Parkinson, esquizofrenia, </w:t>
      </w:r>
      <w:r w:rsidR="000F1D44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cáncer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</w:t>
      </w:r>
      <w:r w:rsidR="000F1D44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colorrectal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. </w:t>
      </w:r>
      <w:proofErr w:type="spellStart"/>
      <w:r w:rsidR="00FC60E9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e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tc</w:t>
      </w:r>
      <w:proofErr w:type="spellEnd"/>
      <w:sdt>
        <w:sdtPr>
          <w:rPr>
            <w:rFonts w:eastAsia="Times New Roman" w:cstheme="minorHAnsi"/>
            <w:spacing w:val="2"/>
            <w:kern w:val="0"/>
            <w:lang w:val="es-PA"/>
            <w14:ligatures w14:val="none"/>
          </w:rPr>
          <w:id w:val="-1336141800"/>
          <w:citation/>
        </w:sdtPr>
        <w:sdtContent>
          <w:r w:rsidR="002712D1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begin"/>
          </w:r>
          <w:r w:rsidR="002712D1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instrText xml:space="preserve"> CITATION Mor18 \l 6154 </w:instrText>
          </w:r>
          <w:r w:rsidR="002712D1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separate"/>
          </w:r>
          <w:r w:rsidR="002712D1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 xml:space="preserve"> </w:t>
          </w:r>
          <w:r w:rsidR="002712D1" w:rsidRPr="002712D1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>(Moreno del Castillo, 2018)</w:t>
          </w:r>
          <w:r w:rsidR="002712D1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end"/>
          </w:r>
        </w:sdtContent>
      </w:sdt>
    </w:p>
    <w:p w14:paraId="60F7804A" w14:textId="16E01DE8" w:rsidR="00FC60E9" w:rsidRPr="00374923" w:rsidRDefault="00FC60E9" w:rsidP="00374923">
      <w:pPr>
        <w:shd w:val="clear" w:color="auto" w:fill="FFFFFF"/>
        <w:spacing w:after="120" w:line="276" w:lineRule="auto"/>
        <w:jc w:val="both"/>
        <w:rPr>
          <w:rFonts w:eastAsia="Times New Roman" w:cstheme="minorHAnsi"/>
          <w:spacing w:val="2"/>
          <w:kern w:val="0"/>
          <w:lang w:val="es-PA"/>
          <w14:ligatures w14:val="none"/>
        </w:rPr>
      </w:pP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Cabe destacar que los genes juegan un rol fundamental, toda vez que hay personas que pueden tener inmunodeficiencias particulares que hacen una expresión clínica </w:t>
      </w:r>
      <w:r w:rsidR="00626852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más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severa de la sepsis como lo son el síndrome de linfocito vacío, el déficit de adenosín </w:t>
      </w:r>
      <w:proofErr w:type="spellStart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deaminasa</w:t>
      </w:r>
      <w:proofErr w:type="spellEnd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="00273BE6">
        <w:rPr>
          <w:rFonts w:eastAsia="Times New Roman" w:cstheme="minorHAnsi"/>
          <w:spacing w:val="2"/>
          <w:kern w:val="0"/>
          <w:lang w:val="es-PA"/>
          <w14:ligatures w14:val="none"/>
        </w:rPr>
        <w:t>S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índrome de </w:t>
      </w:r>
      <w:proofErr w:type="spellStart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Chediak</w:t>
      </w:r>
      <w:proofErr w:type="spellEnd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</w:t>
      </w:r>
      <w:proofErr w:type="spellStart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Higashi</w:t>
      </w:r>
      <w:proofErr w:type="spellEnd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="00273BE6">
        <w:rPr>
          <w:rFonts w:eastAsia="Times New Roman" w:cstheme="minorHAnsi"/>
          <w:spacing w:val="2"/>
          <w:kern w:val="0"/>
          <w:lang w:val="es-PA"/>
          <w14:ligatures w14:val="none"/>
        </w:rPr>
        <w:t>Síndrome</w:t>
      </w:r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de </w:t>
      </w:r>
      <w:proofErr w:type="spellStart"/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>Griscelli</w:t>
      </w:r>
      <w:proofErr w:type="spellEnd"/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="00273BE6">
        <w:rPr>
          <w:rFonts w:eastAsia="Times New Roman" w:cstheme="minorHAnsi"/>
          <w:spacing w:val="2"/>
          <w:kern w:val="0"/>
          <w:lang w:val="es-PA"/>
          <w14:ligatures w14:val="none"/>
        </w:rPr>
        <w:t>Síndrome</w:t>
      </w:r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de </w:t>
      </w:r>
      <w:proofErr w:type="spellStart"/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>Hermansky-Pudlak</w:t>
      </w:r>
      <w:proofErr w:type="spellEnd"/>
      <w:r w:rsidR="00222A74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, </w:t>
      </w:r>
      <w:r w:rsidR="003D696A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Deficiencia especifica de granulos-1, </w:t>
      </w:r>
      <w:proofErr w:type="spellStart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etc</w:t>
      </w:r>
      <w:proofErr w:type="spellEnd"/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</w:t>
      </w:r>
      <w:r w:rsidR="00374923">
        <w:rPr>
          <w:rFonts w:eastAsia="Times New Roman" w:cstheme="minorHAnsi"/>
          <w:spacing w:val="2"/>
          <w:kern w:val="0"/>
          <w:lang w:val="es-PA"/>
          <w14:ligatures w14:val="none"/>
        </w:rPr>
        <w:t>.</w:t>
      </w:r>
      <w:sdt>
        <w:sdtPr>
          <w:rPr>
            <w:rFonts w:eastAsia="Times New Roman" w:cstheme="minorHAnsi"/>
            <w:spacing w:val="2"/>
            <w:kern w:val="0"/>
            <w:lang w:val="es-PA"/>
            <w14:ligatures w14:val="none"/>
          </w:rPr>
          <w:id w:val="-1300302118"/>
          <w:citation/>
        </w:sdtPr>
        <w:sdtContent>
          <w:r w:rsidR="00626852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begin"/>
          </w:r>
          <w:r w:rsidR="00626852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instrText xml:space="preserve"> CITATION OMI \l 6154 </w:instrText>
          </w:r>
          <w:r w:rsidR="00626852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separate"/>
          </w:r>
          <w:r w:rsidR="00626852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 xml:space="preserve"> </w:t>
          </w:r>
          <w:r w:rsidR="00626852" w:rsidRPr="00626852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>(OMIM, s.f.)</w:t>
          </w:r>
          <w:r w:rsidR="00626852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end"/>
          </w:r>
        </w:sdtContent>
      </w:sdt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La sospecha de esto debe darse al haber </w:t>
      </w:r>
      <w:r w:rsidR="00626852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más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infecciones de lo usual, por </w:t>
      </w:r>
      <w:r w:rsidR="00222A74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ejemplo,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</w:t>
      </w:r>
      <w:r w:rsidR="00626852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más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de 6 infecciones respiratorias al </w:t>
      </w:r>
      <w:r w:rsidR="00626852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año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en niños, o cuadros muy severos y prolongados en adultos.</w:t>
      </w:r>
    </w:p>
    <w:p w14:paraId="55FB7AE4" w14:textId="7F1D7B05" w:rsidR="00FC60E9" w:rsidRPr="00374923" w:rsidRDefault="00FC60E9" w:rsidP="00374923">
      <w:pPr>
        <w:shd w:val="clear" w:color="auto" w:fill="FFFFFF"/>
        <w:spacing w:after="120" w:line="276" w:lineRule="auto"/>
        <w:jc w:val="both"/>
        <w:rPr>
          <w:rFonts w:eastAsia="Times New Roman" w:cstheme="minorHAnsi"/>
          <w:spacing w:val="2"/>
          <w:kern w:val="0"/>
          <w:lang w:val="es-PA"/>
          <w14:ligatures w14:val="none"/>
        </w:rPr>
      </w:pP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La sepsis es una respuesta de desequilibrio a la infección, modulada por genes, hormonas, citoquinas, </w:t>
      </w:r>
      <w:r w:rsidR="002600C7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mediadores,</w:t>
      </w:r>
      <w:r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etc., que producen un fenotipo de gravedad variable pero fundamentada en nuestra genómica y la </w:t>
      </w:r>
      <w:r w:rsidR="002600C7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epigenética. La homeostasis dependerá del balance entre la autoinmunidad, la barrera intestina, la </w:t>
      </w:r>
      <w:r w:rsidR="00273BE6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pérdida</w:t>
      </w:r>
      <w:r w:rsidR="002600C7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del microbioma normal y las patologías asociadas del individuo</w:t>
      </w:r>
      <w:r w:rsidR="00522808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. Se ha determinado que hay un microbioma saludable, uno intermedio y uno patogénico, particularmente con clostridium. La susceptibilidad da sepsis se incrementa </w:t>
      </w:r>
      <w:r w:rsidR="00522808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lastRenderedPageBreak/>
        <w:t>por la expansión bacteriana, la respuesta proinflamatoria severa y la disminución de l</w:t>
      </w:r>
      <w:r w:rsidR="00374923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>os</w:t>
      </w:r>
      <w:r w:rsidR="00522808" w:rsidRPr="00374923">
        <w:rPr>
          <w:rFonts w:eastAsia="Times New Roman" w:cstheme="minorHAnsi"/>
          <w:spacing w:val="2"/>
          <w:kern w:val="0"/>
          <w:lang w:val="es-PA"/>
          <w14:ligatures w14:val="none"/>
        </w:rPr>
        <w:t xml:space="preserve"> ácidos grasos de cadena corta como producto microbiano.</w:t>
      </w:r>
      <w:sdt>
        <w:sdtPr>
          <w:rPr>
            <w:rFonts w:eastAsia="Times New Roman" w:cstheme="minorHAnsi"/>
            <w:spacing w:val="2"/>
            <w:kern w:val="0"/>
            <w:lang w:val="es-PA"/>
            <w14:ligatures w14:val="none"/>
          </w:rPr>
          <w:id w:val="-795670395"/>
          <w:citation/>
        </w:sdtPr>
        <w:sdtContent>
          <w:r w:rsidR="006E0700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begin"/>
          </w:r>
          <w:r w:rsidR="006E0700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instrText xml:space="preserve"> CITATION Vel22 \l 6154 </w:instrText>
          </w:r>
          <w:r w:rsidR="006E0700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separate"/>
          </w:r>
          <w:r w:rsidR="006E0700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 xml:space="preserve"> </w:t>
          </w:r>
          <w:r w:rsidR="006E0700" w:rsidRPr="006E0700">
            <w:rPr>
              <w:rFonts w:eastAsia="Times New Roman" w:cstheme="minorHAnsi"/>
              <w:noProof/>
              <w:spacing w:val="2"/>
              <w:kern w:val="0"/>
              <w:lang w:val="es-PA"/>
              <w14:ligatures w14:val="none"/>
            </w:rPr>
            <w:t>(Velez, 2022)</w:t>
          </w:r>
          <w:r w:rsidR="006E0700">
            <w:rPr>
              <w:rFonts w:eastAsia="Times New Roman" w:cstheme="minorHAnsi"/>
              <w:spacing w:val="2"/>
              <w:kern w:val="0"/>
              <w:lang w:val="es-PA"/>
              <w14:ligatures w14:val="none"/>
            </w:rPr>
            <w:fldChar w:fldCharType="end"/>
          </w:r>
        </w:sdtContent>
      </w:sdt>
    </w:p>
    <w:p w14:paraId="59512ECA" w14:textId="267FD771" w:rsidR="00522808" w:rsidRPr="00FC60E9" w:rsidRDefault="00522808" w:rsidP="0020107C">
      <w:pPr>
        <w:shd w:val="clear" w:color="auto" w:fill="FFFFFF"/>
        <w:spacing w:after="120" w:line="330" w:lineRule="atLeast"/>
        <w:jc w:val="both"/>
        <w:rPr>
          <w:rFonts w:eastAsia="Times New Roman" w:cstheme="minorHAnsi"/>
          <w:spacing w:val="2"/>
          <w:kern w:val="0"/>
          <w:lang w:val="es-PA"/>
          <w14:ligatures w14:val="none"/>
        </w:rPr>
      </w:pPr>
      <w:r>
        <w:rPr>
          <w:rFonts w:eastAsia="Times New Roman" w:cstheme="minorHAnsi"/>
          <w:spacing w:val="2"/>
          <w:kern w:val="0"/>
          <w:lang w:val="es-PA"/>
          <w14:ligatures w14:val="none"/>
        </w:rPr>
        <w:t>Se ha propuesto para la mejor respuesta ante la sepsis terapias basadas en microbioma, probióticos y descontaminación selectiva.</w:t>
      </w:r>
    </w:p>
    <w:p w14:paraId="6FACCD8E" w14:textId="77777777" w:rsidR="00002161" w:rsidRDefault="00002161" w:rsidP="0020107C">
      <w:pPr>
        <w:jc w:val="both"/>
        <w:rPr>
          <w:rFonts w:cstheme="minorHAnsi"/>
          <w:lang w:val="es-PA"/>
        </w:rPr>
      </w:pPr>
    </w:p>
    <w:p w14:paraId="097BFC91" w14:textId="156F7373" w:rsidR="0020107C" w:rsidRDefault="00002161" w:rsidP="0020107C">
      <w:pPr>
        <w:jc w:val="both"/>
        <w:rPr>
          <w:rFonts w:cstheme="minorHAnsi"/>
          <w:lang w:val="es-PA"/>
        </w:rPr>
      </w:pPr>
      <w:r>
        <w:rPr>
          <w:rFonts w:cstheme="minorHAnsi"/>
          <w:lang w:val="es-PA"/>
        </w:rPr>
        <w:t>Bibliografía</w:t>
      </w:r>
    </w:p>
    <w:p w14:paraId="7EBA0685" w14:textId="77777777" w:rsidR="006E0700" w:rsidRDefault="006E0700" w:rsidP="006E0700">
      <w:pPr>
        <w:pStyle w:val="Bibliografa"/>
        <w:ind w:left="720" w:hanging="720"/>
        <w:rPr>
          <w:noProof/>
          <w:kern w:val="0"/>
          <w:lang w:val="es-PA"/>
          <w14:ligatures w14:val="none"/>
        </w:rPr>
      </w:pPr>
      <w:r>
        <w:rPr>
          <w:rFonts w:cstheme="minorHAnsi"/>
          <w:lang w:val="es-PA"/>
        </w:rPr>
        <w:fldChar w:fldCharType="begin"/>
      </w:r>
      <w:r>
        <w:rPr>
          <w:rFonts w:cstheme="minorHAnsi"/>
          <w:lang w:val="es-PA"/>
        </w:rPr>
        <w:instrText xml:space="preserve"> BIBLIOGRAPHY  \l 6154 </w:instrText>
      </w:r>
      <w:r>
        <w:rPr>
          <w:rFonts w:cstheme="minorHAnsi"/>
          <w:lang w:val="es-PA"/>
        </w:rPr>
        <w:fldChar w:fldCharType="separate"/>
      </w:r>
      <w:r>
        <w:rPr>
          <w:noProof/>
          <w:lang w:val="es-PA"/>
        </w:rPr>
        <w:t xml:space="preserve">Moreno del Castillo, M. (2018). </w:t>
      </w:r>
      <w:r>
        <w:rPr>
          <w:i/>
          <w:iCs/>
          <w:noProof/>
          <w:lang w:val="es-PA"/>
        </w:rPr>
        <w:t>Microbioma</w:t>
      </w:r>
      <w:r>
        <w:rPr>
          <w:noProof/>
          <w:lang w:val="es-PA"/>
        </w:rPr>
        <w:t>. Obtenido de https://www.scielo.org.mx/scielo.php?pid=S0026-17422018000600007&amp;script=sci_abstract&amp;tlng=pt</w:t>
      </w:r>
    </w:p>
    <w:p w14:paraId="41991986" w14:textId="77777777" w:rsidR="006E0700" w:rsidRDefault="006E0700" w:rsidP="006E0700">
      <w:pPr>
        <w:pStyle w:val="Bibliografa"/>
        <w:ind w:left="720" w:hanging="720"/>
        <w:rPr>
          <w:noProof/>
          <w:lang w:val="es-PA"/>
        </w:rPr>
      </w:pPr>
      <w:r>
        <w:rPr>
          <w:i/>
          <w:iCs/>
          <w:noProof/>
          <w:lang w:val="es-PA"/>
        </w:rPr>
        <w:t>OMIM</w:t>
      </w:r>
      <w:r>
        <w:rPr>
          <w:noProof/>
          <w:lang w:val="es-PA"/>
        </w:rPr>
        <w:t>. (s.f.). Obtenido de https://omim.org/search?index=entry&amp;start=1&amp;limit=10&amp;sort=score+desc%2C+prefix_sort+desc&amp;search=chediak-higashi+syndrome</w:t>
      </w:r>
    </w:p>
    <w:p w14:paraId="2974F13D" w14:textId="77777777" w:rsidR="006E0700" w:rsidRDefault="006E0700" w:rsidP="006E0700">
      <w:pPr>
        <w:pStyle w:val="Bibliografa"/>
        <w:ind w:left="720" w:hanging="720"/>
        <w:rPr>
          <w:noProof/>
          <w:lang w:val="es-PA"/>
        </w:rPr>
      </w:pPr>
      <w:r>
        <w:rPr>
          <w:noProof/>
          <w:lang w:val="es-PA"/>
        </w:rPr>
        <w:t xml:space="preserve">Velez, P. (2022). Microbioma y sepsis. </w:t>
      </w:r>
      <w:r>
        <w:rPr>
          <w:i/>
          <w:iCs/>
          <w:noProof/>
          <w:lang w:val="es-PA"/>
        </w:rPr>
        <w:t>Horizonte medico</w:t>
      </w:r>
      <w:r>
        <w:rPr>
          <w:noProof/>
          <w:lang w:val="es-PA"/>
        </w:rPr>
        <w:t>, vol.22, n.2, e1692.</w:t>
      </w:r>
    </w:p>
    <w:p w14:paraId="4571C140" w14:textId="0E18C3BA" w:rsidR="00FC60E9" w:rsidRDefault="006E0700" w:rsidP="006E0700">
      <w:pPr>
        <w:jc w:val="both"/>
        <w:rPr>
          <w:rFonts w:cstheme="minorHAnsi"/>
          <w:lang w:val="es-PA"/>
        </w:rPr>
      </w:pPr>
      <w:r>
        <w:rPr>
          <w:rFonts w:cstheme="minorHAnsi"/>
          <w:lang w:val="es-PA"/>
        </w:rPr>
        <w:fldChar w:fldCharType="end"/>
      </w:r>
      <w:r>
        <w:rPr>
          <w:rFonts w:cstheme="minorHAnsi"/>
          <w:lang w:val="es-PA"/>
        </w:rPr>
        <w:t xml:space="preserve"> </w:t>
      </w:r>
    </w:p>
    <w:p w14:paraId="12DB82BB" w14:textId="77777777" w:rsidR="003D696A" w:rsidRPr="00FC60E9" w:rsidRDefault="003D696A" w:rsidP="003D696A">
      <w:pPr>
        <w:pStyle w:val="Prrafodelista"/>
        <w:jc w:val="both"/>
        <w:rPr>
          <w:rFonts w:cstheme="minorHAnsi"/>
          <w:lang w:val="es-PA"/>
        </w:rPr>
      </w:pPr>
    </w:p>
    <w:sectPr w:rsidR="003D696A" w:rsidRPr="00FC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50FDA"/>
    <w:multiLevelType w:val="multilevel"/>
    <w:tmpl w:val="9DE2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E7509"/>
    <w:multiLevelType w:val="hybridMultilevel"/>
    <w:tmpl w:val="7E6A1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3344E"/>
    <w:multiLevelType w:val="multilevel"/>
    <w:tmpl w:val="890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395378"/>
    <w:multiLevelType w:val="multilevel"/>
    <w:tmpl w:val="D07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64848"/>
    <w:multiLevelType w:val="multilevel"/>
    <w:tmpl w:val="6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830284">
    <w:abstractNumId w:val="3"/>
  </w:num>
  <w:num w:numId="2" w16cid:durableId="845823919">
    <w:abstractNumId w:val="0"/>
  </w:num>
  <w:num w:numId="3" w16cid:durableId="2108765878">
    <w:abstractNumId w:val="4"/>
  </w:num>
  <w:num w:numId="4" w16cid:durableId="1665669610">
    <w:abstractNumId w:val="2"/>
  </w:num>
  <w:num w:numId="5" w16cid:durableId="226115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C"/>
    <w:rsid w:val="00002161"/>
    <w:rsid w:val="000F1D44"/>
    <w:rsid w:val="001A099C"/>
    <w:rsid w:val="0020107C"/>
    <w:rsid w:val="00222A74"/>
    <w:rsid w:val="002600C7"/>
    <w:rsid w:val="002712D1"/>
    <w:rsid w:val="00273BE6"/>
    <w:rsid w:val="003127BB"/>
    <w:rsid w:val="00374923"/>
    <w:rsid w:val="003D696A"/>
    <w:rsid w:val="00522808"/>
    <w:rsid w:val="00626852"/>
    <w:rsid w:val="006E0700"/>
    <w:rsid w:val="00D3481C"/>
    <w:rsid w:val="00E010D9"/>
    <w:rsid w:val="00F57092"/>
    <w:rsid w:val="00FC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38448"/>
  <w15:chartTrackingRefBased/>
  <w15:docId w15:val="{654F747E-E914-4F28-9035-980C0F34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10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10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10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10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10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10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10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10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10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10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10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10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10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10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10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10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10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10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10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1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10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10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10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10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10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10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10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10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107C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C60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60E9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6E0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786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4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04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121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610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40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86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96883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5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9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11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92181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9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341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33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35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159792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79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4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2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622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29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04422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180739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3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569124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1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52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59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85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013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935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5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5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574111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1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462579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6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5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490229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9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75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0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93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OMI</b:Tag>
    <b:SourceType>InternetSite</b:SourceType>
    <b:Guid>{520577EB-C4F4-47B7-9669-ADC5887309A0}</b:Guid>
    <b:Title>OMIM</b:Title>
    <b:URL>https://omim.org/search?index=entry&amp;start=1&amp;limit=10&amp;sort=score+desc%2C+prefix_sort+desc&amp;search=chediak-higashi+syndrome</b:URL>
    <b:RefOrder>2</b:RefOrder>
  </b:Source>
  <b:Source>
    <b:Tag>Mor18</b:Tag>
    <b:SourceType>InternetSite</b:SourceType>
    <b:Guid>{88E2CB20-851F-4F87-A002-1C8141D59F71}</b:Guid>
    <b:Title>Microbioma</b:Title>
    <b:Year>2018</b:Year>
    <b:URL>https://www.scielo.org.mx/scielo.php?pid=S0026-17422018000600007&amp;script=sci_abstract&amp;tlng=pt</b:URL>
    <b:Author>
      <b:Author>
        <b:NameList>
          <b:Person>
            <b:Last>Moreno del Castillo</b:Last>
            <b:First>Maria</b:First>
          </b:Person>
        </b:NameList>
      </b:Author>
    </b:Author>
    <b:RefOrder>1</b:RefOrder>
  </b:Source>
  <b:Source>
    <b:Tag>Vel22</b:Tag>
    <b:SourceType>JournalArticle</b:SourceType>
    <b:Guid>{0A899C9F-E898-4E7B-AE2F-ABCAD3CBD93B}</b:Guid>
    <b:Title>Microbioma y sepsis</b:Title>
    <b:Year>2022</b:Year>
    <b:JournalName>Horizonte medico</b:JournalName>
    <b:Pages> vol.22, n.2, e1692</b:Pages>
    <b:Author>
      <b:Author>
        <b:NameList>
          <b:Person>
            <b:Last>Velez</b:Last>
            <b:First>Pablo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EDC2E0C5-5E7F-485D-9B26-D28DBDBA1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XPIRIT pousada</dc:creator>
  <cp:keywords/>
  <dc:description/>
  <cp:lastModifiedBy>XPIRIT pousada</cp:lastModifiedBy>
  <cp:revision>10</cp:revision>
  <dcterms:created xsi:type="dcterms:W3CDTF">2025-06-05T18:39:00Z</dcterms:created>
  <dcterms:modified xsi:type="dcterms:W3CDTF">2025-06-11T04:38:00Z</dcterms:modified>
</cp:coreProperties>
</file>