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25BD" w14:textId="77777777" w:rsidR="008C1782" w:rsidRDefault="00000000">
      <w:pPr>
        <w:spacing w:after="120"/>
      </w:pPr>
      <w:r>
        <w:rPr>
          <w:rFonts w:ascii="Calibri" w:eastAsia="Calibri" w:hAnsi="Calibri" w:cs="Calibri"/>
          <w:b/>
          <w:bCs/>
          <w:caps/>
          <w:color w:val="E6A510"/>
          <w:sz w:val="18"/>
          <w:szCs w:val="18"/>
        </w:rPr>
        <w:t>ADUX Strategies · Rapport de migration</w:t>
      </w:r>
    </w:p>
    <w:p w14:paraId="787C9C72" w14:textId="77777777" w:rsidR="008C1782" w:rsidRDefault="00000000">
      <w:pPr>
        <w:pBdr>
          <w:bottom w:val="single" w:sz="18" w:space="0" w:color="E6A510"/>
        </w:pBdr>
      </w:pPr>
      <w:r>
        <w:rPr>
          <w:rFonts w:ascii="Georgia" w:eastAsia="Georgia" w:hAnsi="Georgia" w:cs="Georgia"/>
          <w:color w:val="1A2B3C"/>
          <w:sz w:val="40"/>
          <w:szCs w:val="40"/>
        </w:rPr>
        <w:t>Migration SEO — avoc.ca</w:t>
      </w:r>
    </w:p>
    <w:p w14:paraId="5F8ACAFB" w14:textId="77777777" w:rsidR="008C1782" w:rsidRDefault="008C1782">
      <w:pPr>
        <w:spacing w:before="160"/>
      </w:pPr>
    </w:p>
    <w:p w14:paraId="49C00F85" w14:textId="0F7D8E44" w:rsidR="008C1782" w:rsidRDefault="00000000">
      <w:pPr>
        <w:pBdr>
          <w:bottom w:val="single" w:sz="4" w:space="0" w:color="DDD8D1"/>
        </w:pBdr>
        <w:spacing w:before="480" w:after="200"/>
      </w:pPr>
      <w:r>
        <w:rPr>
          <w:rFonts w:ascii="Georgia" w:eastAsia="Georgia" w:hAnsi="Georgia" w:cs="Georgia"/>
          <w:color w:val="1A2B3C"/>
          <w:sz w:val="26"/>
          <w:szCs w:val="26"/>
        </w:rPr>
        <w:t>Redirections 301 — permanentes</w:t>
      </w:r>
      <w:r>
        <w:rPr>
          <w:rFonts w:ascii="Calibri" w:eastAsia="Calibri" w:hAnsi="Calibri" w:cs="Calibri"/>
          <w:color w:val="5A6B7C"/>
          <w:sz w:val="17"/>
          <w:szCs w:val="17"/>
        </w:rPr>
        <w:t xml:space="preserve">    37 </w:t>
      </w:r>
      <w:r w:rsidR="00C83720">
        <w:rPr>
          <w:rFonts w:ascii="Calibri" w:eastAsia="Calibri" w:hAnsi="Calibri" w:cs="Calibri"/>
          <w:color w:val="5A6B7C"/>
          <w:sz w:val="17"/>
          <w:szCs w:val="17"/>
        </w:rPr>
        <w:t>règles</w:t>
      </w:r>
    </w:p>
    <w:tbl>
      <w:tblPr>
        <w:tblW w:w="9026" w:type="dxa"/>
        <w:tblBorders>
          <w:top w:val="none" w:sz="0" w:space="0" w:color="FFFFFF"/>
          <w:left w:val="single" w:sz="18" w:space="0" w:color="1A5C34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1782" w14:paraId="266692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2035E9" w14:textId="77777777" w:rsidR="008C178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t>Confirme : toutes ces redirections sont de type 301 (permanent).</w:t>
            </w:r>
          </w:p>
          <w:p w14:paraId="36C10842" w14:textId="167FB32B" w:rsidR="008C1782" w:rsidRDefault="00000000">
            <w:r>
              <w:rPr>
                <w:rFonts w:ascii="Calibri" w:eastAsia="Calibri" w:hAnsi="Calibri" w:cs="Calibri"/>
                <w:color w:val="1A5C34"/>
                <w:sz w:val="17"/>
                <w:szCs w:val="17"/>
              </w:rPr>
              <w:t>L'</w:t>
            </w:r>
            <w:r w:rsidR="00C83720">
              <w:rPr>
                <w:rFonts w:ascii="Calibri" w:eastAsia="Calibri" w:hAnsi="Calibri" w:cs="Calibri"/>
                <w:color w:val="1A5C34"/>
                <w:sz w:val="17"/>
                <w:szCs w:val="17"/>
              </w:rPr>
              <w:t>autorité</w:t>
            </w:r>
            <w:r>
              <w:rPr>
                <w:rFonts w:ascii="Calibri" w:eastAsia="Calibri" w:hAnsi="Calibri" w:cs="Calibri"/>
                <w:color w:val="1A5C34"/>
                <w:sz w:val="17"/>
                <w:szCs w:val="17"/>
              </w:rPr>
              <w:t xml:space="preserve"> SEO </w:t>
            </w:r>
            <w:r w:rsidR="00C83720">
              <w:rPr>
                <w:rFonts w:ascii="Calibri" w:eastAsia="Calibri" w:hAnsi="Calibri" w:cs="Calibri"/>
                <w:color w:val="1A5C34"/>
                <w:sz w:val="17"/>
                <w:szCs w:val="17"/>
              </w:rPr>
              <w:t>accumulée</w:t>
            </w:r>
            <w:r>
              <w:rPr>
                <w:rFonts w:ascii="Calibri" w:eastAsia="Calibri" w:hAnsi="Calibri" w:cs="Calibri"/>
                <w:color w:val="1A5C34"/>
                <w:sz w:val="17"/>
                <w:szCs w:val="17"/>
              </w:rPr>
              <w:t xml:space="preserve"> sur les anciennes URL est </w:t>
            </w:r>
            <w:r w:rsidR="00C83720">
              <w:rPr>
                <w:rFonts w:ascii="Calibri" w:eastAsia="Calibri" w:hAnsi="Calibri" w:cs="Calibri"/>
                <w:color w:val="1A5C34"/>
                <w:sz w:val="17"/>
                <w:szCs w:val="17"/>
              </w:rPr>
              <w:t>transférée</w:t>
            </w:r>
            <w:r>
              <w:rPr>
                <w:rFonts w:ascii="Calibri" w:eastAsia="Calibri" w:hAnsi="Calibri" w:cs="Calibri"/>
                <w:color w:val="1A5C34"/>
                <w:sz w:val="17"/>
                <w:szCs w:val="17"/>
              </w:rPr>
              <w:t xml:space="preserve"> vers la nouvelle destination dans chaque cas.</w:t>
            </w:r>
          </w:p>
        </w:tc>
      </w:tr>
    </w:tbl>
    <w:p w14:paraId="481FB530" w14:textId="77777777" w:rsidR="008C1782" w:rsidRDefault="008C1782">
      <w:pPr>
        <w:spacing w:before="100"/>
      </w:pPr>
    </w:p>
    <w:tbl>
      <w:tblPr>
        <w:tblW w:w="9026" w:type="dxa"/>
        <w:tblBorders>
          <w:top w:val="single" w:sz="4" w:space="0" w:color="DDD8D1"/>
          <w:left w:val="single" w:sz="4" w:space="0" w:color="DDD8D1"/>
          <w:bottom w:val="single" w:sz="4" w:space="0" w:color="DDD8D1"/>
          <w:right w:val="single" w:sz="4" w:space="0" w:color="DDD8D1"/>
          <w:insideH w:val="single" w:sz="4" w:space="0" w:color="DDD8D1"/>
          <w:insideV w:val="single" w:sz="4" w:space="0" w:color="DDD8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20"/>
        <w:gridCol w:w="4406"/>
        <w:gridCol w:w="800"/>
      </w:tblGrid>
      <w:tr w:rsidR="008C1782" w14:paraId="5BBDC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CE87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Ancienne URL</w:t>
            </w:r>
          </w:p>
        </w:tc>
        <w:tc>
          <w:tcPr>
            <w:tcW w:w="32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CD95" w14:textId="77777777" w:rsidR="008C1782" w:rsidRDefault="008C1782"/>
        </w:tc>
        <w:tc>
          <w:tcPr>
            <w:tcW w:w="4406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C456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Nouvelle URL</w:t>
            </w:r>
          </w:p>
        </w:tc>
        <w:tc>
          <w:tcPr>
            <w:tcW w:w="80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1725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Code</w:t>
            </w:r>
          </w:p>
        </w:tc>
      </w:tr>
      <w:tr w:rsidR="008C1782" w14:paraId="1B4AE9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DF6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257B1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A87800"/>
                <w:sz w:val="15"/>
                <w:szCs w:val="15"/>
              </w:rPr>
              <w:t>Sitemap &amp; pages principales</w:t>
            </w:r>
          </w:p>
        </w:tc>
      </w:tr>
      <w:tr w:rsidR="008C1782" w14:paraId="7CCCC8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3FC437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/sitemap.xml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B62D4A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434AB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/sitemap-index.xml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5543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5F51D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7422B3C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/nos-services/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81871F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98070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109C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07106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0DAD3F3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/nous-joindre/merci/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01FD5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03025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/merci/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3D0D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33D13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AEAC2DC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/politique-de-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confidentialite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B422A0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3C3B5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/politique-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confidentialite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7DD2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56E1A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DF6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7E9B9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A87800"/>
                <w:sz w:val="15"/>
                <w:szCs w:val="15"/>
              </w:rPr>
              <w:t>Ressources juridiques (sections supprimees)</w:t>
            </w:r>
          </w:p>
        </w:tc>
      </w:tr>
      <w:tr w:rsidR="008C1782" w14:paraId="5C53AE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BFC68FC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/publications/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54715F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E43F3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16D1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4C24AF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16C8491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/formulaires/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2656B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877A0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/nous-joindre/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21F3A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D090F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6676A15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/jurisprudence/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5D7A6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E766B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1EA6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55EBC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FB614D9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/information-juridique/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4AC9CA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BEEB9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20CB8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45CADB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E79C7F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/lois-et-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reglements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F822C5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ABEA6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0D366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24E1C3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26208D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/associations/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F9686F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845BC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82E38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4D8FEA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17F4A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medias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1285B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164ED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9939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2BDA2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519EC98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carrieres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96532A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16B32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A173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6BF740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DF6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51804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A87800"/>
                <w:sz w:val="15"/>
                <w:szCs w:val="15"/>
              </w:rPr>
              <w:t>Blogue (ancienne structure PHP)</w:t>
            </w:r>
          </w:p>
        </w:tc>
      </w:tr>
      <w:tr w:rsidR="008C1782" w14:paraId="6A18E9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777E91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/blogue/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34CCA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CD5B9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001F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512E1A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8D4F5F5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/blogue/* (tous les articles)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ECA58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7DB21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E50C9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CA4A6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DF6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F3FA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A87800"/>
                <w:sz w:val="15"/>
                <w:szCs w:val="15"/>
              </w:rPr>
              <w:t>Champs de pratique -&gt; Services</w:t>
            </w:r>
          </w:p>
        </w:tc>
      </w:tr>
      <w:tr w:rsidR="008C1782" w14:paraId="7046FD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397067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E0758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A662F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EE94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87A77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E72ACB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/champs-de-pratique/droit-familial/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058600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83F37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/services/droit-familial/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DD89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354FDF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367DB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mediation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-familiale/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820509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81A83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mediation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-familiale/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DF15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2055A0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4DB08E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/champs-de-pratique/droit-civil-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general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7B194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626B0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/services/droit-civil-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general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722F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529B2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FE8B96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/champs-de-pratique/droit-commercial-et-de-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lentreprise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1E941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41C1C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/services/droit-commercial/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72B6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4F1726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BB14099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/champs-de-pratique/droit-criminel-et-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penal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A0809A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7C806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/services/droit-criminel-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penal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1856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36CC5D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6380EF1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/champs-de-pratique/droit-administratif-et-social/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FA1FB2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E066D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/services/droit-administratif/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96108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CEC3B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1E749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/champs-de-pratique/droit-municipal/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6A9886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A08DA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/services/droit-municipal/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2413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286A6D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A41017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lastRenderedPageBreak/>
              <w:t>/champs-de-pratique/droit-de-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lemploi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-et-du-travail/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0A0C4F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1741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/services/droit-emploi-travail/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3E95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54A462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5FB174B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/champs-de-pratique/droit-de-la-jeunesse/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B95F2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34862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/services/droit-jeunesse/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CB7D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8B69C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DF6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744E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A87800"/>
                <w:sz w:val="15"/>
                <w:szCs w:val="15"/>
              </w:rPr>
              <w:t>Articles WordPress individuels</w:t>
            </w:r>
          </w:p>
        </w:tc>
      </w:tr>
      <w:tr w:rsidR="008C1782" w14:paraId="254F01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08D2552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/vices-caches/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1DD6DA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4F968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/services/droit-civil-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general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1052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D1A69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2F4D535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/lenrichissement-injustifie-recours-pour-conjoints-de-fait-leses/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A42C7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AC5BE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/services/droit-familial/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0F52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15A748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93E2B2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/2024/08/22/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lactus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reus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-et-la-mens-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rea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09B5C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E975C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/blog/2026-03-24-la-mens-rea-et-lactus-reus/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193F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5799F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D86A6B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/2024/08/23/les-participants-a-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linfraction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B702C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1E0D6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/blog/2026-03-24-les-participants-a-linfraction/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B3E1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21AA0C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96871B1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/2024/08/28/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lordre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-public/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DE78C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B5BB4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/blog/2024-03-27-lordre-public/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9EF3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9CFF1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DF6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4B49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A87800"/>
                <w:sz w:val="15"/>
                <w:szCs w:val="15"/>
              </w:rPr>
              <w:t>Categories et tags WordPress</w:t>
            </w:r>
          </w:p>
        </w:tc>
      </w:tr>
      <w:tr w:rsidR="008C1782" w14:paraId="54EE1E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97D48B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/criminel/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65AF07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C6EABB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7CCF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097E49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E1701BB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/non-classe/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AA3C19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06AC5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/blog/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CB95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EF3F8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CDC0406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93462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71631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B2F58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37A3A8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09B6113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/offre-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demploi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3E8091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0B20F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BBDF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  <w:tr w:rsidR="008C1782" w14:paraId="75F5EF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8D25BE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/tag/permis-de-conduire/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ED9DA6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44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5C8EA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/services/droit-criminel-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penal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EB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98A2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C34"/>
                <w:sz w:val="16"/>
                <w:szCs w:val="16"/>
              </w:rPr>
              <w:t>301</w:t>
            </w:r>
          </w:p>
        </w:tc>
      </w:tr>
    </w:tbl>
    <w:p w14:paraId="76F21315" w14:textId="49071492" w:rsidR="008C1782" w:rsidRDefault="00000000">
      <w:pPr>
        <w:pBdr>
          <w:bottom w:val="single" w:sz="4" w:space="0" w:color="DDD8D1"/>
        </w:pBdr>
        <w:spacing w:before="480" w:after="200"/>
      </w:pPr>
      <w:r>
        <w:rPr>
          <w:rFonts w:ascii="Georgia" w:eastAsia="Georgia" w:hAnsi="Georgia" w:cs="Georgia"/>
          <w:color w:val="1A2B3C"/>
          <w:sz w:val="26"/>
          <w:szCs w:val="26"/>
        </w:rPr>
        <w:t xml:space="preserve">Redirections 302 — temporaires (fiches </w:t>
      </w:r>
      <w:proofErr w:type="gramStart"/>
      <w:r w:rsidR="00C83720">
        <w:rPr>
          <w:rFonts w:ascii="Georgia" w:eastAsia="Georgia" w:hAnsi="Georgia" w:cs="Georgia"/>
          <w:color w:val="1A2B3C"/>
          <w:sz w:val="26"/>
          <w:szCs w:val="26"/>
        </w:rPr>
        <w:t>équipe</w:t>
      </w:r>
      <w:r>
        <w:rPr>
          <w:rFonts w:ascii="Georgia" w:eastAsia="Georgia" w:hAnsi="Georgia" w:cs="Georgia"/>
          <w:color w:val="1A2B3C"/>
          <w:sz w:val="26"/>
          <w:szCs w:val="26"/>
        </w:rPr>
        <w:t>)</w:t>
      </w:r>
      <w:r>
        <w:rPr>
          <w:rFonts w:ascii="Calibri" w:eastAsia="Calibri" w:hAnsi="Calibri" w:cs="Calibri"/>
          <w:color w:val="5A6B7C"/>
          <w:sz w:val="17"/>
          <w:szCs w:val="17"/>
        </w:rPr>
        <w:t xml:space="preserve">   </w:t>
      </w:r>
      <w:proofErr w:type="gramEnd"/>
      <w:r>
        <w:rPr>
          <w:rFonts w:ascii="Calibri" w:eastAsia="Calibri" w:hAnsi="Calibri" w:cs="Calibri"/>
          <w:color w:val="5A6B7C"/>
          <w:sz w:val="17"/>
          <w:szCs w:val="17"/>
        </w:rPr>
        <w:t xml:space="preserve"> 11 </w:t>
      </w:r>
      <w:proofErr w:type="spellStart"/>
      <w:r>
        <w:rPr>
          <w:rFonts w:ascii="Calibri" w:eastAsia="Calibri" w:hAnsi="Calibri" w:cs="Calibri"/>
          <w:color w:val="5A6B7C"/>
          <w:sz w:val="17"/>
          <w:szCs w:val="17"/>
        </w:rPr>
        <w:t>regles</w:t>
      </w:r>
      <w:proofErr w:type="spellEnd"/>
    </w:p>
    <w:tbl>
      <w:tblPr>
        <w:tblW w:w="9026" w:type="dxa"/>
        <w:tblBorders>
          <w:top w:val="none" w:sz="0" w:space="0" w:color="FFFFFF"/>
          <w:left w:val="single" w:sz="18" w:space="0" w:color="7A4F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1782" w14:paraId="7D09DC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E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D30A22" w14:textId="77777777" w:rsidR="008C178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8"/>
                <w:szCs w:val="18"/>
              </w:rPr>
              <w:t>Ces 11 redirections sont intentionnellement temporaires.</w:t>
            </w:r>
          </w:p>
          <w:p w14:paraId="1E389DC9" w14:textId="2B2911F0" w:rsidR="008C1782" w:rsidRDefault="00000000">
            <w:r>
              <w:rPr>
                <w:rFonts w:ascii="Calibri" w:eastAsia="Calibri" w:hAnsi="Calibri" w:cs="Calibri"/>
                <w:color w:val="7A4F00"/>
                <w:sz w:val="17"/>
                <w:szCs w:val="17"/>
              </w:rPr>
              <w:t xml:space="preserve">Les pages individuelles des avocats seront </w:t>
            </w:r>
            <w:r w:rsidR="00C83720">
              <w:rPr>
                <w:rFonts w:ascii="Calibri" w:eastAsia="Calibri" w:hAnsi="Calibri" w:cs="Calibri"/>
                <w:color w:val="7A4F00"/>
                <w:sz w:val="17"/>
                <w:szCs w:val="17"/>
              </w:rPr>
              <w:t>recréées</w:t>
            </w:r>
            <w:r>
              <w:rPr>
                <w:rFonts w:ascii="Calibri" w:eastAsia="Calibri" w:hAnsi="Calibri" w:cs="Calibri"/>
                <w:color w:val="7A4F00"/>
                <w:sz w:val="17"/>
                <w:szCs w:val="17"/>
              </w:rPr>
              <w:t xml:space="preserve"> lors de la phase 2 du projet. A ce moment, ces </w:t>
            </w:r>
            <w:r w:rsidR="00C83720">
              <w:rPr>
                <w:rFonts w:ascii="Calibri" w:eastAsia="Calibri" w:hAnsi="Calibri" w:cs="Calibri"/>
                <w:color w:val="7A4F00"/>
                <w:sz w:val="17"/>
                <w:szCs w:val="17"/>
              </w:rPr>
              <w:t>règles</w:t>
            </w:r>
            <w:r>
              <w:rPr>
                <w:rFonts w:ascii="Calibri" w:eastAsia="Calibri" w:hAnsi="Calibri" w:cs="Calibri"/>
                <w:color w:val="7A4F00"/>
                <w:sz w:val="17"/>
                <w:szCs w:val="17"/>
              </w:rPr>
              <w:t xml:space="preserve"> seront </w:t>
            </w:r>
            <w:r w:rsidR="00C83720">
              <w:rPr>
                <w:rFonts w:ascii="Calibri" w:eastAsia="Calibri" w:hAnsi="Calibri" w:cs="Calibri"/>
                <w:color w:val="7A4F00"/>
                <w:sz w:val="17"/>
                <w:szCs w:val="17"/>
              </w:rPr>
              <w:t>supprimées</w:t>
            </w:r>
            <w:r>
              <w:rPr>
                <w:rFonts w:ascii="Calibri" w:eastAsia="Calibri" w:hAnsi="Calibri" w:cs="Calibri"/>
                <w:color w:val="7A4F00"/>
                <w:sz w:val="17"/>
                <w:szCs w:val="17"/>
              </w:rPr>
              <w:t xml:space="preserve"> et chaque fiche redeviendra directement accessible. En attendant, elles pointent vers la liste de l'</w:t>
            </w:r>
            <w:r w:rsidR="00C83720">
              <w:rPr>
                <w:rFonts w:ascii="Calibri" w:eastAsia="Calibri" w:hAnsi="Calibri" w:cs="Calibri"/>
                <w:color w:val="7A4F00"/>
                <w:sz w:val="17"/>
                <w:szCs w:val="17"/>
              </w:rPr>
              <w:t>équipe</w:t>
            </w:r>
            <w:r>
              <w:rPr>
                <w:rFonts w:ascii="Calibri" w:eastAsia="Calibri" w:hAnsi="Calibri" w:cs="Calibri"/>
                <w:color w:val="7A4F00"/>
                <w:sz w:val="17"/>
                <w:szCs w:val="17"/>
              </w:rPr>
              <w:t>.</w:t>
            </w:r>
          </w:p>
        </w:tc>
      </w:tr>
    </w:tbl>
    <w:p w14:paraId="7E6D0659" w14:textId="77777777" w:rsidR="008C1782" w:rsidRDefault="008C1782">
      <w:pPr>
        <w:spacing w:before="100"/>
      </w:pPr>
    </w:p>
    <w:tbl>
      <w:tblPr>
        <w:tblW w:w="9026" w:type="dxa"/>
        <w:tblBorders>
          <w:top w:val="single" w:sz="4" w:space="0" w:color="DDD8D1"/>
          <w:left w:val="single" w:sz="4" w:space="0" w:color="DDD8D1"/>
          <w:bottom w:val="single" w:sz="4" w:space="0" w:color="DDD8D1"/>
          <w:right w:val="single" w:sz="4" w:space="0" w:color="DDD8D1"/>
          <w:insideH w:val="single" w:sz="4" w:space="0" w:color="DDD8D1"/>
          <w:insideV w:val="single" w:sz="4" w:space="0" w:color="DDD8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20"/>
        <w:gridCol w:w="3806"/>
        <w:gridCol w:w="800"/>
      </w:tblGrid>
      <w:tr w:rsidR="008C1782" w14:paraId="4D931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8296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Ancienne URL (fiche avocat)</w:t>
            </w:r>
          </w:p>
        </w:tc>
        <w:tc>
          <w:tcPr>
            <w:tcW w:w="32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90E2" w14:textId="77777777" w:rsidR="008C1782" w:rsidRDefault="008C1782"/>
        </w:tc>
        <w:tc>
          <w:tcPr>
            <w:tcW w:w="3806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E028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Destination temporaire</w:t>
            </w:r>
          </w:p>
        </w:tc>
        <w:tc>
          <w:tcPr>
            <w:tcW w:w="80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1EE6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Code</w:t>
            </w:r>
          </w:p>
        </w:tc>
      </w:tr>
      <w:tr w:rsidR="008C1782" w14:paraId="08728503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2C4FA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anne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-florence-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beland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F8088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B83CC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C0CC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67E21635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C657458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audrey-auclair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2D2CE9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0B16D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360B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2DBA55E8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77AE54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audrey-castonguay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BA3EC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6AF9C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BB56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106CB82D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07E6EE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audrey-michaud-roy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72B5D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7E6D4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F437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5592084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5E25ECE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/jacob-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lachance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5BD11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21BEE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63D8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172A4DD2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E546F25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kevin-plamondon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38D919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D7B2E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B9185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4D2C952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CF83519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/lori-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ann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hurtubise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19E8A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04AEE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75FA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66F0EF06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62E81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maryssa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-carrier-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floyd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6D8F7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4D5E3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E5EA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749A5A12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40E9D49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mireille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-moreau/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B4C6C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3A57D2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7EEA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6C9453D5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07E5E98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veronik-levesque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FFE95F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8E0E3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5C9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  <w:tr w:rsidR="008C1782" w14:paraId="73449F93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16109D1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yannick</w:t>
            </w:r>
            <w:proofErr w:type="spellEnd"/>
            <w:r>
              <w:rPr>
                <w:rFonts w:ascii="Courier New" w:eastAsia="Courier New" w:hAnsi="Courier New" w:cs="Courier New"/>
                <w:color w:val="1A2B3C"/>
                <w:sz w:val="16"/>
                <w:szCs w:val="16"/>
              </w:rPr>
              <w:t>-drapeau/</w:t>
            </w:r>
          </w:p>
        </w:tc>
        <w:tc>
          <w:tcPr>
            <w:tcW w:w="320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C25F15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A510"/>
                <w:sz w:val="18"/>
                <w:szCs w:val="18"/>
              </w:rPr>
              <w:t>→</w:t>
            </w:r>
          </w:p>
        </w:tc>
        <w:tc>
          <w:tcPr>
            <w:tcW w:w="38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67F66" w14:textId="77777777" w:rsidR="008C1782" w:rsidRDefault="00000000"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/notre-</w:t>
            </w:r>
            <w:proofErr w:type="spellStart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equipe</w:t>
            </w:r>
            <w:proofErr w:type="spellEnd"/>
            <w:r>
              <w:rPr>
                <w:rFonts w:ascii="Courier New" w:eastAsia="Courier New" w:hAnsi="Courier New" w:cs="Courier New"/>
                <w:color w:val="5A6B7C"/>
                <w:sz w:val="16"/>
                <w:szCs w:val="16"/>
              </w:rPr>
              <w:t>/</w:t>
            </w:r>
          </w:p>
        </w:tc>
        <w:tc>
          <w:tcPr>
            <w:tcW w:w="800" w:type="dxa"/>
            <w:shd w:val="clear" w:color="auto" w:fill="FEF3D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22C9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4F00"/>
                <w:sz w:val="16"/>
                <w:szCs w:val="16"/>
              </w:rPr>
              <w:t>302</w:t>
            </w:r>
          </w:p>
        </w:tc>
      </w:tr>
    </w:tbl>
    <w:p w14:paraId="2AAAAFA2" w14:textId="77777777" w:rsidR="008C1782" w:rsidRDefault="00000000">
      <w:pPr>
        <w:pBdr>
          <w:bottom w:val="single" w:sz="4" w:space="0" w:color="DDD8D1"/>
        </w:pBdr>
        <w:spacing w:before="480" w:after="200"/>
      </w:pPr>
      <w:r>
        <w:rPr>
          <w:rFonts w:ascii="Georgia" w:eastAsia="Georgia" w:hAnsi="Georgia" w:cs="Georgia"/>
          <w:color w:val="1A2B3C"/>
          <w:sz w:val="26"/>
          <w:szCs w:val="26"/>
        </w:rPr>
        <w:t xml:space="preserve">Nouveau </w:t>
      </w:r>
      <w:proofErr w:type="spellStart"/>
      <w:r>
        <w:rPr>
          <w:rFonts w:ascii="Georgia" w:eastAsia="Georgia" w:hAnsi="Georgia" w:cs="Georgia"/>
          <w:color w:val="1A2B3C"/>
          <w:sz w:val="26"/>
          <w:szCs w:val="26"/>
        </w:rPr>
        <w:t>sitemap</w:t>
      </w:r>
      <w:proofErr w:type="spellEnd"/>
      <w:r>
        <w:rPr>
          <w:rFonts w:ascii="Georgia" w:eastAsia="Georgia" w:hAnsi="Georgia" w:cs="Georgia"/>
          <w:color w:val="1A2B3C"/>
          <w:sz w:val="26"/>
          <w:szCs w:val="26"/>
        </w:rPr>
        <w:t xml:space="preserve"> — avoc.ca</w:t>
      </w:r>
      <w:r>
        <w:rPr>
          <w:rFonts w:ascii="Calibri" w:eastAsia="Calibri" w:hAnsi="Calibri" w:cs="Calibri"/>
          <w:color w:val="5A6B7C"/>
          <w:sz w:val="17"/>
          <w:szCs w:val="17"/>
        </w:rPr>
        <w:t xml:space="preserve">    37 pages</w:t>
      </w:r>
    </w:p>
    <w:tbl>
      <w:tblPr>
        <w:tblW w:w="9026" w:type="dxa"/>
        <w:tblBorders>
          <w:top w:val="none" w:sz="0" w:space="0" w:color="FFFFFF"/>
          <w:left w:val="single" w:sz="18" w:space="0" w:color="1A5C34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1782" w14:paraId="2682E9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209C9C" w14:textId="5608086D" w:rsidR="008C1782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lastRenderedPageBreak/>
              <w:t>Sitemap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t xml:space="preserve"> </w:t>
            </w:r>
            <w:r w:rsidR="00C83720"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t>génère</w:t>
            </w:r>
            <w:r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t xml:space="preserve"> automatiquement </w:t>
            </w:r>
            <w:r w:rsidR="00C83720"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t>à</w:t>
            </w:r>
            <w:r>
              <w:rPr>
                <w:rFonts w:ascii="Calibri" w:eastAsia="Calibri" w:hAnsi="Calibri" w:cs="Calibri"/>
                <w:b/>
                <w:bCs/>
                <w:color w:val="1A5C34"/>
                <w:sz w:val="18"/>
                <w:szCs w:val="18"/>
              </w:rPr>
              <w:t xml:space="preserve"> chaque deploiement.</w:t>
            </w:r>
          </w:p>
          <w:p w14:paraId="0B2506CF" w14:textId="152C88FF" w:rsidR="008C1782" w:rsidRDefault="00000000">
            <w:r>
              <w:rPr>
                <w:rFonts w:ascii="Calibri" w:eastAsia="Calibri" w:hAnsi="Calibri" w:cs="Calibri"/>
                <w:color w:val="1A5C34"/>
                <w:sz w:val="17"/>
                <w:szCs w:val="17"/>
              </w:rPr>
              <w:t xml:space="preserve">URL : https://avoc.ca/sitemap-index.xml · Soumis </w:t>
            </w:r>
            <w:r w:rsidR="00C83720">
              <w:rPr>
                <w:rFonts w:ascii="Calibri" w:eastAsia="Calibri" w:hAnsi="Calibri" w:cs="Calibri"/>
                <w:color w:val="1A5C34"/>
                <w:sz w:val="17"/>
                <w:szCs w:val="17"/>
              </w:rPr>
              <w:t>à</w:t>
            </w:r>
            <w:r>
              <w:rPr>
                <w:rFonts w:ascii="Calibri" w:eastAsia="Calibri" w:hAnsi="Calibri" w:cs="Calibri"/>
                <w:color w:val="1A5C34"/>
                <w:sz w:val="17"/>
                <w:szCs w:val="17"/>
              </w:rPr>
              <w:t xml:space="preserve"> Google Search Console. Les pages /merci/ et /landing/ sont exclues.</w:t>
            </w:r>
          </w:p>
        </w:tc>
      </w:tr>
    </w:tbl>
    <w:p w14:paraId="074B475A" w14:textId="77777777" w:rsidR="008C1782" w:rsidRDefault="008C1782">
      <w:pPr>
        <w:spacing w:before="100"/>
      </w:pPr>
    </w:p>
    <w:tbl>
      <w:tblPr>
        <w:tblW w:w="9026" w:type="dxa"/>
        <w:tblBorders>
          <w:top w:val="single" w:sz="4" w:space="0" w:color="DDD8D1"/>
          <w:left w:val="single" w:sz="4" w:space="0" w:color="DDD8D1"/>
          <w:bottom w:val="single" w:sz="4" w:space="0" w:color="DDD8D1"/>
          <w:right w:val="single" w:sz="4" w:space="0" w:color="DDD8D1"/>
          <w:insideH w:val="single" w:sz="4" w:space="0" w:color="DDD8D1"/>
          <w:insideV w:val="single" w:sz="4" w:space="0" w:color="DDD8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6"/>
        <w:gridCol w:w="1800"/>
        <w:gridCol w:w="1800"/>
      </w:tblGrid>
      <w:tr w:rsidR="008C1782" w14:paraId="2C830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6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EF54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URL</w:t>
            </w:r>
          </w:p>
        </w:tc>
        <w:tc>
          <w:tcPr>
            <w:tcW w:w="180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6D18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Priorite</w:t>
            </w:r>
          </w:p>
        </w:tc>
        <w:tc>
          <w:tcPr>
            <w:tcW w:w="1800" w:type="dxa"/>
            <w:shd w:val="clear" w:color="auto" w:fill="F2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E3B3" w14:textId="77777777" w:rsidR="008C1782" w:rsidRDefault="00000000">
            <w:r>
              <w:rPr>
                <w:rFonts w:ascii="Calibri" w:eastAsia="Calibri" w:hAnsi="Calibri" w:cs="Calibri"/>
                <w:b/>
                <w:bCs/>
                <w:caps/>
                <w:color w:val="5A6B7C"/>
                <w:sz w:val="15"/>
                <w:szCs w:val="15"/>
              </w:rPr>
              <w:t>Frequence</w:t>
            </w:r>
          </w:p>
        </w:tc>
      </w:tr>
      <w:tr w:rsidR="008C1782" w14:paraId="3F86A22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9272552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F8186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1.0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8B724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hebdo</w:t>
            </w:r>
            <w:proofErr w:type="gramEnd"/>
          </w:p>
        </w:tc>
      </w:tr>
      <w:tr w:rsidR="008C1782" w14:paraId="37D4F4A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B08070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https://avoc.ca/services/droit-familial/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2E60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024EB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36C18D8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FBAAE17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https://avoc.ca/services/mediation-familiale/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5A78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80982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49136EF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A604572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https://avoc.ca/services/droit-criminel-penal/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4FD7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D3412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721A18E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09946D5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https://avoc.ca/services/droit-jeunesse/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48A1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341A4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3A33850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E394395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https://avoc.ca/services/droit-civil-general/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28EDC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F5EC4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65857C3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583593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https://avoc.ca/services/droit-commercial/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3C1D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F5966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1D191F3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CFC165D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https://avoc.ca/services/droit-administratif/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2BE54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CA6D5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600F227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7CF0852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https://avoc.ca/services/droit-municipal/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F2A5A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87C24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138EBA4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DF6E0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FA9B0E1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https://avoc.ca/services/droit-emploi-travail/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3816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7800"/>
                <w:sz w:val="16"/>
                <w:szCs w:val="16"/>
              </w:rPr>
              <w:t>0.9</w:t>
            </w:r>
          </w:p>
        </w:tc>
        <w:tc>
          <w:tcPr>
            <w:tcW w:w="1800" w:type="dxa"/>
            <w:shd w:val="clear" w:color="auto" w:fill="FDF6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91CB1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5EE9BF9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58DC328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https://avoc.ca/avocat-quebec-ville/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4D5AA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57F1A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000BE77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867F812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https://avoc.ca/avocat-portneuf/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499D0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DA125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6A78386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3BB0CE7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https://avoc.ca/avocat-donnacona/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AE9DD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A92A2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693654B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118A24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https://avoc.ca/le-cabinet/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770D6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0AE2A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78943AB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45D4AB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https://avoc.ca/notre-equipe/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95FC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CE9DB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0036443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99E7019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https://avoc.ca/nous-joindre/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F70A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0D2DD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mensuel</w:t>
            </w:r>
            <w:proofErr w:type="gramEnd"/>
          </w:p>
        </w:tc>
      </w:tr>
      <w:tr w:rsidR="008C1782" w14:paraId="30FAA05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CE413AD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3ACF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0.8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E5A4B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hebdo</w:t>
            </w:r>
            <w:proofErr w:type="gramEnd"/>
          </w:p>
        </w:tc>
      </w:tr>
      <w:tr w:rsidR="008C1782" w14:paraId="2BF0AAE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19E56905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https://avoc.ca/blog/2024-03-27-lordre-public/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AA8A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3EAB9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25F7C97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ADA1958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https://avoc.ca/blog/2024-04-11-les-regles-de-la-devolution-legale-et-limportance-davoir-un-testament/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B173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769EF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684C6AD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DF7E92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https://avoc.ca/blog/2024-08-07-les-crimes-dintentions-generales-et-specifiques/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8C66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11917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48174D1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56AC5C27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https://avoc.ca/blog/2024-08-29-la-legitime-defense/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8230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49BBC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1747E0C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0F65F3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https://avoc.ca/blog/2024-09-05-le-huis-clos/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FFA0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8B796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1BE3CB1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B87836B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https://avoc.ca/blog/2024-09-12-la-detention-provisoire/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9782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2AF81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353E07C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0CF237E6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https://avoc.ca/blog/2024-09-19-separation-de-conjoints-de-fait-copropriete-indivise/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73B89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3CD77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2CA7AB5C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7BD23F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https://avoc.ca/blog/2024-09-26-les-differents-types-dintoxication/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9062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D0C8F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73CC44E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3765A0FE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https://avoc.ca/blog/2024-10-03-la-promesse-de-vente/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E0F6F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2E306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67D529C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E7B548F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https://avoc.ca/blog/2024-10-10-la-garde-en-etablissement/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7F6A5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E0C28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2A3FAA4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7B1A46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https://avoc.ca/blog/2024-10-13-ordonnance-de-sauvegarde/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D7BE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64CDE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70CE220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7753B04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https://avoc.ca/blog/2024-10-24-quest-ce-que-la-mediation-familiale/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5E9A3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0DC3F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0C18747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EFCF2F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https://avoc.ca/blog/2024-10-31-mefait/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0AD3E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2E502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1C93DF8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2139B56E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https://avoc.ca/blog/2024-11-03-le-processus-en-matiere-criminel-larrestation-et-la-mise-en-liberte/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20485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427B4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4FBA8C7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6FF2642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https://avoc.ca/blog/2024-11-14-separation-de-corps/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82107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7D7B2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10C0A95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2AAE7E0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https://avoc.ca/blog/2024-11-21-crimes-economiques-fraude-des-particuliers-et-des-entreprises/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E5CE2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E2225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118FF15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A2CC4B8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https://avoc.ca/blog/2024-11-28-les-differents-stades-dun-dossier-criminel-et-le-proces/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3B271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16C9A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0D93DC3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5A2B5713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https://avoc.ca/blog/2026-03-24-la-mens-rea-et-lactus-reus/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85486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F67F3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7DA21C8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7C7455CA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t>https://avoc.ca/blog/2026-03-24-les-participants-a-linfraction/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C137B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0.7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41B24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  <w:tr w:rsidR="008C1782" w14:paraId="1AE5AF6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FFFFF"/>
            <w:tcMar>
              <w:top w:w="50" w:type="dxa"/>
              <w:left w:w="120" w:type="dxa"/>
              <w:bottom w:w="50" w:type="dxa"/>
              <w:right w:w="60" w:type="dxa"/>
            </w:tcMar>
          </w:tcPr>
          <w:p w14:paraId="4F2D48D3" w14:textId="77777777" w:rsidR="008C1782" w:rsidRDefault="00000000">
            <w:r>
              <w:rPr>
                <w:rFonts w:ascii="Courier New" w:eastAsia="Courier New" w:hAnsi="Courier New" w:cs="Courier New"/>
                <w:color w:val="1A2B3C"/>
                <w:sz w:val="15"/>
                <w:szCs w:val="15"/>
              </w:rPr>
              <w:lastRenderedPageBreak/>
              <w:t>https://avoc.ca/politique-confidentialite/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FA225" w14:textId="77777777" w:rsidR="008C178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0.3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C1099" w14:textId="77777777" w:rsidR="008C1782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5A6B7C"/>
                <w:sz w:val="16"/>
                <w:szCs w:val="16"/>
              </w:rPr>
              <w:t>annuel</w:t>
            </w:r>
            <w:proofErr w:type="gramEnd"/>
          </w:p>
        </w:tc>
      </w:tr>
    </w:tbl>
    <w:p w14:paraId="5C3EA760" w14:textId="68904ED0" w:rsidR="008C1782" w:rsidRDefault="008C1782" w:rsidP="00C83720">
      <w:pPr>
        <w:pBdr>
          <w:bottom w:val="single" w:sz="4" w:space="0" w:color="DDD8D1"/>
        </w:pBdr>
        <w:spacing w:before="480" w:after="200"/>
      </w:pPr>
    </w:p>
    <w:sectPr w:rsidR="008C17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B183A"/>
    <w:multiLevelType w:val="hybridMultilevel"/>
    <w:tmpl w:val="9F481486"/>
    <w:lvl w:ilvl="0" w:tplc="CC2A0AF6">
      <w:start w:val="1"/>
      <w:numFmt w:val="bullet"/>
      <w:lvlText w:val="●"/>
      <w:lvlJc w:val="left"/>
      <w:pPr>
        <w:ind w:left="720" w:hanging="360"/>
      </w:pPr>
    </w:lvl>
    <w:lvl w:ilvl="1" w:tplc="E592AB4A">
      <w:start w:val="1"/>
      <w:numFmt w:val="bullet"/>
      <w:lvlText w:val="○"/>
      <w:lvlJc w:val="left"/>
      <w:pPr>
        <w:ind w:left="1440" w:hanging="360"/>
      </w:pPr>
    </w:lvl>
    <w:lvl w:ilvl="2" w:tplc="A9AE0422">
      <w:start w:val="1"/>
      <w:numFmt w:val="bullet"/>
      <w:lvlText w:val="■"/>
      <w:lvlJc w:val="left"/>
      <w:pPr>
        <w:ind w:left="2160" w:hanging="360"/>
      </w:pPr>
    </w:lvl>
    <w:lvl w:ilvl="3" w:tplc="E898AAAE">
      <w:start w:val="1"/>
      <w:numFmt w:val="bullet"/>
      <w:lvlText w:val="●"/>
      <w:lvlJc w:val="left"/>
      <w:pPr>
        <w:ind w:left="2880" w:hanging="360"/>
      </w:pPr>
    </w:lvl>
    <w:lvl w:ilvl="4" w:tplc="46A80548">
      <w:start w:val="1"/>
      <w:numFmt w:val="bullet"/>
      <w:lvlText w:val="○"/>
      <w:lvlJc w:val="left"/>
      <w:pPr>
        <w:ind w:left="3600" w:hanging="360"/>
      </w:pPr>
    </w:lvl>
    <w:lvl w:ilvl="5" w:tplc="0D0AB1CC">
      <w:start w:val="1"/>
      <w:numFmt w:val="bullet"/>
      <w:lvlText w:val="■"/>
      <w:lvlJc w:val="left"/>
      <w:pPr>
        <w:ind w:left="4320" w:hanging="360"/>
      </w:pPr>
    </w:lvl>
    <w:lvl w:ilvl="6" w:tplc="8B32A4C8">
      <w:start w:val="1"/>
      <w:numFmt w:val="bullet"/>
      <w:lvlText w:val="●"/>
      <w:lvlJc w:val="left"/>
      <w:pPr>
        <w:ind w:left="5040" w:hanging="360"/>
      </w:pPr>
    </w:lvl>
    <w:lvl w:ilvl="7" w:tplc="037857AA">
      <w:start w:val="1"/>
      <w:numFmt w:val="bullet"/>
      <w:lvlText w:val="●"/>
      <w:lvlJc w:val="left"/>
      <w:pPr>
        <w:ind w:left="5760" w:hanging="360"/>
      </w:pPr>
    </w:lvl>
    <w:lvl w:ilvl="8" w:tplc="A95CAFB2">
      <w:start w:val="1"/>
      <w:numFmt w:val="bullet"/>
      <w:lvlText w:val="●"/>
      <w:lvlJc w:val="left"/>
      <w:pPr>
        <w:ind w:left="6480" w:hanging="360"/>
      </w:pPr>
    </w:lvl>
  </w:abstractNum>
  <w:num w:numId="1" w16cid:durableId="888035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782"/>
    <w:rsid w:val="008C1782"/>
    <w:rsid w:val="00C83720"/>
    <w:rsid w:val="00E8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2380"/>
  <w15:docId w15:val="{7D809683-E1FF-4B02-86D3-78BCAF83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926</Words>
  <Characters>5096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Daviault, Francis</cp:lastModifiedBy>
  <cp:revision>2</cp:revision>
  <dcterms:created xsi:type="dcterms:W3CDTF">2026-07-13T18:54:00Z</dcterms:created>
  <dcterms:modified xsi:type="dcterms:W3CDTF">2026-07-13T19:22:00Z</dcterms:modified>
</cp:coreProperties>
</file>