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367C5" w14:textId="77777777" w:rsidR="00691FD9" w:rsidRPr="00691FD9" w:rsidRDefault="00691FD9" w:rsidP="00691FD9">
      <w:pPr>
        <w:rPr>
          <w:rFonts w:ascii="Arial" w:eastAsia="Arial" w:hAnsi="Arial" w:cs="Arial"/>
        </w:rPr>
      </w:pPr>
      <w:r w:rsidRPr="00691FD9">
        <w:rPr>
          <w:rFonts w:ascii="Arial" w:eastAsia="Arial" w:hAnsi="Arial" w:cs="Arial"/>
        </w:rPr>
        <w:t>Network-based integrative multi-omics approach reveals biosignatures specific to COVID-19 disease phases.</w:t>
      </w:r>
    </w:p>
    <w:p w14:paraId="5252567B" w14:textId="77777777" w:rsidR="0054098E" w:rsidRDefault="0054098E" w:rsidP="0054098E">
      <w:pPr>
        <w:rPr>
          <w:rFonts w:eastAsia="Arial"/>
          <w:lang w:eastAsia="en-US"/>
        </w:rPr>
      </w:pPr>
    </w:p>
    <w:p w14:paraId="1EE676C6" w14:textId="34C708F7" w:rsidR="00794FB4" w:rsidRPr="00D60F6C" w:rsidRDefault="00794FB4" w:rsidP="00794FB4">
      <w:pPr>
        <w:rPr>
          <w:rFonts w:ascii="Arial" w:hAnsi="Arial" w:cs="Arial"/>
        </w:rPr>
      </w:pPr>
      <w:bookmarkStart w:id="0" w:name="_Hlk85132727"/>
      <w:r w:rsidRPr="00D60F6C">
        <w:rPr>
          <w:rFonts w:ascii="Arial" w:hAnsi="Arial" w:cs="Arial"/>
        </w:rPr>
        <w:t>Francis E. Agamah</w:t>
      </w:r>
      <w:r w:rsidRPr="00D60F6C">
        <w:rPr>
          <w:rFonts w:ascii="Arial" w:hAnsi="Arial" w:cs="Arial"/>
          <w:vertAlign w:val="superscript"/>
        </w:rPr>
        <w:t>1</w:t>
      </w:r>
      <w:r w:rsidRPr="00D60F6C">
        <w:rPr>
          <w:rFonts w:ascii="Arial" w:hAnsi="Arial" w:cs="Arial"/>
        </w:rPr>
        <w:t>, Thomas H.A. Ederveen</w:t>
      </w:r>
      <w:r>
        <w:rPr>
          <w:rFonts w:ascii="Arial" w:hAnsi="Arial" w:cs="Arial"/>
          <w:vertAlign w:val="superscript"/>
        </w:rPr>
        <w:t>2</w:t>
      </w:r>
      <w:r w:rsidRPr="00D60F6C">
        <w:rPr>
          <w:rFonts w:ascii="Arial" w:hAnsi="Arial" w:cs="Arial"/>
        </w:rPr>
        <w:t>, Michelle Skelton</w:t>
      </w:r>
      <w:r>
        <w:rPr>
          <w:rFonts w:ascii="Arial" w:hAnsi="Arial" w:cs="Arial"/>
          <w:vertAlign w:val="superscript"/>
        </w:rPr>
        <w:t>1</w:t>
      </w:r>
      <w:r w:rsidRPr="00D60F6C">
        <w:rPr>
          <w:rFonts w:ascii="Arial" w:hAnsi="Arial" w:cs="Arial"/>
        </w:rPr>
        <w:t>,</w:t>
      </w:r>
      <w:bookmarkStart w:id="1" w:name="_Hlk80824988"/>
      <w:r>
        <w:rPr>
          <w:rFonts w:ascii="Arial" w:hAnsi="Arial" w:cs="Arial"/>
        </w:rPr>
        <w:t xml:space="preserve"> Darren P. Martin</w:t>
      </w:r>
      <w:r w:rsidRPr="00D8325A">
        <w:rPr>
          <w:rFonts w:ascii="Arial" w:hAnsi="Arial" w:cs="Arial"/>
          <w:vertAlign w:val="superscript"/>
        </w:rPr>
        <w:t>1</w:t>
      </w:r>
      <w:r>
        <w:rPr>
          <w:rFonts w:ascii="Arial" w:hAnsi="Arial" w:cs="Arial"/>
        </w:rPr>
        <w:t xml:space="preserve">, </w:t>
      </w:r>
      <w:r w:rsidRPr="00D60F6C">
        <w:rPr>
          <w:rFonts w:ascii="Arial" w:hAnsi="Arial" w:cs="Arial"/>
        </w:rPr>
        <w:t>Emile R. Chimusa</w:t>
      </w:r>
      <w:r>
        <w:rPr>
          <w:rFonts w:ascii="Arial" w:hAnsi="Arial" w:cs="Arial"/>
          <w:vertAlign w:val="superscript"/>
        </w:rPr>
        <w:t>3</w:t>
      </w:r>
      <w:r w:rsidR="00FB23C5">
        <w:rPr>
          <w:rFonts w:ascii="Arial" w:hAnsi="Arial" w:cs="Arial"/>
          <w:vertAlign w:val="superscript"/>
        </w:rPr>
        <w:t>*</w:t>
      </w:r>
      <w:r w:rsidRPr="00D60F6C">
        <w:rPr>
          <w:rFonts w:ascii="Arial" w:hAnsi="Arial" w:cs="Arial"/>
        </w:rPr>
        <w:t>, Peter A.C. 't Hoen</w:t>
      </w:r>
      <w:bookmarkEnd w:id="1"/>
      <w:r>
        <w:rPr>
          <w:rFonts w:ascii="Arial" w:hAnsi="Arial" w:cs="Arial"/>
          <w:vertAlign w:val="superscript"/>
        </w:rPr>
        <w:t>2</w:t>
      </w:r>
      <w:r w:rsidR="00FB23C5">
        <w:rPr>
          <w:rFonts w:ascii="Arial" w:hAnsi="Arial" w:cs="Arial"/>
          <w:vertAlign w:val="superscript"/>
        </w:rPr>
        <w:t>*</w:t>
      </w:r>
    </w:p>
    <w:p w14:paraId="36FD7FB6" w14:textId="77777777" w:rsidR="00794FB4" w:rsidRDefault="00794FB4" w:rsidP="00794FB4">
      <w:pPr>
        <w:jc w:val="both"/>
        <w:rPr>
          <w:rFonts w:ascii="Arial" w:hAnsi="Arial" w:cs="Arial"/>
        </w:rPr>
      </w:pPr>
      <w:r>
        <w:rPr>
          <w:rFonts w:ascii="Arial" w:hAnsi="Arial" w:cs="Arial"/>
          <w:vertAlign w:val="superscript"/>
        </w:rPr>
        <w:t>1</w:t>
      </w:r>
      <w:r w:rsidRPr="00D60F6C">
        <w:rPr>
          <w:rFonts w:ascii="Arial" w:hAnsi="Arial" w:cs="Arial"/>
        </w:rPr>
        <w:t xml:space="preserve">Computational Biology Division, Department of Integrative Biomedical Sciences, Institute of Infectious Disease and Molecular Medicine, Faculty of Health Sciences, University of Cape Town, Cape Town, South Africa. </w:t>
      </w:r>
      <w:r>
        <w:rPr>
          <w:rFonts w:ascii="Arial" w:hAnsi="Arial" w:cs="Arial"/>
          <w:vertAlign w:val="superscript"/>
        </w:rPr>
        <w:t>2</w:t>
      </w:r>
      <w:r w:rsidRPr="00411B4E">
        <w:rPr>
          <w:rFonts w:ascii="Arial" w:hAnsi="Arial" w:cs="Arial"/>
        </w:rPr>
        <w:t xml:space="preserve">Medical </w:t>
      </w:r>
      <w:proofErr w:type="spellStart"/>
      <w:r w:rsidRPr="00411B4E">
        <w:rPr>
          <w:rFonts w:ascii="Arial" w:hAnsi="Arial" w:cs="Arial"/>
        </w:rPr>
        <w:t>BioSciences</w:t>
      </w:r>
      <w:proofErr w:type="spellEnd"/>
      <w:r w:rsidRPr="00411B4E">
        <w:rPr>
          <w:rFonts w:ascii="Arial" w:hAnsi="Arial" w:cs="Arial"/>
        </w:rPr>
        <w:t xml:space="preserve"> department</w:t>
      </w:r>
      <w:r w:rsidRPr="004E6691">
        <w:rPr>
          <w:rFonts w:ascii="Arial" w:hAnsi="Arial" w:cs="Arial"/>
        </w:rPr>
        <w:t>,</w:t>
      </w:r>
      <w:r>
        <w:rPr>
          <w:rFonts w:ascii="Arial" w:hAnsi="Arial" w:cs="Arial"/>
        </w:rPr>
        <w:t xml:space="preserve"> </w:t>
      </w:r>
      <w:r w:rsidRPr="004E6691">
        <w:rPr>
          <w:rFonts w:ascii="Arial" w:hAnsi="Arial" w:cs="Arial"/>
        </w:rPr>
        <w:t>Radboud University Medical Center Nijmegen, The Netherlands.</w:t>
      </w:r>
      <w:r w:rsidRPr="00D60F6C">
        <w:rPr>
          <w:rFonts w:ascii="Arial" w:hAnsi="Arial" w:cs="Arial"/>
        </w:rPr>
        <w:t xml:space="preserve"> </w:t>
      </w:r>
      <w:r>
        <w:rPr>
          <w:rFonts w:ascii="Arial" w:hAnsi="Arial" w:cs="Arial"/>
          <w:vertAlign w:val="superscript"/>
        </w:rPr>
        <w:t>3</w:t>
      </w:r>
      <w:r w:rsidRPr="008463A2">
        <w:rPr>
          <w:rFonts w:ascii="Arial" w:hAnsi="Arial" w:cs="Arial"/>
        </w:rPr>
        <w:t>Department of Applied Sciences, Faculty of Health and Life Sciences, Northumbria University, Newcastle, Tyne and Wear, NE1 8ST, UK</w:t>
      </w:r>
      <w:bookmarkEnd w:id="0"/>
    </w:p>
    <w:p w14:paraId="7EE3286F" w14:textId="77777777" w:rsidR="00242BF1" w:rsidRPr="00242BF1" w:rsidRDefault="00242BF1" w:rsidP="00242BF1">
      <w:pPr>
        <w:rPr>
          <w:rFonts w:ascii="Arial" w:hAnsi="Arial" w:cs="Arial"/>
        </w:rPr>
      </w:pPr>
    </w:p>
    <w:p w14:paraId="09DE7742" w14:textId="77777777" w:rsidR="00242BF1" w:rsidRDefault="00242BF1" w:rsidP="00242BF1">
      <w:pPr>
        <w:rPr>
          <w:rFonts w:ascii="Arial" w:hAnsi="Arial" w:cs="Arial"/>
        </w:rPr>
      </w:pPr>
    </w:p>
    <w:p w14:paraId="4B5E1B0C" w14:textId="77777777" w:rsidR="00242BF1" w:rsidRPr="004201C3" w:rsidRDefault="00242BF1" w:rsidP="00242BF1">
      <w:pPr>
        <w:jc w:val="both"/>
        <w:rPr>
          <w:rFonts w:ascii="Arial" w:hAnsi="Arial" w:cs="Arial"/>
          <w:sz w:val="22"/>
          <w:szCs w:val="22"/>
        </w:rPr>
      </w:pPr>
      <w:r w:rsidRPr="004201C3">
        <w:rPr>
          <w:rFonts w:ascii="Arial" w:hAnsi="Arial" w:cs="Arial"/>
          <w:sz w:val="22"/>
          <w:szCs w:val="22"/>
        </w:rPr>
        <w:t>*joint corresponding authors</w:t>
      </w:r>
    </w:p>
    <w:p w14:paraId="74407379" w14:textId="77777777" w:rsidR="00242BF1" w:rsidRPr="004201C3" w:rsidRDefault="00242BF1" w:rsidP="00242BF1">
      <w:pPr>
        <w:jc w:val="both"/>
        <w:rPr>
          <w:rFonts w:ascii="Arial" w:hAnsi="Arial" w:cs="Arial"/>
          <w:sz w:val="22"/>
          <w:szCs w:val="22"/>
        </w:rPr>
      </w:pPr>
      <w:r w:rsidRPr="004201C3">
        <w:rPr>
          <w:rFonts w:ascii="Arial" w:hAnsi="Arial" w:cs="Arial"/>
          <w:sz w:val="22"/>
          <w:szCs w:val="22"/>
        </w:rPr>
        <w:t>Address correspondence to:</w:t>
      </w:r>
    </w:p>
    <w:p w14:paraId="679ADA2C" w14:textId="77777777" w:rsidR="00242BF1" w:rsidRPr="004201C3" w:rsidRDefault="00242BF1" w:rsidP="00242BF1">
      <w:pPr>
        <w:jc w:val="both"/>
        <w:rPr>
          <w:rFonts w:ascii="Arial" w:hAnsi="Arial" w:cs="Arial"/>
          <w:sz w:val="22"/>
          <w:szCs w:val="22"/>
        </w:rPr>
      </w:pPr>
    </w:p>
    <w:p w14:paraId="3AB0B582" w14:textId="77777777" w:rsidR="00242BF1" w:rsidRPr="004201C3" w:rsidRDefault="00242BF1" w:rsidP="00242BF1">
      <w:pPr>
        <w:jc w:val="both"/>
        <w:rPr>
          <w:rFonts w:ascii="Arial" w:hAnsi="Arial" w:cs="Arial"/>
          <w:sz w:val="22"/>
          <w:szCs w:val="22"/>
          <w:lang w:val="nl-NL"/>
        </w:rPr>
      </w:pPr>
      <w:r w:rsidRPr="004201C3">
        <w:rPr>
          <w:rFonts w:ascii="Arial" w:hAnsi="Arial" w:cs="Arial"/>
          <w:sz w:val="22"/>
          <w:szCs w:val="22"/>
          <w:lang w:val="nl-NL"/>
        </w:rPr>
        <w:t xml:space="preserve">Peter A.C. 't Hoen, PhD </w:t>
      </w:r>
    </w:p>
    <w:p w14:paraId="283008CE" w14:textId="77777777" w:rsidR="00242BF1" w:rsidRDefault="00242BF1" w:rsidP="00242BF1">
      <w:pPr>
        <w:jc w:val="both"/>
        <w:rPr>
          <w:rFonts w:ascii="Arial" w:hAnsi="Arial" w:cs="Arial"/>
          <w:sz w:val="22"/>
          <w:szCs w:val="22"/>
        </w:rPr>
      </w:pPr>
      <w:r w:rsidRPr="006B22A0">
        <w:rPr>
          <w:rFonts w:ascii="Arial" w:hAnsi="Arial" w:cs="Arial"/>
          <w:sz w:val="22"/>
          <w:szCs w:val="22"/>
        </w:rPr>
        <w:t xml:space="preserve">Medical </w:t>
      </w:r>
      <w:proofErr w:type="spellStart"/>
      <w:r w:rsidRPr="006B22A0">
        <w:rPr>
          <w:rFonts w:ascii="Arial" w:hAnsi="Arial" w:cs="Arial"/>
          <w:sz w:val="22"/>
          <w:szCs w:val="22"/>
        </w:rPr>
        <w:t>BioSciences</w:t>
      </w:r>
      <w:proofErr w:type="spellEnd"/>
      <w:r w:rsidRPr="006B22A0">
        <w:rPr>
          <w:rFonts w:ascii="Arial" w:hAnsi="Arial" w:cs="Arial"/>
          <w:sz w:val="22"/>
          <w:szCs w:val="22"/>
        </w:rPr>
        <w:t xml:space="preserve"> department</w:t>
      </w:r>
      <w:r w:rsidRPr="004201C3">
        <w:rPr>
          <w:rFonts w:ascii="Arial" w:hAnsi="Arial" w:cs="Arial"/>
          <w:sz w:val="22"/>
          <w:szCs w:val="22"/>
        </w:rPr>
        <w:t xml:space="preserve"> </w:t>
      </w:r>
    </w:p>
    <w:p w14:paraId="55CE92BD" w14:textId="77777777" w:rsidR="00242BF1" w:rsidRPr="004201C3" w:rsidRDefault="00242BF1" w:rsidP="00242BF1">
      <w:pPr>
        <w:jc w:val="both"/>
        <w:rPr>
          <w:rFonts w:ascii="Arial" w:hAnsi="Arial" w:cs="Arial"/>
          <w:sz w:val="22"/>
          <w:szCs w:val="22"/>
        </w:rPr>
      </w:pPr>
      <w:r w:rsidRPr="004201C3">
        <w:rPr>
          <w:rFonts w:ascii="Arial" w:hAnsi="Arial" w:cs="Arial"/>
          <w:sz w:val="22"/>
          <w:szCs w:val="22"/>
        </w:rPr>
        <w:t xml:space="preserve">Radboud University Medical </w:t>
      </w:r>
      <w:proofErr w:type="spellStart"/>
      <w:r w:rsidRPr="004201C3">
        <w:rPr>
          <w:rFonts w:ascii="Arial" w:hAnsi="Arial" w:cs="Arial"/>
          <w:sz w:val="22"/>
          <w:szCs w:val="22"/>
        </w:rPr>
        <w:t>Center</w:t>
      </w:r>
      <w:proofErr w:type="spellEnd"/>
      <w:r w:rsidRPr="004201C3">
        <w:rPr>
          <w:rFonts w:ascii="Arial" w:hAnsi="Arial" w:cs="Arial"/>
          <w:sz w:val="22"/>
          <w:szCs w:val="22"/>
        </w:rPr>
        <w:t xml:space="preserve"> Nijmegen, The Netherlands </w:t>
      </w:r>
    </w:p>
    <w:p w14:paraId="70E03692" w14:textId="77777777" w:rsidR="00242BF1" w:rsidRPr="004201C3" w:rsidRDefault="00242BF1" w:rsidP="00242BF1">
      <w:pPr>
        <w:jc w:val="both"/>
        <w:rPr>
          <w:rFonts w:ascii="Arial" w:hAnsi="Arial" w:cs="Arial"/>
          <w:sz w:val="22"/>
          <w:szCs w:val="22"/>
        </w:rPr>
      </w:pPr>
      <w:r w:rsidRPr="004201C3">
        <w:rPr>
          <w:rFonts w:ascii="Arial" w:hAnsi="Arial" w:cs="Arial"/>
          <w:sz w:val="22"/>
          <w:szCs w:val="22"/>
        </w:rPr>
        <w:t>PO Box 9101, 6500 HB Nijmegen, The Netherlands</w:t>
      </w:r>
    </w:p>
    <w:p w14:paraId="649A7E0A" w14:textId="77777777" w:rsidR="00242BF1" w:rsidRPr="004201C3" w:rsidRDefault="00242BF1" w:rsidP="00242BF1">
      <w:pPr>
        <w:jc w:val="both"/>
        <w:rPr>
          <w:rFonts w:ascii="Arial" w:hAnsi="Arial" w:cs="Arial"/>
          <w:sz w:val="22"/>
          <w:szCs w:val="22"/>
        </w:rPr>
      </w:pPr>
      <w:r w:rsidRPr="004201C3">
        <w:rPr>
          <w:rFonts w:ascii="Arial" w:hAnsi="Arial" w:cs="Arial"/>
          <w:sz w:val="22"/>
          <w:szCs w:val="22"/>
        </w:rPr>
        <w:t xml:space="preserve">E-mail: </w:t>
      </w:r>
      <w:hyperlink r:id="rId6" w:history="1">
        <w:r w:rsidRPr="004201C3">
          <w:rPr>
            <w:rStyle w:val="Hyperlink"/>
            <w:rFonts w:ascii="Arial" w:hAnsi="Arial" w:cs="Arial"/>
            <w:sz w:val="22"/>
            <w:szCs w:val="22"/>
          </w:rPr>
          <w:t>Peter-Bram.tHoen@radboudumc.nl</w:t>
        </w:r>
      </w:hyperlink>
    </w:p>
    <w:p w14:paraId="15E24158" w14:textId="77777777" w:rsidR="00242BF1" w:rsidRPr="004201C3" w:rsidRDefault="00242BF1" w:rsidP="00242BF1">
      <w:pPr>
        <w:jc w:val="both"/>
        <w:rPr>
          <w:rFonts w:ascii="Arial" w:hAnsi="Arial" w:cs="Arial"/>
          <w:sz w:val="22"/>
          <w:szCs w:val="22"/>
        </w:rPr>
      </w:pPr>
      <w:r w:rsidRPr="004201C3">
        <w:rPr>
          <w:rFonts w:ascii="Arial" w:hAnsi="Arial" w:cs="Arial"/>
          <w:sz w:val="22"/>
          <w:szCs w:val="22"/>
        </w:rPr>
        <w:t>Telephone: +31 (0) 243619390</w:t>
      </w:r>
    </w:p>
    <w:p w14:paraId="23F17C2D" w14:textId="77777777" w:rsidR="00242BF1" w:rsidRPr="004201C3" w:rsidRDefault="00242BF1" w:rsidP="00242BF1">
      <w:pPr>
        <w:jc w:val="both"/>
        <w:rPr>
          <w:rFonts w:ascii="Arial" w:hAnsi="Arial" w:cs="Arial"/>
          <w:sz w:val="22"/>
          <w:szCs w:val="22"/>
        </w:rPr>
      </w:pPr>
    </w:p>
    <w:p w14:paraId="02358E76" w14:textId="77777777" w:rsidR="00242BF1" w:rsidRPr="004201C3" w:rsidRDefault="00242BF1" w:rsidP="00242BF1">
      <w:pPr>
        <w:jc w:val="both"/>
        <w:rPr>
          <w:rFonts w:ascii="Arial" w:hAnsi="Arial" w:cs="Arial"/>
          <w:sz w:val="22"/>
          <w:szCs w:val="22"/>
        </w:rPr>
      </w:pPr>
      <w:r w:rsidRPr="004201C3">
        <w:rPr>
          <w:rFonts w:ascii="Arial" w:hAnsi="Arial" w:cs="Arial"/>
          <w:sz w:val="22"/>
          <w:szCs w:val="22"/>
        </w:rPr>
        <w:t xml:space="preserve">Emile R. </w:t>
      </w:r>
      <w:proofErr w:type="spellStart"/>
      <w:r w:rsidRPr="004201C3">
        <w:rPr>
          <w:rFonts w:ascii="Arial" w:hAnsi="Arial" w:cs="Arial"/>
          <w:sz w:val="22"/>
          <w:szCs w:val="22"/>
        </w:rPr>
        <w:t>Chimusa</w:t>
      </w:r>
      <w:proofErr w:type="spellEnd"/>
      <w:r w:rsidRPr="004201C3">
        <w:rPr>
          <w:rFonts w:ascii="Arial" w:hAnsi="Arial" w:cs="Arial"/>
          <w:sz w:val="22"/>
          <w:szCs w:val="22"/>
        </w:rPr>
        <w:t>, MSc, PhD</w:t>
      </w:r>
    </w:p>
    <w:p w14:paraId="5BA6FC9D" w14:textId="77777777" w:rsidR="00242BF1" w:rsidRPr="004201C3" w:rsidRDefault="00242BF1" w:rsidP="00242BF1">
      <w:pPr>
        <w:jc w:val="both"/>
        <w:rPr>
          <w:rFonts w:ascii="Arial" w:hAnsi="Arial" w:cs="Arial"/>
          <w:sz w:val="22"/>
          <w:szCs w:val="22"/>
        </w:rPr>
      </w:pPr>
      <w:r w:rsidRPr="004201C3">
        <w:rPr>
          <w:rFonts w:ascii="Arial" w:hAnsi="Arial" w:cs="Arial"/>
          <w:sz w:val="22"/>
          <w:szCs w:val="22"/>
        </w:rPr>
        <w:t xml:space="preserve">Department of Applied Sciences, </w:t>
      </w:r>
    </w:p>
    <w:p w14:paraId="3035F246" w14:textId="77777777" w:rsidR="00242BF1" w:rsidRPr="004201C3" w:rsidRDefault="00242BF1" w:rsidP="00242BF1">
      <w:pPr>
        <w:jc w:val="both"/>
        <w:rPr>
          <w:rFonts w:ascii="Arial" w:hAnsi="Arial" w:cs="Arial"/>
          <w:sz w:val="22"/>
          <w:szCs w:val="22"/>
        </w:rPr>
      </w:pPr>
      <w:r w:rsidRPr="004201C3">
        <w:rPr>
          <w:rFonts w:ascii="Arial" w:hAnsi="Arial" w:cs="Arial"/>
          <w:sz w:val="22"/>
          <w:szCs w:val="22"/>
        </w:rPr>
        <w:t xml:space="preserve">Faculty of Health and Life Sciences, </w:t>
      </w:r>
    </w:p>
    <w:p w14:paraId="209C2CBE" w14:textId="77777777" w:rsidR="00242BF1" w:rsidRPr="004201C3" w:rsidRDefault="00242BF1" w:rsidP="00242BF1">
      <w:pPr>
        <w:jc w:val="both"/>
        <w:rPr>
          <w:rFonts w:ascii="Arial" w:hAnsi="Arial" w:cs="Arial"/>
          <w:sz w:val="22"/>
          <w:szCs w:val="22"/>
        </w:rPr>
      </w:pPr>
      <w:r w:rsidRPr="004201C3">
        <w:rPr>
          <w:rFonts w:ascii="Arial" w:hAnsi="Arial" w:cs="Arial"/>
          <w:sz w:val="22"/>
          <w:szCs w:val="22"/>
        </w:rPr>
        <w:t xml:space="preserve">Northumbria University, Newcastle, </w:t>
      </w:r>
    </w:p>
    <w:p w14:paraId="226D292D" w14:textId="77777777" w:rsidR="00242BF1" w:rsidRPr="004201C3" w:rsidRDefault="00242BF1" w:rsidP="00242BF1">
      <w:pPr>
        <w:jc w:val="both"/>
        <w:rPr>
          <w:rFonts w:ascii="Arial" w:hAnsi="Arial" w:cs="Arial"/>
          <w:sz w:val="22"/>
          <w:szCs w:val="22"/>
        </w:rPr>
      </w:pPr>
      <w:r w:rsidRPr="004201C3">
        <w:rPr>
          <w:rFonts w:ascii="Arial" w:hAnsi="Arial" w:cs="Arial"/>
          <w:sz w:val="22"/>
          <w:szCs w:val="22"/>
        </w:rPr>
        <w:t>Tyne and Wear, NE1 8ST, UKE</w:t>
      </w:r>
    </w:p>
    <w:p w14:paraId="50D16702" w14:textId="77777777" w:rsidR="00242BF1" w:rsidRPr="004201C3" w:rsidRDefault="00242BF1" w:rsidP="00242BF1">
      <w:pPr>
        <w:jc w:val="both"/>
        <w:rPr>
          <w:rFonts w:ascii="Arial" w:hAnsi="Arial" w:cs="Arial"/>
          <w:sz w:val="22"/>
          <w:szCs w:val="22"/>
        </w:rPr>
      </w:pPr>
      <w:r w:rsidRPr="004201C3">
        <w:rPr>
          <w:rFonts w:ascii="Arial" w:hAnsi="Arial" w:cs="Arial"/>
          <w:sz w:val="22"/>
          <w:szCs w:val="22"/>
        </w:rPr>
        <w:t xml:space="preserve">E-mail:  </w:t>
      </w:r>
      <w:hyperlink r:id="rId7" w:history="1">
        <w:r w:rsidRPr="004201C3">
          <w:rPr>
            <w:rStyle w:val="Hyperlink"/>
            <w:rFonts w:ascii="Arial" w:hAnsi="Arial" w:cs="Arial"/>
            <w:sz w:val="22"/>
            <w:szCs w:val="22"/>
          </w:rPr>
          <w:t>emile.chimusa@northumbria.ac.uk</w:t>
        </w:r>
      </w:hyperlink>
      <w:r w:rsidRPr="004201C3">
        <w:rPr>
          <w:rFonts w:ascii="Arial" w:hAnsi="Arial" w:cs="Arial"/>
          <w:sz w:val="22"/>
          <w:szCs w:val="22"/>
        </w:rPr>
        <w:t xml:space="preserve">  </w:t>
      </w:r>
    </w:p>
    <w:p w14:paraId="1115D6E8" w14:textId="0C699265" w:rsidR="00242BF1" w:rsidRDefault="00242BF1" w:rsidP="00242BF1">
      <w:pPr>
        <w:rPr>
          <w:rFonts w:ascii="Arial" w:hAnsi="Arial" w:cs="Arial"/>
        </w:rPr>
      </w:pPr>
      <w:r w:rsidRPr="004201C3">
        <w:rPr>
          <w:rFonts w:ascii="Arial" w:hAnsi="Arial" w:cs="Arial"/>
          <w:sz w:val="22"/>
          <w:szCs w:val="22"/>
        </w:rPr>
        <w:t>Tel: +44 (0)191 227 3831</w:t>
      </w:r>
    </w:p>
    <w:p w14:paraId="0A674F77" w14:textId="0DE22F2B" w:rsidR="00242BF1" w:rsidRPr="00242BF1" w:rsidRDefault="00242BF1" w:rsidP="00242BF1">
      <w:pPr>
        <w:tabs>
          <w:tab w:val="left" w:pos="642"/>
        </w:tabs>
        <w:rPr>
          <w:rFonts w:ascii="Arial" w:hAnsi="Arial" w:cs="Arial"/>
        </w:rPr>
        <w:sectPr w:rsidR="00242BF1" w:rsidRPr="00242BF1">
          <w:pgSz w:w="11906" w:h="16838"/>
          <w:pgMar w:top="1440" w:right="1440" w:bottom="1440" w:left="1440" w:header="708" w:footer="708" w:gutter="0"/>
          <w:pgNumType w:start="1"/>
          <w:cols w:space="720"/>
        </w:sectPr>
      </w:pPr>
      <w:r>
        <w:rPr>
          <w:rFonts w:ascii="Arial" w:hAnsi="Arial" w:cs="Arial"/>
        </w:rPr>
        <w:tab/>
      </w:r>
    </w:p>
    <w:p w14:paraId="794A3439" w14:textId="02C8A13E" w:rsidR="008551CE" w:rsidRDefault="00794FB4" w:rsidP="007A7CDA">
      <w:pPr>
        <w:pStyle w:val="Heading1"/>
        <w:rPr>
          <w:rFonts w:ascii="Arial" w:eastAsia="Arial" w:hAnsi="Arial" w:cs="Arial"/>
          <w:b/>
          <w:sz w:val="24"/>
          <w:szCs w:val="24"/>
        </w:rPr>
      </w:pPr>
      <w:r w:rsidRPr="00411B4E">
        <w:rPr>
          <w:rFonts w:ascii="Arial" w:eastAsia="Arial" w:hAnsi="Arial" w:cs="Arial"/>
          <w:b/>
          <w:sz w:val="24"/>
          <w:szCs w:val="24"/>
        </w:rPr>
        <w:lastRenderedPageBreak/>
        <w:t>Materials and Methods</w:t>
      </w:r>
    </w:p>
    <w:p w14:paraId="65DE8556" w14:textId="24AE2ED4" w:rsidR="007A7CDA" w:rsidRPr="007A7CDA" w:rsidRDefault="007A7CDA" w:rsidP="007A7CDA">
      <w:pPr>
        <w:rPr>
          <w:rFonts w:ascii="Arial" w:hAnsi="Arial" w:cs="Arial"/>
          <w:sz w:val="22"/>
          <w:szCs w:val="22"/>
        </w:rPr>
      </w:pPr>
      <w:r w:rsidRPr="008E263D">
        <w:rPr>
          <w:rFonts w:ascii="Arial" w:hAnsi="Arial" w:cs="Arial"/>
          <w:b/>
          <w:bCs/>
          <w:sz w:val="22"/>
          <w:szCs w:val="22"/>
        </w:rPr>
        <w:t>Table 1</w:t>
      </w:r>
      <w:r w:rsidRPr="007A7CDA">
        <w:rPr>
          <w:rFonts w:ascii="Arial" w:hAnsi="Arial" w:cs="Arial"/>
          <w:sz w:val="22"/>
          <w:szCs w:val="22"/>
        </w:rPr>
        <w:t>: Description of multi-omics experimental data used for this study</w:t>
      </w:r>
    </w:p>
    <w:tbl>
      <w:tblPr>
        <w:tblStyle w:val="TableGrid"/>
        <w:tblW w:w="15593" w:type="dxa"/>
        <w:tblInd w:w="-856" w:type="dxa"/>
        <w:tblLook w:val="04A0" w:firstRow="1" w:lastRow="0" w:firstColumn="1" w:lastColumn="0" w:noHBand="0" w:noVBand="1"/>
      </w:tblPr>
      <w:tblGrid>
        <w:gridCol w:w="973"/>
        <w:gridCol w:w="798"/>
        <w:gridCol w:w="1326"/>
        <w:gridCol w:w="1014"/>
        <w:gridCol w:w="997"/>
        <w:gridCol w:w="1145"/>
        <w:gridCol w:w="1686"/>
        <w:gridCol w:w="1291"/>
        <w:gridCol w:w="1352"/>
        <w:gridCol w:w="1751"/>
        <w:gridCol w:w="3260"/>
      </w:tblGrid>
      <w:tr w:rsidR="008551CE" w:rsidRPr="006F7CF0" w14:paraId="61D083EF" w14:textId="77777777" w:rsidTr="00794FB4">
        <w:trPr>
          <w:trHeight w:val="945"/>
        </w:trPr>
        <w:tc>
          <w:tcPr>
            <w:tcW w:w="973" w:type="dxa"/>
            <w:hideMark/>
          </w:tcPr>
          <w:p w14:paraId="3697DCB8" w14:textId="77777777" w:rsidR="008551CE" w:rsidRPr="006F7CF0" w:rsidRDefault="008551CE" w:rsidP="00C1426D">
            <w:pPr>
              <w:jc w:val="center"/>
              <w:rPr>
                <w:rFonts w:ascii="Calibri" w:hAnsi="Calibri" w:cs="Calibri"/>
                <w:b/>
                <w:bCs/>
                <w:color w:val="000000"/>
                <w:sz w:val="18"/>
                <w:szCs w:val="18"/>
                <w:lang w:eastAsia="en-ZA"/>
              </w:rPr>
            </w:pPr>
            <w:r w:rsidRPr="006F7CF0">
              <w:rPr>
                <w:rFonts w:ascii="Calibri" w:hAnsi="Calibri" w:cs="Calibri"/>
                <w:b/>
                <w:bCs/>
                <w:color w:val="000000"/>
                <w:sz w:val="18"/>
                <w:szCs w:val="18"/>
              </w:rPr>
              <w:t>Reference</w:t>
            </w:r>
          </w:p>
        </w:tc>
        <w:tc>
          <w:tcPr>
            <w:tcW w:w="798" w:type="dxa"/>
            <w:hideMark/>
          </w:tcPr>
          <w:p w14:paraId="7AFB450C" w14:textId="77777777" w:rsidR="008551CE" w:rsidRPr="006F7CF0" w:rsidRDefault="008551CE" w:rsidP="00C1426D">
            <w:pPr>
              <w:jc w:val="center"/>
              <w:rPr>
                <w:rFonts w:ascii="Calibri" w:hAnsi="Calibri" w:cs="Calibri"/>
                <w:b/>
                <w:bCs/>
                <w:color w:val="000000"/>
                <w:sz w:val="18"/>
                <w:szCs w:val="18"/>
              </w:rPr>
            </w:pPr>
            <w:r w:rsidRPr="006F7CF0">
              <w:rPr>
                <w:rFonts w:ascii="Calibri" w:hAnsi="Calibri" w:cs="Calibri"/>
                <w:b/>
                <w:bCs/>
                <w:color w:val="000000"/>
                <w:sz w:val="18"/>
                <w:szCs w:val="18"/>
              </w:rPr>
              <w:t>Date (online)</w:t>
            </w:r>
          </w:p>
        </w:tc>
        <w:tc>
          <w:tcPr>
            <w:tcW w:w="1326" w:type="dxa"/>
            <w:hideMark/>
          </w:tcPr>
          <w:p w14:paraId="1494E522" w14:textId="77777777" w:rsidR="008551CE" w:rsidRPr="006F7CF0" w:rsidRDefault="008551CE" w:rsidP="00C1426D">
            <w:pPr>
              <w:jc w:val="center"/>
              <w:rPr>
                <w:rFonts w:ascii="Calibri" w:hAnsi="Calibri" w:cs="Calibri"/>
                <w:b/>
                <w:bCs/>
                <w:color w:val="000000"/>
                <w:sz w:val="18"/>
                <w:szCs w:val="18"/>
              </w:rPr>
            </w:pPr>
            <w:r w:rsidRPr="006F7CF0">
              <w:rPr>
                <w:rFonts w:ascii="Calibri" w:hAnsi="Calibri" w:cs="Calibri"/>
                <w:b/>
                <w:bCs/>
                <w:color w:val="000000"/>
                <w:sz w:val="18"/>
                <w:szCs w:val="18"/>
              </w:rPr>
              <w:t>Study title</w:t>
            </w:r>
          </w:p>
        </w:tc>
        <w:tc>
          <w:tcPr>
            <w:tcW w:w="1014" w:type="dxa"/>
            <w:hideMark/>
          </w:tcPr>
          <w:p w14:paraId="2F2701EC" w14:textId="77777777" w:rsidR="008551CE" w:rsidRPr="006F7CF0" w:rsidRDefault="008551CE" w:rsidP="00C1426D">
            <w:pPr>
              <w:jc w:val="center"/>
              <w:rPr>
                <w:rFonts w:ascii="Calibri" w:hAnsi="Calibri" w:cs="Calibri"/>
                <w:b/>
                <w:bCs/>
                <w:color w:val="000000"/>
                <w:sz w:val="18"/>
                <w:szCs w:val="18"/>
              </w:rPr>
            </w:pPr>
            <w:r w:rsidRPr="006F7CF0">
              <w:rPr>
                <w:rFonts w:ascii="Calibri" w:hAnsi="Calibri" w:cs="Calibri"/>
                <w:b/>
                <w:bCs/>
                <w:color w:val="000000"/>
                <w:sz w:val="18"/>
                <w:szCs w:val="18"/>
              </w:rPr>
              <w:t>Study size</w:t>
            </w:r>
          </w:p>
        </w:tc>
        <w:tc>
          <w:tcPr>
            <w:tcW w:w="997" w:type="dxa"/>
            <w:hideMark/>
          </w:tcPr>
          <w:p w14:paraId="068199E6" w14:textId="77777777" w:rsidR="008551CE" w:rsidRPr="006F7CF0" w:rsidRDefault="008551CE" w:rsidP="00C1426D">
            <w:pPr>
              <w:jc w:val="center"/>
              <w:rPr>
                <w:rFonts w:ascii="Calibri" w:hAnsi="Calibri" w:cs="Calibri"/>
                <w:b/>
                <w:bCs/>
                <w:color w:val="000000"/>
                <w:sz w:val="18"/>
                <w:szCs w:val="18"/>
              </w:rPr>
            </w:pPr>
            <w:r w:rsidRPr="006F7CF0">
              <w:rPr>
                <w:rFonts w:ascii="Calibri" w:hAnsi="Calibri" w:cs="Calibri"/>
                <w:b/>
                <w:bCs/>
                <w:color w:val="000000"/>
                <w:sz w:val="18"/>
                <w:szCs w:val="18"/>
              </w:rPr>
              <w:t>Sample type</w:t>
            </w:r>
          </w:p>
        </w:tc>
        <w:tc>
          <w:tcPr>
            <w:tcW w:w="1145" w:type="dxa"/>
            <w:hideMark/>
          </w:tcPr>
          <w:p w14:paraId="34F9B3E5" w14:textId="4345A59E" w:rsidR="008551CE" w:rsidRPr="006F7CF0" w:rsidRDefault="008551CE" w:rsidP="00C1426D">
            <w:pPr>
              <w:jc w:val="center"/>
              <w:rPr>
                <w:rFonts w:ascii="Calibri" w:hAnsi="Calibri" w:cs="Calibri"/>
                <w:b/>
                <w:bCs/>
                <w:color w:val="000000"/>
                <w:sz w:val="18"/>
                <w:szCs w:val="18"/>
              </w:rPr>
            </w:pPr>
            <w:r w:rsidRPr="006F7CF0">
              <w:rPr>
                <w:rFonts w:ascii="Calibri" w:hAnsi="Calibri" w:cs="Calibri"/>
                <w:b/>
                <w:bCs/>
                <w:color w:val="000000"/>
                <w:sz w:val="18"/>
                <w:szCs w:val="18"/>
              </w:rPr>
              <w:t xml:space="preserve">Longitudinal </w:t>
            </w:r>
            <w:r w:rsidR="008F298C">
              <w:rPr>
                <w:rFonts w:ascii="Calibri" w:hAnsi="Calibri" w:cs="Calibri"/>
                <w:b/>
                <w:bCs/>
                <w:color w:val="000000"/>
                <w:sz w:val="18"/>
                <w:szCs w:val="18"/>
              </w:rPr>
              <w:t>study?</w:t>
            </w:r>
          </w:p>
        </w:tc>
        <w:tc>
          <w:tcPr>
            <w:tcW w:w="1686" w:type="dxa"/>
            <w:hideMark/>
          </w:tcPr>
          <w:p w14:paraId="6A771987" w14:textId="77777777" w:rsidR="008551CE" w:rsidRPr="006F7CF0" w:rsidRDefault="008551CE" w:rsidP="00C1426D">
            <w:pPr>
              <w:jc w:val="center"/>
              <w:rPr>
                <w:rFonts w:ascii="Calibri" w:hAnsi="Calibri" w:cs="Calibri"/>
                <w:b/>
                <w:bCs/>
                <w:color w:val="000000"/>
                <w:sz w:val="18"/>
                <w:szCs w:val="18"/>
              </w:rPr>
            </w:pPr>
            <w:r w:rsidRPr="006F7CF0">
              <w:rPr>
                <w:rFonts w:ascii="Calibri" w:hAnsi="Calibri" w:cs="Calibri"/>
                <w:b/>
                <w:bCs/>
                <w:color w:val="000000"/>
                <w:sz w:val="18"/>
                <w:szCs w:val="18"/>
              </w:rPr>
              <w:t>Clinical data</w:t>
            </w:r>
          </w:p>
        </w:tc>
        <w:tc>
          <w:tcPr>
            <w:tcW w:w="1291" w:type="dxa"/>
            <w:hideMark/>
          </w:tcPr>
          <w:p w14:paraId="761B38DD" w14:textId="77777777" w:rsidR="008551CE" w:rsidRPr="006F7CF0" w:rsidRDefault="008551CE" w:rsidP="00C1426D">
            <w:pPr>
              <w:jc w:val="center"/>
              <w:rPr>
                <w:rFonts w:ascii="Calibri" w:hAnsi="Calibri" w:cs="Calibri"/>
                <w:b/>
                <w:bCs/>
                <w:color w:val="000000"/>
                <w:sz w:val="18"/>
                <w:szCs w:val="18"/>
              </w:rPr>
            </w:pPr>
            <w:r w:rsidRPr="006F7CF0">
              <w:rPr>
                <w:rFonts w:ascii="Calibri" w:hAnsi="Calibri" w:cs="Calibri"/>
                <w:b/>
                <w:bCs/>
                <w:color w:val="000000"/>
                <w:sz w:val="18"/>
                <w:szCs w:val="18"/>
              </w:rPr>
              <w:t xml:space="preserve">Describing </w:t>
            </w:r>
            <w:proofErr w:type="spellStart"/>
            <w:r w:rsidRPr="006F7CF0">
              <w:rPr>
                <w:rFonts w:ascii="Calibri" w:hAnsi="Calibri" w:cs="Calibri"/>
                <w:b/>
                <w:bCs/>
                <w:color w:val="000000"/>
                <w:sz w:val="18"/>
                <w:szCs w:val="18"/>
              </w:rPr>
              <w:t>heterogenuos</w:t>
            </w:r>
            <w:proofErr w:type="spellEnd"/>
            <w:r w:rsidRPr="006F7CF0">
              <w:rPr>
                <w:rFonts w:ascii="Calibri" w:hAnsi="Calibri" w:cs="Calibri"/>
                <w:b/>
                <w:bCs/>
                <w:color w:val="000000"/>
                <w:sz w:val="18"/>
                <w:szCs w:val="18"/>
              </w:rPr>
              <w:t xml:space="preserve"> disease trajectory</w:t>
            </w:r>
          </w:p>
        </w:tc>
        <w:tc>
          <w:tcPr>
            <w:tcW w:w="1352" w:type="dxa"/>
            <w:hideMark/>
          </w:tcPr>
          <w:p w14:paraId="0D617AE9" w14:textId="77777777" w:rsidR="008551CE" w:rsidRPr="006F7CF0" w:rsidRDefault="008551CE" w:rsidP="00C1426D">
            <w:pPr>
              <w:jc w:val="center"/>
              <w:rPr>
                <w:rFonts w:ascii="Calibri" w:hAnsi="Calibri" w:cs="Calibri"/>
                <w:b/>
                <w:bCs/>
                <w:color w:val="000000"/>
                <w:sz w:val="18"/>
                <w:szCs w:val="18"/>
              </w:rPr>
            </w:pPr>
            <w:r w:rsidRPr="006F7CF0">
              <w:rPr>
                <w:rFonts w:ascii="Calibri" w:hAnsi="Calibri" w:cs="Calibri"/>
                <w:b/>
                <w:bCs/>
                <w:color w:val="000000"/>
                <w:sz w:val="18"/>
                <w:szCs w:val="18"/>
              </w:rPr>
              <w:t>OMICS technologies used</w:t>
            </w:r>
          </w:p>
        </w:tc>
        <w:tc>
          <w:tcPr>
            <w:tcW w:w="1751" w:type="dxa"/>
            <w:hideMark/>
          </w:tcPr>
          <w:p w14:paraId="6FB50399" w14:textId="77777777" w:rsidR="008551CE" w:rsidRPr="006F7CF0" w:rsidRDefault="008551CE" w:rsidP="00C1426D">
            <w:pPr>
              <w:jc w:val="center"/>
              <w:rPr>
                <w:rFonts w:ascii="Calibri" w:hAnsi="Calibri" w:cs="Calibri"/>
                <w:b/>
                <w:bCs/>
                <w:color w:val="000000"/>
                <w:sz w:val="18"/>
                <w:szCs w:val="18"/>
              </w:rPr>
            </w:pPr>
            <w:r w:rsidRPr="006F7CF0">
              <w:rPr>
                <w:rFonts w:ascii="Calibri" w:hAnsi="Calibri" w:cs="Calibri"/>
                <w:b/>
                <w:bCs/>
                <w:color w:val="000000"/>
                <w:sz w:val="18"/>
                <w:szCs w:val="18"/>
              </w:rPr>
              <w:t>OMICS other remarks</w:t>
            </w:r>
          </w:p>
        </w:tc>
        <w:tc>
          <w:tcPr>
            <w:tcW w:w="3260" w:type="dxa"/>
            <w:hideMark/>
          </w:tcPr>
          <w:p w14:paraId="0E580550" w14:textId="77777777" w:rsidR="008551CE" w:rsidRPr="006F7CF0" w:rsidRDefault="008551CE" w:rsidP="00C1426D">
            <w:pPr>
              <w:jc w:val="center"/>
              <w:rPr>
                <w:rFonts w:ascii="Calibri" w:hAnsi="Calibri" w:cs="Calibri"/>
                <w:b/>
                <w:bCs/>
                <w:color w:val="000000"/>
                <w:sz w:val="18"/>
                <w:szCs w:val="18"/>
              </w:rPr>
            </w:pPr>
            <w:r w:rsidRPr="006F7CF0">
              <w:rPr>
                <w:rFonts w:ascii="Calibri" w:hAnsi="Calibri" w:cs="Calibri"/>
                <w:b/>
                <w:bCs/>
                <w:color w:val="000000"/>
                <w:sz w:val="18"/>
                <w:szCs w:val="18"/>
              </w:rPr>
              <w:t>OMICS sample size</w:t>
            </w:r>
          </w:p>
        </w:tc>
      </w:tr>
      <w:tr w:rsidR="008551CE" w:rsidRPr="006F7CF0" w14:paraId="271925F0" w14:textId="77777777" w:rsidTr="00794FB4">
        <w:trPr>
          <w:trHeight w:val="900"/>
        </w:trPr>
        <w:tc>
          <w:tcPr>
            <w:tcW w:w="973" w:type="dxa"/>
            <w:vMerge w:val="restart"/>
            <w:hideMark/>
          </w:tcPr>
          <w:p w14:paraId="176258AB" w14:textId="77777777" w:rsidR="008551CE" w:rsidRPr="006F7CF0" w:rsidRDefault="008551CE" w:rsidP="00C1426D">
            <w:pPr>
              <w:jc w:val="center"/>
              <w:rPr>
                <w:rFonts w:ascii="Calibri" w:hAnsi="Calibri" w:cs="Calibri"/>
                <w:b/>
                <w:bCs/>
                <w:color w:val="000000"/>
                <w:sz w:val="18"/>
                <w:szCs w:val="18"/>
              </w:rPr>
            </w:pPr>
            <w:proofErr w:type="spellStart"/>
            <w:r w:rsidRPr="006F7CF0">
              <w:rPr>
                <w:rFonts w:ascii="Calibri" w:hAnsi="Calibri" w:cs="Calibri"/>
                <w:b/>
                <w:bCs/>
                <w:color w:val="000000"/>
                <w:sz w:val="18"/>
                <w:szCs w:val="18"/>
              </w:rPr>
              <w:t>Su</w:t>
            </w:r>
            <w:proofErr w:type="spellEnd"/>
            <w:r w:rsidRPr="006F7CF0">
              <w:rPr>
                <w:rFonts w:ascii="Calibri" w:hAnsi="Calibri" w:cs="Calibri"/>
                <w:b/>
                <w:bCs/>
                <w:color w:val="000000"/>
                <w:sz w:val="18"/>
                <w:szCs w:val="18"/>
              </w:rPr>
              <w:t xml:space="preserve"> et al., Cell</w:t>
            </w:r>
          </w:p>
        </w:tc>
        <w:tc>
          <w:tcPr>
            <w:tcW w:w="798" w:type="dxa"/>
            <w:vMerge w:val="restart"/>
            <w:hideMark/>
          </w:tcPr>
          <w:p w14:paraId="32F060BA"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Oct 28, 2020</w:t>
            </w:r>
          </w:p>
        </w:tc>
        <w:tc>
          <w:tcPr>
            <w:tcW w:w="1326" w:type="dxa"/>
            <w:vMerge w:val="restart"/>
            <w:hideMark/>
          </w:tcPr>
          <w:p w14:paraId="4ABB99C9"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Multi-Omics Resolves a Sharp Disease-State Shift between Mild and Moderate COVID-19</w:t>
            </w:r>
          </w:p>
        </w:tc>
        <w:tc>
          <w:tcPr>
            <w:tcW w:w="1014" w:type="dxa"/>
            <w:vMerge w:val="restart"/>
            <w:hideMark/>
          </w:tcPr>
          <w:p w14:paraId="1A07822C"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139 patients ;</w:t>
            </w:r>
            <w:r w:rsidRPr="006F7CF0">
              <w:rPr>
                <w:rFonts w:ascii="Calibri" w:hAnsi="Calibri" w:cs="Calibri"/>
                <w:color w:val="000000"/>
                <w:sz w:val="18"/>
                <w:szCs w:val="18"/>
              </w:rPr>
              <w:br/>
              <w:t>258 healthy controls ;</w:t>
            </w:r>
          </w:p>
        </w:tc>
        <w:tc>
          <w:tcPr>
            <w:tcW w:w="997" w:type="dxa"/>
            <w:hideMark/>
          </w:tcPr>
          <w:p w14:paraId="2D1996C5"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blood plasma</w:t>
            </w:r>
          </w:p>
        </w:tc>
        <w:tc>
          <w:tcPr>
            <w:tcW w:w="1145" w:type="dxa"/>
            <w:vMerge w:val="restart"/>
            <w:hideMark/>
          </w:tcPr>
          <w:p w14:paraId="49B9D3AA"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YES : ONLY for patients: n = 2 ;</w:t>
            </w:r>
            <w:r w:rsidRPr="006F7CF0">
              <w:rPr>
                <w:rFonts w:ascii="Calibri" w:hAnsi="Calibri" w:cs="Calibri"/>
                <w:color w:val="000000"/>
                <w:sz w:val="18"/>
                <w:szCs w:val="18"/>
              </w:rPr>
              <w:br/>
              <w:t xml:space="preserve">First blood sample was collected shortly after the initial clinical diagnosis (t1), Second was collected a few days later (t2)  </w:t>
            </w:r>
          </w:p>
        </w:tc>
        <w:tc>
          <w:tcPr>
            <w:tcW w:w="1686" w:type="dxa"/>
            <w:vMerge w:val="restart"/>
            <w:hideMark/>
          </w:tcPr>
          <w:p w14:paraId="78FA0143"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 xml:space="preserve">COVID-19 status ; </w:t>
            </w:r>
            <w:r w:rsidRPr="006F7CF0">
              <w:rPr>
                <w:rFonts w:ascii="Calibri" w:hAnsi="Calibri" w:cs="Calibri"/>
                <w:color w:val="000000"/>
                <w:sz w:val="18"/>
                <w:szCs w:val="18"/>
              </w:rPr>
              <w:br/>
              <w:t>disease severity (WOS) ;</w:t>
            </w:r>
            <w:r w:rsidRPr="006F7CF0">
              <w:rPr>
                <w:rFonts w:ascii="Calibri" w:hAnsi="Calibri" w:cs="Calibri"/>
                <w:color w:val="000000"/>
                <w:sz w:val="18"/>
                <w:szCs w:val="18"/>
              </w:rPr>
              <w:br/>
              <w:t>age, sex, BMI, race/ethnicity ;</w:t>
            </w:r>
            <w:r w:rsidRPr="006F7CF0">
              <w:rPr>
                <w:rFonts w:ascii="Calibri" w:hAnsi="Calibri" w:cs="Calibri"/>
                <w:color w:val="000000"/>
                <w:sz w:val="18"/>
                <w:szCs w:val="18"/>
              </w:rPr>
              <w:br/>
              <w:t>more clinical metadata available in the supplement</w:t>
            </w:r>
          </w:p>
        </w:tc>
        <w:tc>
          <w:tcPr>
            <w:tcW w:w="1291" w:type="dxa"/>
            <w:vMerge w:val="restart"/>
            <w:hideMark/>
          </w:tcPr>
          <w:p w14:paraId="2A0F65BF"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 WHO ordinal score                                                                                                                                                                                                                                                                                                                                                                                                                                                  The score was used to classify patients along their disease course</w:t>
            </w:r>
          </w:p>
          <w:p w14:paraId="2BBF1459"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 </w:t>
            </w:r>
          </w:p>
          <w:p w14:paraId="5C7C6A81"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 </w:t>
            </w:r>
          </w:p>
          <w:p w14:paraId="2C0EBE57"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 </w:t>
            </w:r>
          </w:p>
          <w:p w14:paraId="4CA8E386"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 </w:t>
            </w:r>
          </w:p>
          <w:p w14:paraId="062D764E"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 </w:t>
            </w:r>
          </w:p>
        </w:tc>
        <w:tc>
          <w:tcPr>
            <w:tcW w:w="1352" w:type="dxa"/>
            <w:hideMark/>
          </w:tcPr>
          <w:p w14:paraId="19205406"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proteomics</w:t>
            </w:r>
          </w:p>
        </w:tc>
        <w:tc>
          <w:tcPr>
            <w:tcW w:w="1751" w:type="dxa"/>
            <w:hideMark/>
          </w:tcPr>
          <w:p w14:paraId="08441AD0"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464 proteins measured</w:t>
            </w:r>
          </w:p>
        </w:tc>
        <w:tc>
          <w:tcPr>
            <w:tcW w:w="3260" w:type="dxa"/>
            <w:hideMark/>
          </w:tcPr>
          <w:p w14:paraId="37C54C9E"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135 patients with 259 samples, 124 healthy controls with sample</w:t>
            </w:r>
          </w:p>
        </w:tc>
      </w:tr>
      <w:tr w:rsidR="008551CE" w:rsidRPr="006F7CF0" w14:paraId="0FC49CE8" w14:textId="77777777" w:rsidTr="00794FB4">
        <w:trPr>
          <w:trHeight w:val="900"/>
        </w:trPr>
        <w:tc>
          <w:tcPr>
            <w:tcW w:w="973" w:type="dxa"/>
            <w:vMerge/>
            <w:hideMark/>
          </w:tcPr>
          <w:p w14:paraId="0AD1282E" w14:textId="77777777" w:rsidR="008551CE" w:rsidRPr="006F7CF0" w:rsidRDefault="008551CE" w:rsidP="00C1426D">
            <w:pPr>
              <w:rPr>
                <w:rFonts w:ascii="Calibri" w:hAnsi="Calibri" w:cs="Calibri"/>
                <w:b/>
                <w:bCs/>
                <w:color w:val="000000"/>
                <w:sz w:val="18"/>
                <w:szCs w:val="18"/>
              </w:rPr>
            </w:pPr>
          </w:p>
        </w:tc>
        <w:tc>
          <w:tcPr>
            <w:tcW w:w="798" w:type="dxa"/>
            <w:vMerge/>
            <w:hideMark/>
          </w:tcPr>
          <w:p w14:paraId="14FF24D6" w14:textId="77777777" w:rsidR="008551CE" w:rsidRPr="006F7CF0" w:rsidRDefault="008551CE" w:rsidP="00C1426D">
            <w:pPr>
              <w:rPr>
                <w:rFonts w:ascii="Calibri" w:hAnsi="Calibri" w:cs="Calibri"/>
                <w:color w:val="000000"/>
                <w:sz w:val="18"/>
                <w:szCs w:val="18"/>
              </w:rPr>
            </w:pPr>
          </w:p>
        </w:tc>
        <w:tc>
          <w:tcPr>
            <w:tcW w:w="1326" w:type="dxa"/>
            <w:vMerge/>
            <w:hideMark/>
          </w:tcPr>
          <w:p w14:paraId="1B34DB18" w14:textId="77777777" w:rsidR="008551CE" w:rsidRPr="006F7CF0" w:rsidRDefault="008551CE" w:rsidP="00C1426D">
            <w:pPr>
              <w:rPr>
                <w:rFonts w:ascii="Calibri" w:hAnsi="Calibri" w:cs="Calibri"/>
                <w:color w:val="000000"/>
                <w:sz w:val="18"/>
                <w:szCs w:val="18"/>
              </w:rPr>
            </w:pPr>
          </w:p>
        </w:tc>
        <w:tc>
          <w:tcPr>
            <w:tcW w:w="1014" w:type="dxa"/>
            <w:vMerge/>
            <w:hideMark/>
          </w:tcPr>
          <w:p w14:paraId="55C5E7C8" w14:textId="77777777" w:rsidR="008551CE" w:rsidRPr="006F7CF0" w:rsidRDefault="008551CE" w:rsidP="00C1426D">
            <w:pPr>
              <w:rPr>
                <w:rFonts w:ascii="Calibri" w:hAnsi="Calibri" w:cs="Calibri"/>
                <w:color w:val="000000"/>
                <w:sz w:val="18"/>
                <w:szCs w:val="18"/>
              </w:rPr>
            </w:pPr>
          </w:p>
        </w:tc>
        <w:tc>
          <w:tcPr>
            <w:tcW w:w="997" w:type="dxa"/>
            <w:hideMark/>
          </w:tcPr>
          <w:p w14:paraId="2459C91C"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blood plasma</w:t>
            </w:r>
          </w:p>
        </w:tc>
        <w:tc>
          <w:tcPr>
            <w:tcW w:w="1145" w:type="dxa"/>
            <w:vMerge/>
            <w:hideMark/>
          </w:tcPr>
          <w:p w14:paraId="23850EC4" w14:textId="77777777" w:rsidR="008551CE" w:rsidRPr="006F7CF0" w:rsidRDefault="008551CE" w:rsidP="00C1426D">
            <w:pPr>
              <w:rPr>
                <w:rFonts w:ascii="Calibri" w:hAnsi="Calibri" w:cs="Calibri"/>
                <w:color w:val="000000"/>
                <w:sz w:val="18"/>
                <w:szCs w:val="18"/>
              </w:rPr>
            </w:pPr>
          </w:p>
        </w:tc>
        <w:tc>
          <w:tcPr>
            <w:tcW w:w="1686" w:type="dxa"/>
            <w:vMerge/>
            <w:hideMark/>
          </w:tcPr>
          <w:p w14:paraId="429435A4" w14:textId="77777777" w:rsidR="008551CE" w:rsidRPr="006F7CF0" w:rsidRDefault="008551CE" w:rsidP="00C1426D">
            <w:pPr>
              <w:rPr>
                <w:rFonts w:ascii="Calibri" w:hAnsi="Calibri" w:cs="Calibri"/>
                <w:color w:val="000000"/>
                <w:sz w:val="18"/>
                <w:szCs w:val="18"/>
              </w:rPr>
            </w:pPr>
          </w:p>
        </w:tc>
        <w:tc>
          <w:tcPr>
            <w:tcW w:w="1291" w:type="dxa"/>
            <w:vMerge/>
            <w:hideMark/>
          </w:tcPr>
          <w:p w14:paraId="4ADAB682" w14:textId="77777777" w:rsidR="008551CE" w:rsidRPr="006F7CF0" w:rsidRDefault="008551CE" w:rsidP="00C1426D">
            <w:pPr>
              <w:jc w:val="center"/>
              <w:rPr>
                <w:rFonts w:ascii="Calibri" w:hAnsi="Calibri" w:cs="Calibri"/>
                <w:color w:val="000000"/>
                <w:sz w:val="18"/>
                <w:szCs w:val="18"/>
              </w:rPr>
            </w:pPr>
          </w:p>
        </w:tc>
        <w:tc>
          <w:tcPr>
            <w:tcW w:w="1352" w:type="dxa"/>
            <w:hideMark/>
          </w:tcPr>
          <w:p w14:paraId="43988293"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metabolomics</w:t>
            </w:r>
          </w:p>
        </w:tc>
        <w:tc>
          <w:tcPr>
            <w:tcW w:w="1751" w:type="dxa"/>
            <w:hideMark/>
          </w:tcPr>
          <w:p w14:paraId="4CD62A14"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1050 metabolites measured</w:t>
            </w:r>
          </w:p>
        </w:tc>
        <w:tc>
          <w:tcPr>
            <w:tcW w:w="3260" w:type="dxa"/>
            <w:hideMark/>
          </w:tcPr>
          <w:p w14:paraId="4F191197"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133 patients with 254 samples, 133 healthy controls with sample</w:t>
            </w:r>
          </w:p>
        </w:tc>
      </w:tr>
      <w:tr w:rsidR="008551CE" w:rsidRPr="006F7CF0" w14:paraId="0A07B4AF" w14:textId="77777777" w:rsidTr="00794FB4">
        <w:trPr>
          <w:trHeight w:val="900"/>
        </w:trPr>
        <w:tc>
          <w:tcPr>
            <w:tcW w:w="973" w:type="dxa"/>
            <w:vMerge/>
            <w:hideMark/>
          </w:tcPr>
          <w:p w14:paraId="04C43BF6" w14:textId="77777777" w:rsidR="008551CE" w:rsidRPr="006F7CF0" w:rsidRDefault="008551CE" w:rsidP="00C1426D">
            <w:pPr>
              <w:rPr>
                <w:rFonts w:ascii="Calibri" w:hAnsi="Calibri" w:cs="Calibri"/>
                <w:b/>
                <w:bCs/>
                <w:color w:val="000000"/>
                <w:sz w:val="18"/>
                <w:szCs w:val="18"/>
              </w:rPr>
            </w:pPr>
          </w:p>
        </w:tc>
        <w:tc>
          <w:tcPr>
            <w:tcW w:w="798" w:type="dxa"/>
            <w:vMerge/>
            <w:hideMark/>
          </w:tcPr>
          <w:p w14:paraId="773D1160" w14:textId="77777777" w:rsidR="008551CE" w:rsidRPr="006F7CF0" w:rsidRDefault="008551CE" w:rsidP="00C1426D">
            <w:pPr>
              <w:rPr>
                <w:rFonts w:ascii="Calibri" w:hAnsi="Calibri" w:cs="Calibri"/>
                <w:color w:val="000000"/>
                <w:sz w:val="18"/>
                <w:szCs w:val="18"/>
              </w:rPr>
            </w:pPr>
          </w:p>
        </w:tc>
        <w:tc>
          <w:tcPr>
            <w:tcW w:w="1326" w:type="dxa"/>
            <w:vMerge/>
            <w:hideMark/>
          </w:tcPr>
          <w:p w14:paraId="7CD074E0" w14:textId="77777777" w:rsidR="008551CE" w:rsidRPr="006F7CF0" w:rsidRDefault="008551CE" w:rsidP="00C1426D">
            <w:pPr>
              <w:rPr>
                <w:rFonts w:ascii="Calibri" w:hAnsi="Calibri" w:cs="Calibri"/>
                <w:color w:val="000000"/>
                <w:sz w:val="18"/>
                <w:szCs w:val="18"/>
              </w:rPr>
            </w:pPr>
          </w:p>
        </w:tc>
        <w:tc>
          <w:tcPr>
            <w:tcW w:w="1014" w:type="dxa"/>
            <w:vMerge/>
            <w:hideMark/>
          </w:tcPr>
          <w:p w14:paraId="6420AFE2" w14:textId="77777777" w:rsidR="008551CE" w:rsidRPr="006F7CF0" w:rsidRDefault="008551CE" w:rsidP="00C1426D">
            <w:pPr>
              <w:rPr>
                <w:rFonts w:ascii="Calibri" w:hAnsi="Calibri" w:cs="Calibri"/>
                <w:color w:val="000000"/>
                <w:sz w:val="18"/>
                <w:szCs w:val="18"/>
              </w:rPr>
            </w:pPr>
          </w:p>
        </w:tc>
        <w:tc>
          <w:tcPr>
            <w:tcW w:w="997" w:type="dxa"/>
            <w:hideMark/>
          </w:tcPr>
          <w:p w14:paraId="55084A57"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blood PBMC</w:t>
            </w:r>
          </w:p>
        </w:tc>
        <w:tc>
          <w:tcPr>
            <w:tcW w:w="1145" w:type="dxa"/>
            <w:vMerge/>
            <w:hideMark/>
          </w:tcPr>
          <w:p w14:paraId="3A18D242" w14:textId="77777777" w:rsidR="008551CE" w:rsidRPr="006F7CF0" w:rsidRDefault="008551CE" w:rsidP="00C1426D">
            <w:pPr>
              <w:rPr>
                <w:rFonts w:ascii="Calibri" w:hAnsi="Calibri" w:cs="Calibri"/>
                <w:color w:val="000000"/>
                <w:sz w:val="18"/>
                <w:szCs w:val="18"/>
              </w:rPr>
            </w:pPr>
          </w:p>
        </w:tc>
        <w:tc>
          <w:tcPr>
            <w:tcW w:w="1686" w:type="dxa"/>
            <w:vMerge/>
            <w:hideMark/>
          </w:tcPr>
          <w:p w14:paraId="654701F8" w14:textId="77777777" w:rsidR="008551CE" w:rsidRPr="006F7CF0" w:rsidRDefault="008551CE" w:rsidP="00C1426D">
            <w:pPr>
              <w:rPr>
                <w:rFonts w:ascii="Calibri" w:hAnsi="Calibri" w:cs="Calibri"/>
                <w:color w:val="000000"/>
                <w:sz w:val="18"/>
                <w:szCs w:val="18"/>
              </w:rPr>
            </w:pPr>
          </w:p>
        </w:tc>
        <w:tc>
          <w:tcPr>
            <w:tcW w:w="1291" w:type="dxa"/>
            <w:vMerge/>
            <w:hideMark/>
          </w:tcPr>
          <w:p w14:paraId="702378AF" w14:textId="77777777" w:rsidR="008551CE" w:rsidRPr="006F7CF0" w:rsidRDefault="008551CE" w:rsidP="00C1426D">
            <w:pPr>
              <w:jc w:val="center"/>
              <w:rPr>
                <w:rFonts w:ascii="Calibri" w:hAnsi="Calibri" w:cs="Calibri"/>
                <w:color w:val="000000"/>
                <w:sz w:val="18"/>
                <w:szCs w:val="18"/>
              </w:rPr>
            </w:pPr>
          </w:p>
        </w:tc>
        <w:tc>
          <w:tcPr>
            <w:tcW w:w="1352" w:type="dxa"/>
            <w:hideMark/>
          </w:tcPr>
          <w:p w14:paraId="1BD9B981"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transcriptomics</w:t>
            </w:r>
          </w:p>
        </w:tc>
        <w:tc>
          <w:tcPr>
            <w:tcW w:w="1751" w:type="dxa"/>
            <w:hideMark/>
          </w:tcPr>
          <w:p w14:paraId="0AAE3AF2"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 xml:space="preserve">whole transcriptomics ; </w:t>
            </w:r>
            <w:r w:rsidRPr="006F7CF0">
              <w:rPr>
                <w:rFonts w:ascii="Calibri" w:hAnsi="Calibri" w:cs="Calibri"/>
                <w:color w:val="000000"/>
                <w:sz w:val="18"/>
                <w:szCs w:val="18"/>
              </w:rPr>
              <w:br/>
              <w:t>single-cell</w:t>
            </w:r>
          </w:p>
        </w:tc>
        <w:tc>
          <w:tcPr>
            <w:tcW w:w="3260" w:type="dxa"/>
            <w:hideMark/>
          </w:tcPr>
          <w:p w14:paraId="5918086A"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0.55M cells from 254 patient samples, 16 healthy control samples</w:t>
            </w:r>
          </w:p>
        </w:tc>
      </w:tr>
      <w:tr w:rsidR="008551CE" w:rsidRPr="006F7CF0" w14:paraId="5F6C0906" w14:textId="77777777" w:rsidTr="00794FB4">
        <w:trPr>
          <w:trHeight w:val="1273"/>
        </w:trPr>
        <w:tc>
          <w:tcPr>
            <w:tcW w:w="973" w:type="dxa"/>
            <w:vMerge/>
            <w:hideMark/>
          </w:tcPr>
          <w:p w14:paraId="64AB5FCF" w14:textId="77777777" w:rsidR="008551CE" w:rsidRPr="006F7CF0" w:rsidRDefault="008551CE" w:rsidP="00C1426D">
            <w:pPr>
              <w:rPr>
                <w:rFonts w:ascii="Calibri" w:hAnsi="Calibri" w:cs="Calibri"/>
                <w:b/>
                <w:bCs/>
                <w:color w:val="000000"/>
                <w:sz w:val="18"/>
                <w:szCs w:val="18"/>
              </w:rPr>
            </w:pPr>
          </w:p>
        </w:tc>
        <w:tc>
          <w:tcPr>
            <w:tcW w:w="798" w:type="dxa"/>
            <w:vMerge/>
            <w:hideMark/>
          </w:tcPr>
          <w:p w14:paraId="1D8777EB" w14:textId="77777777" w:rsidR="008551CE" w:rsidRPr="006F7CF0" w:rsidRDefault="008551CE" w:rsidP="00C1426D">
            <w:pPr>
              <w:rPr>
                <w:rFonts w:ascii="Calibri" w:hAnsi="Calibri" w:cs="Calibri"/>
                <w:color w:val="000000"/>
                <w:sz w:val="18"/>
                <w:szCs w:val="18"/>
              </w:rPr>
            </w:pPr>
          </w:p>
        </w:tc>
        <w:tc>
          <w:tcPr>
            <w:tcW w:w="1326" w:type="dxa"/>
            <w:vMerge/>
            <w:hideMark/>
          </w:tcPr>
          <w:p w14:paraId="7110458A" w14:textId="77777777" w:rsidR="008551CE" w:rsidRPr="006F7CF0" w:rsidRDefault="008551CE" w:rsidP="00C1426D">
            <w:pPr>
              <w:rPr>
                <w:rFonts w:ascii="Calibri" w:hAnsi="Calibri" w:cs="Calibri"/>
                <w:color w:val="000000"/>
                <w:sz w:val="18"/>
                <w:szCs w:val="18"/>
              </w:rPr>
            </w:pPr>
          </w:p>
        </w:tc>
        <w:tc>
          <w:tcPr>
            <w:tcW w:w="1014" w:type="dxa"/>
            <w:vMerge/>
            <w:hideMark/>
          </w:tcPr>
          <w:p w14:paraId="1848B0CD" w14:textId="77777777" w:rsidR="008551CE" w:rsidRPr="006F7CF0" w:rsidRDefault="008551CE" w:rsidP="00C1426D">
            <w:pPr>
              <w:rPr>
                <w:rFonts w:ascii="Calibri" w:hAnsi="Calibri" w:cs="Calibri"/>
                <w:color w:val="000000"/>
                <w:sz w:val="18"/>
                <w:szCs w:val="18"/>
              </w:rPr>
            </w:pPr>
          </w:p>
        </w:tc>
        <w:tc>
          <w:tcPr>
            <w:tcW w:w="997" w:type="dxa"/>
            <w:hideMark/>
          </w:tcPr>
          <w:p w14:paraId="37B37114"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blood PBMC</w:t>
            </w:r>
          </w:p>
        </w:tc>
        <w:tc>
          <w:tcPr>
            <w:tcW w:w="1145" w:type="dxa"/>
            <w:vMerge/>
            <w:hideMark/>
          </w:tcPr>
          <w:p w14:paraId="7A05E67A" w14:textId="77777777" w:rsidR="008551CE" w:rsidRPr="006F7CF0" w:rsidRDefault="008551CE" w:rsidP="00C1426D">
            <w:pPr>
              <w:rPr>
                <w:rFonts w:ascii="Calibri" w:hAnsi="Calibri" w:cs="Calibri"/>
                <w:color w:val="000000"/>
                <w:sz w:val="18"/>
                <w:szCs w:val="18"/>
              </w:rPr>
            </w:pPr>
          </w:p>
        </w:tc>
        <w:tc>
          <w:tcPr>
            <w:tcW w:w="1686" w:type="dxa"/>
            <w:vMerge/>
            <w:hideMark/>
          </w:tcPr>
          <w:p w14:paraId="4F67CAD5" w14:textId="77777777" w:rsidR="008551CE" w:rsidRPr="006F7CF0" w:rsidRDefault="008551CE" w:rsidP="00C1426D">
            <w:pPr>
              <w:rPr>
                <w:rFonts w:ascii="Calibri" w:hAnsi="Calibri" w:cs="Calibri"/>
                <w:color w:val="000000"/>
                <w:sz w:val="18"/>
                <w:szCs w:val="18"/>
              </w:rPr>
            </w:pPr>
          </w:p>
        </w:tc>
        <w:tc>
          <w:tcPr>
            <w:tcW w:w="1291" w:type="dxa"/>
            <w:vMerge/>
            <w:hideMark/>
          </w:tcPr>
          <w:p w14:paraId="5BDD389A" w14:textId="77777777" w:rsidR="008551CE" w:rsidRPr="006F7CF0" w:rsidRDefault="008551CE" w:rsidP="00C1426D">
            <w:pPr>
              <w:jc w:val="center"/>
              <w:rPr>
                <w:rFonts w:ascii="Calibri" w:hAnsi="Calibri" w:cs="Calibri"/>
                <w:color w:val="000000"/>
                <w:sz w:val="18"/>
                <w:szCs w:val="18"/>
              </w:rPr>
            </w:pPr>
          </w:p>
        </w:tc>
        <w:tc>
          <w:tcPr>
            <w:tcW w:w="1352" w:type="dxa"/>
            <w:hideMark/>
          </w:tcPr>
          <w:p w14:paraId="50D14303" w14:textId="77777777" w:rsidR="008551CE" w:rsidRPr="006F7CF0" w:rsidRDefault="008551CE" w:rsidP="00C1426D">
            <w:pPr>
              <w:jc w:val="center"/>
              <w:rPr>
                <w:rFonts w:ascii="Calibri" w:hAnsi="Calibri" w:cs="Calibri"/>
                <w:color w:val="000000"/>
                <w:sz w:val="18"/>
                <w:szCs w:val="18"/>
              </w:rPr>
            </w:pPr>
            <w:proofErr w:type="spellStart"/>
            <w:r w:rsidRPr="006F7CF0">
              <w:rPr>
                <w:rFonts w:ascii="Calibri" w:hAnsi="Calibri" w:cs="Calibri"/>
                <w:color w:val="000000"/>
                <w:sz w:val="18"/>
                <w:szCs w:val="18"/>
              </w:rPr>
              <w:t>secretomics</w:t>
            </w:r>
            <w:proofErr w:type="spellEnd"/>
          </w:p>
        </w:tc>
        <w:tc>
          <w:tcPr>
            <w:tcW w:w="1751" w:type="dxa"/>
            <w:hideMark/>
          </w:tcPr>
          <w:p w14:paraId="0704A67B"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cytokine panel ; single-cell</w:t>
            </w:r>
          </w:p>
        </w:tc>
        <w:tc>
          <w:tcPr>
            <w:tcW w:w="3260" w:type="dxa"/>
            <w:hideMark/>
          </w:tcPr>
          <w:p w14:paraId="58736EBC"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2 different multiplex cytokine panels with 32 proteins each, one for Innate and one for Adaptive Immunity, with 101K cells from 50 patient samples, 7 healthy control samples</w:t>
            </w:r>
          </w:p>
        </w:tc>
      </w:tr>
      <w:tr w:rsidR="008551CE" w:rsidRPr="006F7CF0" w14:paraId="328F1FD5" w14:textId="77777777" w:rsidTr="00794FB4">
        <w:trPr>
          <w:trHeight w:val="1146"/>
        </w:trPr>
        <w:tc>
          <w:tcPr>
            <w:tcW w:w="973" w:type="dxa"/>
            <w:vMerge/>
            <w:hideMark/>
          </w:tcPr>
          <w:p w14:paraId="4EA30624" w14:textId="77777777" w:rsidR="008551CE" w:rsidRPr="006F7CF0" w:rsidRDefault="008551CE" w:rsidP="00C1426D">
            <w:pPr>
              <w:rPr>
                <w:rFonts w:ascii="Calibri" w:hAnsi="Calibri" w:cs="Calibri"/>
                <w:b/>
                <w:bCs/>
                <w:color w:val="000000"/>
                <w:sz w:val="18"/>
                <w:szCs w:val="18"/>
              </w:rPr>
            </w:pPr>
          </w:p>
        </w:tc>
        <w:tc>
          <w:tcPr>
            <w:tcW w:w="798" w:type="dxa"/>
            <w:vMerge/>
            <w:hideMark/>
          </w:tcPr>
          <w:p w14:paraId="5F2F808C" w14:textId="77777777" w:rsidR="008551CE" w:rsidRPr="006F7CF0" w:rsidRDefault="008551CE" w:rsidP="00C1426D">
            <w:pPr>
              <w:rPr>
                <w:rFonts w:ascii="Calibri" w:hAnsi="Calibri" w:cs="Calibri"/>
                <w:color w:val="000000"/>
                <w:sz w:val="18"/>
                <w:szCs w:val="18"/>
              </w:rPr>
            </w:pPr>
          </w:p>
        </w:tc>
        <w:tc>
          <w:tcPr>
            <w:tcW w:w="1326" w:type="dxa"/>
            <w:vMerge/>
            <w:hideMark/>
          </w:tcPr>
          <w:p w14:paraId="3C636329" w14:textId="77777777" w:rsidR="008551CE" w:rsidRPr="006F7CF0" w:rsidRDefault="008551CE" w:rsidP="00C1426D">
            <w:pPr>
              <w:rPr>
                <w:rFonts w:ascii="Calibri" w:hAnsi="Calibri" w:cs="Calibri"/>
                <w:color w:val="000000"/>
                <w:sz w:val="18"/>
                <w:szCs w:val="18"/>
              </w:rPr>
            </w:pPr>
          </w:p>
        </w:tc>
        <w:tc>
          <w:tcPr>
            <w:tcW w:w="1014" w:type="dxa"/>
            <w:vMerge/>
            <w:hideMark/>
          </w:tcPr>
          <w:p w14:paraId="4BDFEFBD" w14:textId="77777777" w:rsidR="008551CE" w:rsidRPr="006F7CF0" w:rsidRDefault="008551CE" w:rsidP="00C1426D">
            <w:pPr>
              <w:rPr>
                <w:rFonts w:ascii="Calibri" w:hAnsi="Calibri" w:cs="Calibri"/>
                <w:color w:val="000000"/>
                <w:sz w:val="18"/>
                <w:szCs w:val="18"/>
              </w:rPr>
            </w:pPr>
          </w:p>
        </w:tc>
        <w:tc>
          <w:tcPr>
            <w:tcW w:w="997" w:type="dxa"/>
            <w:hideMark/>
          </w:tcPr>
          <w:p w14:paraId="68FD0950"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blood PBMC</w:t>
            </w:r>
          </w:p>
        </w:tc>
        <w:tc>
          <w:tcPr>
            <w:tcW w:w="1145" w:type="dxa"/>
            <w:vMerge/>
            <w:hideMark/>
          </w:tcPr>
          <w:p w14:paraId="4E5B323B" w14:textId="77777777" w:rsidR="008551CE" w:rsidRPr="006F7CF0" w:rsidRDefault="008551CE" w:rsidP="00C1426D">
            <w:pPr>
              <w:rPr>
                <w:rFonts w:ascii="Calibri" w:hAnsi="Calibri" w:cs="Calibri"/>
                <w:color w:val="000000"/>
                <w:sz w:val="18"/>
                <w:szCs w:val="18"/>
              </w:rPr>
            </w:pPr>
          </w:p>
        </w:tc>
        <w:tc>
          <w:tcPr>
            <w:tcW w:w="1686" w:type="dxa"/>
            <w:vMerge/>
            <w:hideMark/>
          </w:tcPr>
          <w:p w14:paraId="1BA2D80E" w14:textId="77777777" w:rsidR="008551CE" w:rsidRPr="006F7CF0" w:rsidRDefault="008551CE" w:rsidP="00C1426D">
            <w:pPr>
              <w:rPr>
                <w:rFonts w:ascii="Calibri" w:hAnsi="Calibri" w:cs="Calibri"/>
                <w:color w:val="000000"/>
                <w:sz w:val="18"/>
                <w:szCs w:val="18"/>
              </w:rPr>
            </w:pPr>
          </w:p>
        </w:tc>
        <w:tc>
          <w:tcPr>
            <w:tcW w:w="1291" w:type="dxa"/>
            <w:vMerge/>
            <w:hideMark/>
          </w:tcPr>
          <w:p w14:paraId="514743A9" w14:textId="77777777" w:rsidR="008551CE" w:rsidRPr="006F7CF0" w:rsidRDefault="008551CE" w:rsidP="00C1426D">
            <w:pPr>
              <w:jc w:val="center"/>
              <w:rPr>
                <w:rFonts w:ascii="Calibri" w:hAnsi="Calibri" w:cs="Calibri"/>
                <w:color w:val="000000"/>
                <w:sz w:val="18"/>
                <w:szCs w:val="18"/>
              </w:rPr>
            </w:pPr>
          </w:p>
        </w:tc>
        <w:tc>
          <w:tcPr>
            <w:tcW w:w="1352" w:type="dxa"/>
            <w:hideMark/>
          </w:tcPr>
          <w:p w14:paraId="35FB9B8A"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surface markers</w:t>
            </w:r>
          </w:p>
        </w:tc>
        <w:tc>
          <w:tcPr>
            <w:tcW w:w="1751" w:type="dxa"/>
            <w:hideMark/>
          </w:tcPr>
          <w:p w14:paraId="108ABB40" w14:textId="77777777" w:rsidR="008551CE" w:rsidRPr="006F7CF0" w:rsidRDefault="008551CE" w:rsidP="00C1426D">
            <w:pPr>
              <w:jc w:val="center"/>
              <w:rPr>
                <w:rFonts w:ascii="Calibri" w:hAnsi="Calibri" w:cs="Calibri"/>
                <w:color w:val="000000"/>
                <w:sz w:val="18"/>
                <w:szCs w:val="18"/>
              </w:rPr>
            </w:pPr>
            <w:proofErr w:type="spellStart"/>
            <w:r w:rsidRPr="006F7CF0">
              <w:rPr>
                <w:rFonts w:ascii="Calibri" w:hAnsi="Calibri" w:cs="Calibri"/>
                <w:color w:val="000000"/>
                <w:sz w:val="18"/>
                <w:szCs w:val="18"/>
              </w:rPr>
              <w:t>TotalSeq</w:t>
            </w:r>
            <w:proofErr w:type="spellEnd"/>
            <w:r w:rsidRPr="006F7CF0">
              <w:rPr>
                <w:rFonts w:ascii="Calibri" w:hAnsi="Calibri" w:cs="Calibri"/>
                <w:color w:val="000000"/>
                <w:sz w:val="18"/>
                <w:szCs w:val="18"/>
              </w:rPr>
              <w:t>-C ; single-cell</w:t>
            </w:r>
          </w:p>
        </w:tc>
        <w:tc>
          <w:tcPr>
            <w:tcW w:w="3260" w:type="dxa"/>
            <w:hideMark/>
          </w:tcPr>
          <w:p w14:paraId="353E4FFB"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 xml:space="preserve">0.55M cells from 254 patient samples, 16 healthy control samples (with </w:t>
            </w:r>
            <w:proofErr w:type="spellStart"/>
            <w:r w:rsidRPr="006F7CF0">
              <w:rPr>
                <w:rFonts w:ascii="Calibri" w:hAnsi="Calibri" w:cs="Calibri"/>
                <w:color w:val="000000"/>
                <w:sz w:val="18"/>
                <w:szCs w:val="18"/>
              </w:rPr>
              <w:t>TotalSeq</w:t>
            </w:r>
            <w:proofErr w:type="spellEnd"/>
            <w:r w:rsidRPr="006F7CF0">
              <w:rPr>
                <w:rFonts w:ascii="Calibri" w:hAnsi="Calibri" w:cs="Calibri"/>
                <w:color w:val="000000"/>
                <w:sz w:val="18"/>
                <w:szCs w:val="18"/>
              </w:rPr>
              <w:t>-C, i.e. done in the same run as the transcriptomics analysis)</w:t>
            </w:r>
          </w:p>
        </w:tc>
      </w:tr>
      <w:tr w:rsidR="008551CE" w:rsidRPr="006F7CF0" w14:paraId="469B5711" w14:textId="77777777" w:rsidTr="00794FB4">
        <w:trPr>
          <w:trHeight w:val="978"/>
        </w:trPr>
        <w:tc>
          <w:tcPr>
            <w:tcW w:w="973" w:type="dxa"/>
            <w:vMerge/>
            <w:hideMark/>
          </w:tcPr>
          <w:p w14:paraId="37C50B71" w14:textId="77777777" w:rsidR="008551CE" w:rsidRPr="006F7CF0" w:rsidRDefault="008551CE" w:rsidP="00C1426D">
            <w:pPr>
              <w:rPr>
                <w:rFonts w:ascii="Calibri" w:hAnsi="Calibri" w:cs="Calibri"/>
                <w:b/>
                <w:bCs/>
                <w:color w:val="000000"/>
                <w:sz w:val="18"/>
                <w:szCs w:val="18"/>
              </w:rPr>
            </w:pPr>
          </w:p>
        </w:tc>
        <w:tc>
          <w:tcPr>
            <w:tcW w:w="798" w:type="dxa"/>
            <w:vMerge/>
            <w:hideMark/>
          </w:tcPr>
          <w:p w14:paraId="1D54B875" w14:textId="77777777" w:rsidR="008551CE" w:rsidRPr="006F7CF0" w:rsidRDefault="008551CE" w:rsidP="00C1426D">
            <w:pPr>
              <w:rPr>
                <w:rFonts w:ascii="Calibri" w:hAnsi="Calibri" w:cs="Calibri"/>
                <w:color w:val="000000"/>
                <w:sz w:val="18"/>
                <w:szCs w:val="18"/>
              </w:rPr>
            </w:pPr>
          </w:p>
        </w:tc>
        <w:tc>
          <w:tcPr>
            <w:tcW w:w="1326" w:type="dxa"/>
            <w:vMerge/>
            <w:hideMark/>
          </w:tcPr>
          <w:p w14:paraId="56352224" w14:textId="77777777" w:rsidR="008551CE" w:rsidRPr="006F7CF0" w:rsidRDefault="008551CE" w:rsidP="00C1426D">
            <w:pPr>
              <w:rPr>
                <w:rFonts w:ascii="Calibri" w:hAnsi="Calibri" w:cs="Calibri"/>
                <w:color w:val="000000"/>
                <w:sz w:val="18"/>
                <w:szCs w:val="18"/>
              </w:rPr>
            </w:pPr>
          </w:p>
        </w:tc>
        <w:tc>
          <w:tcPr>
            <w:tcW w:w="1014" w:type="dxa"/>
            <w:vMerge/>
            <w:hideMark/>
          </w:tcPr>
          <w:p w14:paraId="4F6B9D6A" w14:textId="77777777" w:rsidR="008551CE" w:rsidRPr="006F7CF0" w:rsidRDefault="008551CE" w:rsidP="00C1426D">
            <w:pPr>
              <w:rPr>
                <w:rFonts w:ascii="Calibri" w:hAnsi="Calibri" w:cs="Calibri"/>
                <w:color w:val="000000"/>
                <w:sz w:val="18"/>
                <w:szCs w:val="18"/>
              </w:rPr>
            </w:pPr>
          </w:p>
        </w:tc>
        <w:tc>
          <w:tcPr>
            <w:tcW w:w="997" w:type="dxa"/>
            <w:hideMark/>
          </w:tcPr>
          <w:p w14:paraId="6E82B948"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blood PBMC</w:t>
            </w:r>
          </w:p>
        </w:tc>
        <w:tc>
          <w:tcPr>
            <w:tcW w:w="1145" w:type="dxa"/>
            <w:vMerge/>
            <w:hideMark/>
          </w:tcPr>
          <w:p w14:paraId="280AEDD4" w14:textId="77777777" w:rsidR="008551CE" w:rsidRPr="006F7CF0" w:rsidRDefault="008551CE" w:rsidP="00C1426D">
            <w:pPr>
              <w:rPr>
                <w:rFonts w:ascii="Calibri" w:hAnsi="Calibri" w:cs="Calibri"/>
                <w:color w:val="000000"/>
                <w:sz w:val="18"/>
                <w:szCs w:val="18"/>
              </w:rPr>
            </w:pPr>
          </w:p>
        </w:tc>
        <w:tc>
          <w:tcPr>
            <w:tcW w:w="1686" w:type="dxa"/>
            <w:vMerge/>
            <w:hideMark/>
          </w:tcPr>
          <w:p w14:paraId="46529C6E" w14:textId="77777777" w:rsidR="008551CE" w:rsidRPr="006F7CF0" w:rsidRDefault="008551CE" w:rsidP="00C1426D">
            <w:pPr>
              <w:rPr>
                <w:rFonts w:ascii="Calibri" w:hAnsi="Calibri" w:cs="Calibri"/>
                <w:color w:val="000000"/>
                <w:sz w:val="18"/>
                <w:szCs w:val="18"/>
              </w:rPr>
            </w:pPr>
          </w:p>
        </w:tc>
        <w:tc>
          <w:tcPr>
            <w:tcW w:w="1291" w:type="dxa"/>
            <w:vMerge/>
            <w:hideMark/>
          </w:tcPr>
          <w:p w14:paraId="6A480D90" w14:textId="77777777" w:rsidR="008551CE" w:rsidRPr="006F7CF0" w:rsidRDefault="008551CE" w:rsidP="00C1426D">
            <w:pPr>
              <w:jc w:val="center"/>
              <w:rPr>
                <w:rFonts w:ascii="Calibri" w:hAnsi="Calibri" w:cs="Calibri"/>
                <w:color w:val="000000"/>
                <w:sz w:val="18"/>
                <w:szCs w:val="18"/>
              </w:rPr>
            </w:pPr>
          </w:p>
        </w:tc>
        <w:tc>
          <w:tcPr>
            <w:tcW w:w="1352" w:type="dxa"/>
            <w:hideMark/>
          </w:tcPr>
          <w:p w14:paraId="693D32D7"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TCR sequencing</w:t>
            </w:r>
          </w:p>
        </w:tc>
        <w:tc>
          <w:tcPr>
            <w:tcW w:w="1751" w:type="dxa"/>
            <w:hideMark/>
          </w:tcPr>
          <w:p w14:paraId="6BD440AA"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T (and B) cell receptor gene sequencing ; single-cell</w:t>
            </w:r>
          </w:p>
        </w:tc>
        <w:tc>
          <w:tcPr>
            <w:tcW w:w="3260" w:type="dxa"/>
            <w:hideMark/>
          </w:tcPr>
          <w:p w14:paraId="48C19C70" w14:textId="77777777" w:rsidR="008551CE" w:rsidRPr="006F7CF0" w:rsidRDefault="008551CE" w:rsidP="00C1426D">
            <w:pPr>
              <w:jc w:val="center"/>
              <w:rPr>
                <w:rFonts w:ascii="Calibri" w:hAnsi="Calibri" w:cs="Calibri"/>
                <w:color w:val="000000"/>
                <w:sz w:val="18"/>
                <w:szCs w:val="18"/>
              </w:rPr>
            </w:pPr>
            <w:r w:rsidRPr="006F7CF0">
              <w:rPr>
                <w:rFonts w:ascii="Calibri" w:hAnsi="Calibri" w:cs="Calibri"/>
                <w:color w:val="000000"/>
                <w:sz w:val="18"/>
                <w:szCs w:val="18"/>
              </w:rPr>
              <w:t>0.55M cells from 254 patient samples, 16 healthy control samples (done in the same run as the transcriptomics analysis)</w:t>
            </w:r>
          </w:p>
        </w:tc>
      </w:tr>
      <w:tr w:rsidR="00794FB4" w:rsidRPr="006F7CF0" w14:paraId="66FC452E" w14:textId="77777777" w:rsidTr="00794FB4">
        <w:trPr>
          <w:trHeight w:val="1408"/>
        </w:trPr>
        <w:tc>
          <w:tcPr>
            <w:tcW w:w="973" w:type="dxa"/>
            <w:vMerge w:val="restart"/>
            <w:hideMark/>
          </w:tcPr>
          <w:p w14:paraId="4395CF45" w14:textId="77777777" w:rsidR="00794FB4" w:rsidRPr="006F7CF0" w:rsidRDefault="00794FB4" w:rsidP="00C1426D">
            <w:pPr>
              <w:jc w:val="center"/>
              <w:rPr>
                <w:rFonts w:ascii="Calibri" w:hAnsi="Calibri" w:cs="Calibri"/>
                <w:b/>
                <w:bCs/>
                <w:color w:val="000000"/>
                <w:sz w:val="18"/>
                <w:szCs w:val="18"/>
              </w:rPr>
            </w:pPr>
            <w:proofErr w:type="spellStart"/>
            <w:r w:rsidRPr="006F7CF0">
              <w:rPr>
                <w:rFonts w:ascii="Calibri" w:hAnsi="Calibri" w:cs="Calibri"/>
                <w:b/>
                <w:bCs/>
                <w:color w:val="000000"/>
                <w:sz w:val="18"/>
                <w:szCs w:val="18"/>
              </w:rPr>
              <w:lastRenderedPageBreak/>
              <w:t>Overmyer</w:t>
            </w:r>
            <w:proofErr w:type="spellEnd"/>
            <w:r w:rsidRPr="006F7CF0">
              <w:rPr>
                <w:rFonts w:ascii="Calibri" w:hAnsi="Calibri" w:cs="Calibri"/>
                <w:b/>
                <w:bCs/>
                <w:color w:val="000000"/>
                <w:sz w:val="18"/>
                <w:szCs w:val="18"/>
              </w:rPr>
              <w:t xml:space="preserve"> et al., 2020, Cell</w:t>
            </w:r>
          </w:p>
        </w:tc>
        <w:tc>
          <w:tcPr>
            <w:tcW w:w="798" w:type="dxa"/>
            <w:vMerge w:val="restart"/>
            <w:hideMark/>
          </w:tcPr>
          <w:p w14:paraId="653D5A03"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20-Jan-21</w:t>
            </w:r>
          </w:p>
        </w:tc>
        <w:tc>
          <w:tcPr>
            <w:tcW w:w="1326" w:type="dxa"/>
            <w:vMerge w:val="restart"/>
            <w:hideMark/>
          </w:tcPr>
          <w:p w14:paraId="7DB31E05"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Large-Scale Multi-</w:t>
            </w:r>
            <w:proofErr w:type="spellStart"/>
            <w:r w:rsidRPr="006F7CF0">
              <w:rPr>
                <w:rFonts w:ascii="Calibri" w:hAnsi="Calibri" w:cs="Calibri"/>
                <w:color w:val="000000"/>
                <w:sz w:val="18"/>
                <w:szCs w:val="18"/>
              </w:rPr>
              <w:t>omic</w:t>
            </w:r>
            <w:proofErr w:type="spellEnd"/>
            <w:r w:rsidRPr="006F7CF0">
              <w:rPr>
                <w:rFonts w:ascii="Calibri" w:hAnsi="Calibri" w:cs="Calibri"/>
                <w:color w:val="000000"/>
                <w:sz w:val="18"/>
                <w:szCs w:val="18"/>
              </w:rPr>
              <w:t xml:space="preserve"> Analysis of COVID-19 Severity</w:t>
            </w:r>
          </w:p>
        </w:tc>
        <w:tc>
          <w:tcPr>
            <w:tcW w:w="1014" w:type="dxa"/>
            <w:vMerge w:val="restart"/>
            <w:hideMark/>
          </w:tcPr>
          <w:p w14:paraId="5B93AC76"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A cohort study involving 102 COVID-19 patients ;           26 non-COVID-19 patients</w:t>
            </w:r>
          </w:p>
        </w:tc>
        <w:tc>
          <w:tcPr>
            <w:tcW w:w="997" w:type="dxa"/>
            <w:hideMark/>
          </w:tcPr>
          <w:p w14:paraId="4B4C1471"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blood plasma</w:t>
            </w:r>
          </w:p>
        </w:tc>
        <w:tc>
          <w:tcPr>
            <w:tcW w:w="1145" w:type="dxa"/>
            <w:vMerge w:val="restart"/>
            <w:hideMark/>
          </w:tcPr>
          <w:p w14:paraId="40B90A45"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 xml:space="preserve">NO: Blood samples were collected  from 128 adults admitted to Albany Medical Center at the time of </w:t>
            </w:r>
            <w:proofErr w:type="spellStart"/>
            <w:r w:rsidRPr="006F7CF0">
              <w:rPr>
                <w:rFonts w:ascii="Calibri" w:hAnsi="Calibri" w:cs="Calibri"/>
                <w:color w:val="000000"/>
                <w:sz w:val="18"/>
                <w:szCs w:val="18"/>
              </w:rPr>
              <w:t>enrollment</w:t>
            </w:r>
            <w:proofErr w:type="spellEnd"/>
            <w:r w:rsidRPr="006F7CF0">
              <w:rPr>
                <w:rFonts w:ascii="Calibri" w:hAnsi="Calibri" w:cs="Calibri"/>
                <w:color w:val="000000"/>
                <w:sz w:val="18"/>
                <w:szCs w:val="18"/>
              </w:rPr>
              <w:t xml:space="preserve"> </w:t>
            </w:r>
          </w:p>
        </w:tc>
        <w:tc>
          <w:tcPr>
            <w:tcW w:w="1686" w:type="dxa"/>
            <w:vMerge w:val="restart"/>
            <w:hideMark/>
          </w:tcPr>
          <w:p w14:paraId="15CBBD07"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COVID-19 status ;                disease severity (Hospital-free days at day 45 [HFD-45] and WHO ordinal score);                                                clinical data detailing days admitted pre-</w:t>
            </w:r>
            <w:proofErr w:type="spellStart"/>
            <w:r w:rsidRPr="006F7CF0">
              <w:rPr>
                <w:rFonts w:ascii="Calibri" w:hAnsi="Calibri" w:cs="Calibri"/>
                <w:color w:val="000000"/>
                <w:sz w:val="18"/>
                <w:szCs w:val="18"/>
              </w:rPr>
              <w:t>enrollment</w:t>
            </w:r>
            <w:proofErr w:type="spellEnd"/>
            <w:r w:rsidRPr="006F7CF0">
              <w:rPr>
                <w:rFonts w:ascii="Calibri" w:hAnsi="Calibri" w:cs="Calibri"/>
                <w:color w:val="000000"/>
                <w:sz w:val="18"/>
                <w:szCs w:val="18"/>
              </w:rPr>
              <w:t>, sex, age, ethnicity, disease severity indexes (</w:t>
            </w:r>
            <w:proofErr w:type="spellStart"/>
            <w:r w:rsidRPr="006F7CF0">
              <w:rPr>
                <w:rFonts w:ascii="Calibri" w:hAnsi="Calibri" w:cs="Calibri"/>
                <w:color w:val="000000"/>
                <w:sz w:val="18"/>
                <w:szCs w:val="18"/>
              </w:rPr>
              <w:t>charlson</w:t>
            </w:r>
            <w:proofErr w:type="spellEnd"/>
            <w:r w:rsidRPr="006F7CF0">
              <w:rPr>
                <w:rFonts w:ascii="Calibri" w:hAnsi="Calibri" w:cs="Calibri"/>
                <w:color w:val="000000"/>
                <w:sz w:val="18"/>
                <w:szCs w:val="18"/>
              </w:rPr>
              <w:t xml:space="preserve"> comorbidity index, acute physiologic assessment and chronic health evaluation (APACHE II) score, sequential organ failure assessment (SOFA) score, SAPPSII), biomarkers, hemogram, respiratory parameters and treatment are available in Table 1</w:t>
            </w:r>
          </w:p>
        </w:tc>
        <w:tc>
          <w:tcPr>
            <w:tcW w:w="1291" w:type="dxa"/>
            <w:vMerge w:val="restart"/>
            <w:hideMark/>
          </w:tcPr>
          <w:p w14:paraId="441F85B7"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Hospital-free days at day 45 [HFD-45] and WHO ordinal score                                                                                                                                                                                                                                                                                                                                                                                                                                                  The score was used to classify patients along their disease course</w:t>
            </w:r>
          </w:p>
        </w:tc>
        <w:tc>
          <w:tcPr>
            <w:tcW w:w="1352" w:type="dxa"/>
            <w:hideMark/>
          </w:tcPr>
          <w:p w14:paraId="0859A4F6"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metabolomics</w:t>
            </w:r>
          </w:p>
        </w:tc>
        <w:tc>
          <w:tcPr>
            <w:tcW w:w="1751" w:type="dxa"/>
            <w:hideMark/>
          </w:tcPr>
          <w:p w14:paraId="721A1EEC"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 xml:space="preserve">discovery metabolomics                                                                            targeted metabolomics;                                                                    110 </w:t>
            </w:r>
            <w:proofErr w:type="spellStart"/>
            <w:r w:rsidRPr="006F7CF0">
              <w:rPr>
                <w:rFonts w:ascii="Calibri" w:hAnsi="Calibri" w:cs="Calibri"/>
                <w:color w:val="000000"/>
                <w:sz w:val="18"/>
                <w:szCs w:val="18"/>
              </w:rPr>
              <w:t>meatabolites</w:t>
            </w:r>
            <w:proofErr w:type="spellEnd"/>
            <w:r w:rsidRPr="006F7CF0">
              <w:rPr>
                <w:rFonts w:ascii="Calibri" w:hAnsi="Calibri" w:cs="Calibri"/>
                <w:color w:val="000000"/>
                <w:sz w:val="18"/>
                <w:szCs w:val="18"/>
              </w:rPr>
              <w:t xml:space="preserve"> measured</w:t>
            </w:r>
          </w:p>
        </w:tc>
        <w:tc>
          <w:tcPr>
            <w:tcW w:w="3260" w:type="dxa"/>
            <w:hideMark/>
          </w:tcPr>
          <w:p w14:paraId="6F212E5B"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128 blood samples from 128 patients                                                                   13 plasma metabolites were significantly associated with COVID-19 status</w:t>
            </w:r>
          </w:p>
        </w:tc>
      </w:tr>
      <w:tr w:rsidR="00794FB4" w:rsidRPr="006F7CF0" w14:paraId="47781273" w14:textId="77777777" w:rsidTr="00794FB4">
        <w:trPr>
          <w:trHeight w:val="998"/>
        </w:trPr>
        <w:tc>
          <w:tcPr>
            <w:tcW w:w="973" w:type="dxa"/>
            <w:vMerge/>
            <w:hideMark/>
          </w:tcPr>
          <w:p w14:paraId="76F6D3BE" w14:textId="77777777" w:rsidR="00794FB4" w:rsidRPr="006F7CF0" w:rsidRDefault="00794FB4" w:rsidP="00C1426D">
            <w:pPr>
              <w:rPr>
                <w:rFonts w:ascii="Calibri" w:hAnsi="Calibri" w:cs="Calibri"/>
                <w:b/>
                <w:bCs/>
                <w:color w:val="000000"/>
                <w:sz w:val="18"/>
                <w:szCs w:val="18"/>
              </w:rPr>
            </w:pPr>
          </w:p>
        </w:tc>
        <w:tc>
          <w:tcPr>
            <w:tcW w:w="798" w:type="dxa"/>
            <w:vMerge/>
            <w:hideMark/>
          </w:tcPr>
          <w:p w14:paraId="76261EA6" w14:textId="77777777" w:rsidR="00794FB4" w:rsidRPr="006F7CF0" w:rsidRDefault="00794FB4" w:rsidP="00C1426D">
            <w:pPr>
              <w:rPr>
                <w:rFonts w:ascii="Calibri" w:hAnsi="Calibri" w:cs="Calibri"/>
                <w:color w:val="000000"/>
                <w:sz w:val="18"/>
                <w:szCs w:val="18"/>
              </w:rPr>
            </w:pPr>
          </w:p>
        </w:tc>
        <w:tc>
          <w:tcPr>
            <w:tcW w:w="1326" w:type="dxa"/>
            <w:vMerge/>
            <w:hideMark/>
          </w:tcPr>
          <w:p w14:paraId="2F72C59C" w14:textId="77777777" w:rsidR="00794FB4" w:rsidRPr="006F7CF0" w:rsidRDefault="00794FB4" w:rsidP="00C1426D">
            <w:pPr>
              <w:rPr>
                <w:rFonts w:ascii="Calibri" w:hAnsi="Calibri" w:cs="Calibri"/>
                <w:color w:val="000000"/>
                <w:sz w:val="18"/>
                <w:szCs w:val="18"/>
              </w:rPr>
            </w:pPr>
          </w:p>
        </w:tc>
        <w:tc>
          <w:tcPr>
            <w:tcW w:w="1014" w:type="dxa"/>
            <w:vMerge/>
            <w:hideMark/>
          </w:tcPr>
          <w:p w14:paraId="6113BC86" w14:textId="77777777" w:rsidR="00794FB4" w:rsidRPr="006F7CF0" w:rsidRDefault="00794FB4" w:rsidP="00C1426D">
            <w:pPr>
              <w:rPr>
                <w:rFonts w:ascii="Calibri" w:hAnsi="Calibri" w:cs="Calibri"/>
                <w:color w:val="000000"/>
                <w:sz w:val="18"/>
                <w:szCs w:val="18"/>
              </w:rPr>
            </w:pPr>
          </w:p>
        </w:tc>
        <w:tc>
          <w:tcPr>
            <w:tcW w:w="997" w:type="dxa"/>
            <w:hideMark/>
          </w:tcPr>
          <w:p w14:paraId="4D344C20"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blood plasma</w:t>
            </w:r>
          </w:p>
        </w:tc>
        <w:tc>
          <w:tcPr>
            <w:tcW w:w="1145" w:type="dxa"/>
            <w:vMerge/>
            <w:hideMark/>
          </w:tcPr>
          <w:p w14:paraId="6A595398" w14:textId="77777777" w:rsidR="00794FB4" w:rsidRPr="006F7CF0" w:rsidRDefault="00794FB4" w:rsidP="00C1426D">
            <w:pPr>
              <w:rPr>
                <w:rFonts w:ascii="Calibri" w:hAnsi="Calibri" w:cs="Calibri"/>
                <w:color w:val="000000"/>
                <w:sz w:val="18"/>
                <w:szCs w:val="18"/>
              </w:rPr>
            </w:pPr>
          </w:p>
        </w:tc>
        <w:tc>
          <w:tcPr>
            <w:tcW w:w="1686" w:type="dxa"/>
            <w:vMerge/>
            <w:hideMark/>
          </w:tcPr>
          <w:p w14:paraId="7FE8E49A" w14:textId="77777777" w:rsidR="00794FB4" w:rsidRPr="006F7CF0" w:rsidRDefault="00794FB4" w:rsidP="00C1426D">
            <w:pPr>
              <w:rPr>
                <w:rFonts w:ascii="Calibri" w:hAnsi="Calibri" w:cs="Calibri"/>
                <w:color w:val="000000"/>
                <w:sz w:val="18"/>
                <w:szCs w:val="18"/>
              </w:rPr>
            </w:pPr>
          </w:p>
        </w:tc>
        <w:tc>
          <w:tcPr>
            <w:tcW w:w="1291" w:type="dxa"/>
            <w:vMerge/>
            <w:hideMark/>
          </w:tcPr>
          <w:p w14:paraId="2496E7DA" w14:textId="77777777" w:rsidR="00794FB4" w:rsidRPr="006F7CF0" w:rsidRDefault="00794FB4" w:rsidP="00C1426D">
            <w:pPr>
              <w:rPr>
                <w:rFonts w:ascii="Calibri" w:hAnsi="Calibri" w:cs="Calibri"/>
                <w:color w:val="000000"/>
                <w:sz w:val="18"/>
                <w:szCs w:val="18"/>
              </w:rPr>
            </w:pPr>
          </w:p>
        </w:tc>
        <w:tc>
          <w:tcPr>
            <w:tcW w:w="1352" w:type="dxa"/>
            <w:hideMark/>
          </w:tcPr>
          <w:p w14:paraId="4C494C11" w14:textId="77777777" w:rsidR="00794FB4" w:rsidRPr="006F7CF0" w:rsidRDefault="00794FB4" w:rsidP="00C1426D">
            <w:pPr>
              <w:jc w:val="center"/>
              <w:rPr>
                <w:rFonts w:ascii="Calibri" w:hAnsi="Calibri" w:cs="Calibri"/>
                <w:color w:val="000000"/>
                <w:sz w:val="18"/>
                <w:szCs w:val="18"/>
              </w:rPr>
            </w:pPr>
            <w:proofErr w:type="spellStart"/>
            <w:r w:rsidRPr="006F7CF0">
              <w:rPr>
                <w:rFonts w:ascii="Calibri" w:hAnsi="Calibri" w:cs="Calibri"/>
                <w:color w:val="000000"/>
                <w:sz w:val="18"/>
                <w:szCs w:val="18"/>
              </w:rPr>
              <w:t>lipidomics</w:t>
            </w:r>
            <w:proofErr w:type="spellEnd"/>
          </w:p>
        </w:tc>
        <w:tc>
          <w:tcPr>
            <w:tcW w:w="1751" w:type="dxa"/>
            <w:hideMark/>
          </w:tcPr>
          <w:p w14:paraId="32F81905"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 xml:space="preserve">Mass spectrometry-based assay -discovery </w:t>
            </w:r>
            <w:proofErr w:type="spellStart"/>
            <w:r w:rsidRPr="006F7CF0">
              <w:rPr>
                <w:rFonts w:ascii="Calibri" w:hAnsi="Calibri" w:cs="Calibri"/>
                <w:color w:val="000000"/>
                <w:sz w:val="18"/>
                <w:szCs w:val="18"/>
              </w:rPr>
              <w:t>lipidomics</w:t>
            </w:r>
            <w:proofErr w:type="spellEnd"/>
            <w:r w:rsidRPr="006F7CF0">
              <w:rPr>
                <w:rFonts w:ascii="Calibri" w:hAnsi="Calibri" w:cs="Calibri"/>
                <w:color w:val="000000"/>
                <w:sz w:val="18"/>
                <w:szCs w:val="18"/>
              </w:rPr>
              <w:t>;                                                             646 lipids measured</w:t>
            </w:r>
          </w:p>
        </w:tc>
        <w:tc>
          <w:tcPr>
            <w:tcW w:w="3260" w:type="dxa"/>
            <w:hideMark/>
          </w:tcPr>
          <w:p w14:paraId="72E49D6B"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168 plasma lipids were statistically associated with COVID-19 status</w:t>
            </w:r>
          </w:p>
        </w:tc>
      </w:tr>
      <w:tr w:rsidR="00794FB4" w:rsidRPr="006F7CF0" w14:paraId="1064F1DA" w14:textId="77777777" w:rsidTr="00794FB4">
        <w:trPr>
          <w:trHeight w:val="1387"/>
        </w:trPr>
        <w:tc>
          <w:tcPr>
            <w:tcW w:w="973" w:type="dxa"/>
            <w:vMerge/>
            <w:hideMark/>
          </w:tcPr>
          <w:p w14:paraId="646893ED" w14:textId="77777777" w:rsidR="00794FB4" w:rsidRPr="006F7CF0" w:rsidRDefault="00794FB4" w:rsidP="00C1426D">
            <w:pPr>
              <w:rPr>
                <w:rFonts w:ascii="Calibri" w:hAnsi="Calibri" w:cs="Calibri"/>
                <w:b/>
                <w:bCs/>
                <w:color w:val="000000"/>
                <w:sz w:val="18"/>
                <w:szCs w:val="18"/>
              </w:rPr>
            </w:pPr>
          </w:p>
        </w:tc>
        <w:tc>
          <w:tcPr>
            <w:tcW w:w="798" w:type="dxa"/>
            <w:vMerge/>
            <w:hideMark/>
          </w:tcPr>
          <w:p w14:paraId="1AFFD63F" w14:textId="77777777" w:rsidR="00794FB4" w:rsidRPr="006F7CF0" w:rsidRDefault="00794FB4" w:rsidP="00C1426D">
            <w:pPr>
              <w:rPr>
                <w:rFonts w:ascii="Calibri" w:hAnsi="Calibri" w:cs="Calibri"/>
                <w:color w:val="000000"/>
                <w:sz w:val="18"/>
                <w:szCs w:val="18"/>
              </w:rPr>
            </w:pPr>
          </w:p>
        </w:tc>
        <w:tc>
          <w:tcPr>
            <w:tcW w:w="1326" w:type="dxa"/>
            <w:vMerge/>
            <w:hideMark/>
          </w:tcPr>
          <w:p w14:paraId="63CAFEFC" w14:textId="77777777" w:rsidR="00794FB4" w:rsidRPr="006F7CF0" w:rsidRDefault="00794FB4" w:rsidP="00C1426D">
            <w:pPr>
              <w:rPr>
                <w:rFonts w:ascii="Calibri" w:hAnsi="Calibri" w:cs="Calibri"/>
                <w:color w:val="000000"/>
                <w:sz w:val="18"/>
                <w:szCs w:val="18"/>
              </w:rPr>
            </w:pPr>
          </w:p>
        </w:tc>
        <w:tc>
          <w:tcPr>
            <w:tcW w:w="1014" w:type="dxa"/>
            <w:vMerge/>
            <w:hideMark/>
          </w:tcPr>
          <w:p w14:paraId="7DA4EA0D" w14:textId="77777777" w:rsidR="00794FB4" w:rsidRPr="006F7CF0" w:rsidRDefault="00794FB4" w:rsidP="00C1426D">
            <w:pPr>
              <w:rPr>
                <w:rFonts w:ascii="Calibri" w:hAnsi="Calibri" w:cs="Calibri"/>
                <w:color w:val="000000"/>
                <w:sz w:val="18"/>
                <w:szCs w:val="18"/>
              </w:rPr>
            </w:pPr>
          </w:p>
        </w:tc>
        <w:tc>
          <w:tcPr>
            <w:tcW w:w="997" w:type="dxa"/>
            <w:hideMark/>
          </w:tcPr>
          <w:p w14:paraId="3AB3F321"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blood plasma</w:t>
            </w:r>
          </w:p>
        </w:tc>
        <w:tc>
          <w:tcPr>
            <w:tcW w:w="1145" w:type="dxa"/>
            <w:vMerge/>
            <w:hideMark/>
          </w:tcPr>
          <w:p w14:paraId="2482FCF3" w14:textId="77777777" w:rsidR="00794FB4" w:rsidRPr="006F7CF0" w:rsidRDefault="00794FB4" w:rsidP="00C1426D">
            <w:pPr>
              <w:rPr>
                <w:rFonts w:ascii="Calibri" w:hAnsi="Calibri" w:cs="Calibri"/>
                <w:color w:val="000000"/>
                <w:sz w:val="18"/>
                <w:szCs w:val="18"/>
              </w:rPr>
            </w:pPr>
          </w:p>
        </w:tc>
        <w:tc>
          <w:tcPr>
            <w:tcW w:w="1686" w:type="dxa"/>
            <w:vMerge/>
            <w:hideMark/>
          </w:tcPr>
          <w:p w14:paraId="502EC673" w14:textId="77777777" w:rsidR="00794FB4" w:rsidRPr="006F7CF0" w:rsidRDefault="00794FB4" w:rsidP="00C1426D">
            <w:pPr>
              <w:rPr>
                <w:rFonts w:ascii="Calibri" w:hAnsi="Calibri" w:cs="Calibri"/>
                <w:color w:val="000000"/>
                <w:sz w:val="18"/>
                <w:szCs w:val="18"/>
              </w:rPr>
            </w:pPr>
          </w:p>
        </w:tc>
        <w:tc>
          <w:tcPr>
            <w:tcW w:w="1291" w:type="dxa"/>
            <w:vMerge/>
            <w:hideMark/>
          </w:tcPr>
          <w:p w14:paraId="2D801141" w14:textId="77777777" w:rsidR="00794FB4" w:rsidRPr="006F7CF0" w:rsidRDefault="00794FB4" w:rsidP="00C1426D">
            <w:pPr>
              <w:rPr>
                <w:rFonts w:ascii="Calibri" w:hAnsi="Calibri" w:cs="Calibri"/>
                <w:color w:val="000000"/>
                <w:sz w:val="18"/>
                <w:szCs w:val="18"/>
              </w:rPr>
            </w:pPr>
          </w:p>
        </w:tc>
        <w:tc>
          <w:tcPr>
            <w:tcW w:w="1352" w:type="dxa"/>
            <w:hideMark/>
          </w:tcPr>
          <w:p w14:paraId="2522BE89"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proteomics</w:t>
            </w:r>
          </w:p>
        </w:tc>
        <w:tc>
          <w:tcPr>
            <w:tcW w:w="1751" w:type="dxa"/>
            <w:hideMark/>
          </w:tcPr>
          <w:p w14:paraId="40F45208"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 xml:space="preserve">Mass spectrometry-based assay - </w:t>
            </w:r>
            <w:proofErr w:type="spellStart"/>
            <w:r w:rsidRPr="006F7CF0">
              <w:rPr>
                <w:rFonts w:ascii="Calibri" w:hAnsi="Calibri" w:cs="Calibri"/>
                <w:color w:val="000000"/>
                <w:sz w:val="18"/>
                <w:szCs w:val="18"/>
              </w:rPr>
              <w:t>Shortgun</w:t>
            </w:r>
            <w:proofErr w:type="spellEnd"/>
            <w:r w:rsidRPr="006F7CF0">
              <w:rPr>
                <w:rFonts w:ascii="Calibri" w:hAnsi="Calibri" w:cs="Calibri"/>
                <w:color w:val="000000"/>
                <w:sz w:val="18"/>
                <w:szCs w:val="18"/>
              </w:rPr>
              <w:t xml:space="preserve"> proteomics;                                                               517 proteins measured</w:t>
            </w:r>
          </w:p>
        </w:tc>
        <w:tc>
          <w:tcPr>
            <w:tcW w:w="3260" w:type="dxa"/>
            <w:hideMark/>
          </w:tcPr>
          <w:p w14:paraId="77FBC296"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146 plasma proteins were significantly associated with COVID-19 status</w:t>
            </w:r>
          </w:p>
        </w:tc>
      </w:tr>
      <w:tr w:rsidR="00794FB4" w:rsidRPr="006F7CF0" w14:paraId="0C86DA79" w14:textId="77777777" w:rsidTr="00794FB4">
        <w:trPr>
          <w:trHeight w:val="1635"/>
        </w:trPr>
        <w:tc>
          <w:tcPr>
            <w:tcW w:w="973" w:type="dxa"/>
            <w:vMerge/>
            <w:hideMark/>
          </w:tcPr>
          <w:p w14:paraId="0B9EE754" w14:textId="77777777" w:rsidR="00794FB4" w:rsidRPr="006F7CF0" w:rsidRDefault="00794FB4" w:rsidP="00C1426D">
            <w:pPr>
              <w:rPr>
                <w:rFonts w:ascii="Calibri" w:hAnsi="Calibri" w:cs="Calibri"/>
                <w:b/>
                <w:bCs/>
                <w:color w:val="000000"/>
                <w:sz w:val="18"/>
                <w:szCs w:val="18"/>
              </w:rPr>
            </w:pPr>
          </w:p>
        </w:tc>
        <w:tc>
          <w:tcPr>
            <w:tcW w:w="798" w:type="dxa"/>
            <w:vMerge/>
            <w:hideMark/>
          </w:tcPr>
          <w:p w14:paraId="6A1D3EA8" w14:textId="77777777" w:rsidR="00794FB4" w:rsidRPr="006F7CF0" w:rsidRDefault="00794FB4" w:rsidP="00C1426D">
            <w:pPr>
              <w:rPr>
                <w:rFonts w:ascii="Calibri" w:hAnsi="Calibri" w:cs="Calibri"/>
                <w:color w:val="000000"/>
                <w:sz w:val="18"/>
                <w:szCs w:val="18"/>
              </w:rPr>
            </w:pPr>
          </w:p>
        </w:tc>
        <w:tc>
          <w:tcPr>
            <w:tcW w:w="1326" w:type="dxa"/>
            <w:vMerge/>
            <w:hideMark/>
          </w:tcPr>
          <w:p w14:paraId="7EF99542" w14:textId="77777777" w:rsidR="00794FB4" w:rsidRPr="006F7CF0" w:rsidRDefault="00794FB4" w:rsidP="00C1426D">
            <w:pPr>
              <w:rPr>
                <w:rFonts w:ascii="Calibri" w:hAnsi="Calibri" w:cs="Calibri"/>
                <w:color w:val="000000"/>
                <w:sz w:val="18"/>
                <w:szCs w:val="18"/>
              </w:rPr>
            </w:pPr>
          </w:p>
        </w:tc>
        <w:tc>
          <w:tcPr>
            <w:tcW w:w="1014" w:type="dxa"/>
            <w:vMerge/>
            <w:hideMark/>
          </w:tcPr>
          <w:p w14:paraId="47E00A33" w14:textId="77777777" w:rsidR="00794FB4" w:rsidRPr="006F7CF0" w:rsidRDefault="00794FB4" w:rsidP="00C1426D">
            <w:pPr>
              <w:rPr>
                <w:rFonts w:ascii="Calibri" w:hAnsi="Calibri" w:cs="Calibri"/>
                <w:color w:val="000000"/>
                <w:sz w:val="18"/>
                <w:szCs w:val="18"/>
              </w:rPr>
            </w:pPr>
          </w:p>
        </w:tc>
        <w:tc>
          <w:tcPr>
            <w:tcW w:w="997" w:type="dxa"/>
            <w:hideMark/>
          </w:tcPr>
          <w:p w14:paraId="78F41EDD"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 xml:space="preserve">leukocytes derived from </w:t>
            </w:r>
            <w:proofErr w:type="spellStart"/>
            <w:r w:rsidRPr="006F7CF0">
              <w:rPr>
                <w:rFonts w:ascii="Calibri" w:hAnsi="Calibri" w:cs="Calibri"/>
                <w:color w:val="000000"/>
                <w:sz w:val="18"/>
                <w:szCs w:val="18"/>
              </w:rPr>
              <w:t>paitient</w:t>
            </w:r>
            <w:proofErr w:type="spellEnd"/>
            <w:r w:rsidRPr="006F7CF0">
              <w:rPr>
                <w:rFonts w:ascii="Calibri" w:hAnsi="Calibri" w:cs="Calibri"/>
                <w:color w:val="000000"/>
                <w:sz w:val="18"/>
                <w:szCs w:val="18"/>
              </w:rPr>
              <w:t xml:space="preserve"> blood samples</w:t>
            </w:r>
          </w:p>
        </w:tc>
        <w:tc>
          <w:tcPr>
            <w:tcW w:w="1145" w:type="dxa"/>
            <w:vMerge/>
            <w:hideMark/>
          </w:tcPr>
          <w:p w14:paraId="48510A68" w14:textId="77777777" w:rsidR="00794FB4" w:rsidRPr="006F7CF0" w:rsidRDefault="00794FB4" w:rsidP="00C1426D">
            <w:pPr>
              <w:rPr>
                <w:rFonts w:ascii="Calibri" w:hAnsi="Calibri" w:cs="Calibri"/>
                <w:color w:val="000000"/>
                <w:sz w:val="18"/>
                <w:szCs w:val="18"/>
              </w:rPr>
            </w:pPr>
          </w:p>
        </w:tc>
        <w:tc>
          <w:tcPr>
            <w:tcW w:w="1686" w:type="dxa"/>
            <w:vMerge/>
            <w:hideMark/>
          </w:tcPr>
          <w:p w14:paraId="68091703" w14:textId="77777777" w:rsidR="00794FB4" w:rsidRPr="006F7CF0" w:rsidRDefault="00794FB4" w:rsidP="00C1426D">
            <w:pPr>
              <w:rPr>
                <w:rFonts w:ascii="Calibri" w:hAnsi="Calibri" w:cs="Calibri"/>
                <w:color w:val="000000"/>
                <w:sz w:val="18"/>
                <w:szCs w:val="18"/>
              </w:rPr>
            </w:pPr>
          </w:p>
        </w:tc>
        <w:tc>
          <w:tcPr>
            <w:tcW w:w="1291" w:type="dxa"/>
            <w:vMerge/>
            <w:hideMark/>
          </w:tcPr>
          <w:p w14:paraId="3FC4C91F" w14:textId="77777777" w:rsidR="00794FB4" w:rsidRPr="006F7CF0" w:rsidRDefault="00794FB4" w:rsidP="00C1426D">
            <w:pPr>
              <w:rPr>
                <w:rFonts w:ascii="Calibri" w:hAnsi="Calibri" w:cs="Calibri"/>
                <w:color w:val="000000"/>
                <w:sz w:val="18"/>
                <w:szCs w:val="18"/>
              </w:rPr>
            </w:pPr>
          </w:p>
        </w:tc>
        <w:tc>
          <w:tcPr>
            <w:tcW w:w="1352" w:type="dxa"/>
            <w:hideMark/>
          </w:tcPr>
          <w:p w14:paraId="7B648DD7"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transcriptomics</w:t>
            </w:r>
          </w:p>
        </w:tc>
        <w:tc>
          <w:tcPr>
            <w:tcW w:w="1751" w:type="dxa"/>
            <w:hideMark/>
          </w:tcPr>
          <w:p w14:paraId="5BA25A4E"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transcriptomes of leukocytes;                                                                                           13263 transcripts measured</w:t>
            </w:r>
          </w:p>
        </w:tc>
        <w:tc>
          <w:tcPr>
            <w:tcW w:w="3260" w:type="dxa"/>
            <w:hideMark/>
          </w:tcPr>
          <w:p w14:paraId="7E6F3D12"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2537 leucocyte transcripts were significantly associated with COVID-19 status</w:t>
            </w:r>
          </w:p>
        </w:tc>
      </w:tr>
      <w:tr w:rsidR="00794FB4" w:rsidRPr="006F7CF0" w14:paraId="1D2AC28A" w14:textId="77777777" w:rsidTr="00794FB4">
        <w:trPr>
          <w:trHeight w:val="1500"/>
        </w:trPr>
        <w:tc>
          <w:tcPr>
            <w:tcW w:w="973" w:type="dxa"/>
            <w:vMerge/>
            <w:hideMark/>
          </w:tcPr>
          <w:p w14:paraId="2C77FC0C" w14:textId="77777777" w:rsidR="00794FB4" w:rsidRPr="006F7CF0" w:rsidRDefault="00794FB4" w:rsidP="00C1426D">
            <w:pPr>
              <w:rPr>
                <w:rFonts w:ascii="Calibri" w:hAnsi="Calibri" w:cs="Calibri"/>
                <w:b/>
                <w:bCs/>
                <w:color w:val="000000"/>
                <w:sz w:val="18"/>
                <w:szCs w:val="18"/>
              </w:rPr>
            </w:pPr>
          </w:p>
        </w:tc>
        <w:tc>
          <w:tcPr>
            <w:tcW w:w="798" w:type="dxa"/>
            <w:vMerge/>
            <w:hideMark/>
          </w:tcPr>
          <w:p w14:paraId="120D12A8" w14:textId="77777777" w:rsidR="00794FB4" w:rsidRPr="006F7CF0" w:rsidRDefault="00794FB4" w:rsidP="00C1426D">
            <w:pPr>
              <w:rPr>
                <w:rFonts w:ascii="Calibri" w:hAnsi="Calibri" w:cs="Calibri"/>
                <w:color w:val="000000"/>
                <w:sz w:val="18"/>
                <w:szCs w:val="18"/>
              </w:rPr>
            </w:pPr>
          </w:p>
        </w:tc>
        <w:tc>
          <w:tcPr>
            <w:tcW w:w="1326" w:type="dxa"/>
            <w:vMerge/>
            <w:hideMark/>
          </w:tcPr>
          <w:p w14:paraId="1A9176A6" w14:textId="77777777" w:rsidR="00794FB4" w:rsidRPr="006F7CF0" w:rsidRDefault="00794FB4" w:rsidP="00C1426D">
            <w:pPr>
              <w:rPr>
                <w:rFonts w:ascii="Calibri" w:hAnsi="Calibri" w:cs="Calibri"/>
                <w:color w:val="000000"/>
                <w:sz w:val="18"/>
                <w:szCs w:val="18"/>
              </w:rPr>
            </w:pPr>
          </w:p>
        </w:tc>
        <w:tc>
          <w:tcPr>
            <w:tcW w:w="1014" w:type="dxa"/>
            <w:vMerge/>
            <w:hideMark/>
          </w:tcPr>
          <w:p w14:paraId="598179F2" w14:textId="77777777" w:rsidR="00794FB4" w:rsidRPr="006F7CF0" w:rsidRDefault="00794FB4" w:rsidP="00C1426D">
            <w:pPr>
              <w:rPr>
                <w:rFonts w:ascii="Calibri" w:hAnsi="Calibri" w:cs="Calibri"/>
                <w:color w:val="000000"/>
                <w:sz w:val="18"/>
                <w:szCs w:val="18"/>
              </w:rPr>
            </w:pPr>
          </w:p>
        </w:tc>
        <w:tc>
          <w:tcPr>
            <w:tcW w:w="997" w:type="dxa"/>
            <w:hideMark/>
          </w:tcPr>
          <w:p w14:paraId="5730293B" w14:textId="77777777" w:rsidR="00794FB4" w:rsidRPr="006F7CF0" w:rsidRDefault="00794FB4" w:rsidP="00C1426D">
            <w:pPr>
              <w:jc w:val="center"/>
              <w:rPr>
                <w:rFonts w:ascii="Calibri" w:hAnsi="Calibri" w:cs="Calibri"/>
                <w:color w:val="000000"/>
                <w:sz w:val="18"/>
                <w:szCs w:val="18"/>
              </w:rPr>
            </w:pPr>
          </w:p>
        </w:tc>
        <w:tc>
          <w:tcPr>
            <w:tcW w:w="1145" w:type="dxa"/>
            <w:vMerge/>
            <w:hideMark/>
          </w:tcPr>
          <w:p w14:paraId="6DAAA0FC" w14:textId="77777777" w:rsidR="00794FB4" w:rsidRPr="006F7CF0" w:rsidRDefault="00794FB4" w:rsidP="00C1426D">
            <w:pPr>
              <w:rPr>
                <w:rFonts w:ascii="Calibri" w:hAnsi="Calibri" w:cs="Calibri"/>
                <w:color w:val="000000"/>
                <w:sz w:val="18"/>
                <w:szCs w:val="18"/>
              </w:rPr>
            </w:pPr>
          </w:p>
        </w:tc>
        <w:tc>
          <w:tcPr>
            <w:tcW w:w="1686" w:type="dxa"/>
            <w:vMerge/>
            <w:hideMark/>
          </w:tcPr>
          <w:p w14:paraId="45EEDA9C" w14:textId="77777777" w:rsidR="00794FB4" w:rsidRPr="006F7CF0" w:rsidRDefault="00794FB4" w:rsidP="00C1426D">
            <w:pPr>
              <w:rPr>
                <w:rFonts w:ascii="Calibri" w:hAnsi="Calibri" w:cs="Calibri"/>
                <w:color w:val="000000"/>
                <w:sz w:val="18"/>
                <w:szCs w:val="18"/>
              </w:rPr>
            </w:pPr>
          </w:p>
        </w:tc>
        <w:tc>
          <w:tcPr>
            <w:tcW w:w="1291" w:type="dxa"/>
            <w:vMerge/>
            <w:hideMark/>
          </w:tcPr>
          <w:p w14:paraId="77455E45" w14:textId="77777777" w:rsidR="00794FB4" w:rsidRPr="006F7CF0" w:rsidRDefault="00794FB4" w:rsidP="00C1426D">
            <w:pPr>
              <w:rPr>
                <w:rFonts w:ascii="Calibri" w:hAnsi="Calibri" w:cs="Calibri"/>
                <w:color w:val="000000"/>
                <w:sz w:val="18"/>
                <w:szCs w:val="18"/>
              </w:rPr>
            </w:pPr>
          </w:p>
        </w:tc>
        <w:tc>
          <w:tcPr>
            <w:tcW w:w="1352" w:type="dxa"/>
            <w:hideMark/>
          </w:tcPr>
          <w:p w14:paraId="3B3E87D6" w14:textId="77777777" w:rsidR="00794FB4" w:rsidRPr="006F7CF0" w:rsidRDefault="00794FB4" w:rsidP="00C1426D">
            <w:pPr>
              <w:jc w:val="center"/>
              <w:rPr>
                <w:rFonts w:ascii="Calibri" w:hAnsi="Calibri" w:cs="Calibri"/>
                <w:color w:val="000000"/>
                <w:sz w:val="18"/>
                <w:szCs w:val="18"/>
              </w:rPr>
            </w:pPr>
          </w:p>
        </w:tc>
        <w:tc>
          <w:tcPr>
            <w:tcW w:w="1751" w:type="dxa"/>
            <w:hideMark/>
          </w:tcPr>
          <w:p w14:paraId="68EDDF80"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Mass spectrometry-based assay                                                2786 unidentified small molecules</w:t>
            </w:r>
          </w:p>
        </w:tc>
        <w:tc>
          <w:tcPr>
            <w:tcW w:w="3260" w:type="dxa"/>
            <w:hideMark/>
          </w:tcPr>
          <w:p w14:paraId="08A42BA3" w14:textId="77777777" w:rsidR="00794FB4" w:rsidRPr="006F7CF0" w:rsidRDefault="00794FB4" w:rsidP="00C1426D">
            <w:pPr>
              <w:jc w:val="center"/>
              <w:rPr>
                <w:rFonts w:ascii="Calibri" w:hAnsi="Calibri" w:cs="Calibri"/>
                <w:color w:val="000000"/>
                <w:sz w:val="18"/>
                <w:szCs w:val="18"/>
              </w:rPr>
            </w:pPr>
            <w:r w:rsidRPr="006F7CF0">
              <w:rPr>
                <w:rFonts w:ascii="Calibri" w:hAnsi="Calibri" w:cs="Calibri"/>
                <w:color w:val="000000"/>
                <w:sz w:val="18"/>
                <w:szCs w:val="18"/>
              </w:rPr>
              <w:t>511 unidentified metabolites and lipids were significantly associated with COVID-19 diagnosis</w:t>
            </w:r>
          </w:p>
        </w:tc>
      </w:tr>
    </w:tbl>
    <w:p w14:paraId="0F9BAFD2" w14:textId="77777777" w:rsidR="008551CE" w:rsidRDefault="008551CE" w:rsidP="008551CE"/>
    <w:p w14:paraId="6AF24EA9" w14:textId="77777777" w:rsidR="008551CE" w:rsidRDefault="008551CE" w:rsidP="00912B45">
      <w:pPr>
        <w:pStyle w:val="Heading1"/>
        <w:rPr>
          <w:rFonts w:ascii="Arial" w:eastAsia="Arial" w:hAnsi="Arial" w:cs="Arial"/>
          <w:b/>
          <w:bCs/>
          <w:i/>
          <w:iCs/>
          <w:sz w:val="24"/>
          <w:szCs w:val="24"/>
        </w:rPr>
        <w:sectPr w:rsidR="008551CE" w:rsidSect="008551CE">
          <w:pgSz w:w="16838" w:h="11906" w:orient="landscape"/>
          <w:pgMar w:top="1440" w:right="1440" w:bottom="1440" w:left="1440" w:header="709" w:footer="709" w:gutter="0"/>
          <w:cols w:space="720"/>
        </w:sectPr>
      </w:pPr>
    </w:p>
    <w:p w14:paraId="3BA5CA66" w14:textId="77777777" w:rsidR="005F5F51" w:rsidRPr="00647AB5" w:rsidRDefault="005F5F51" w:rsidP="005F5F51">
      <w:pPr>
        <w:pStyle w:val="Heading1"/>
        <w:rPr>
          <w:rFonts w:ascii="Arial" w:eastAsia="Arial" w:hAnsi="Arial" w:cs="Arial"/>
          <w:b/>
          <w:color w:val="auto"/>
          <w:sz w:val="22"/>
          <w:szCs w:val="22"/>
        </w:rPr>
      </w:pPr>
      <w:r w:rsidRPr="00647AB5">
        <w:rPr>
          <w:rFonts w:ascii="Arial" w:eastAsia="Arial" w:hAnsi="Arial" w:cs="Arial"/>
          <w:b/>
          <w:color w:val="auto"/>
          <w:sz w:val="22"/>
          <w:szCs w:val="22"/>
        </w:rPr>
        <w:lastRenderedPageBreak/>
        <w:t>Materials and Methods</w:t>
      </w:r>
    </w:p>
    <w:p w14:paraId="62BB046E" w14:textId="35A65508" w:rsidR="005F5F51" w:rsidRDefault="005F5F51" w:rsidP="00912B45">
      <w:pPr>
        <w:pStyle w:val="Heading1"/>
        <w:rPr>
          <w:rFonts w:ascii="Arial" w:eastAsia="Arial" w:hAnsi="Arial" w:cs="Arial"/>
          <w:b/>
          <w:i/>
          <w:color w:val="auto"/>
          <w:sz w:val="22"/>
          <w:szCs w:val="22"/>
          <w:lang w:eastAsia="en-US"/>
        </w:rPr>
      </w:pPr>
      <w:r w:rsidRPr="00647AB5">
        <w:rPr>
          <w:rFonts w:ascii="Arial" w:eastAsia="Arial" w:hAnsi="Arial" w:cs="Arial"/>
          <w:b/>
          <w:i/>
          <w:color w:val="auto"/>
          <w:sz w:val="22"/>
          <w:szCs w:val="22"/>
          <w:lang w:eastAsia="en-US"/>
        </w:rPr>
        <w:t>Identifying seed nodes for multi-layered network exploration</w:t>
      </w:r>
    </w:p>
    <w:p w14:paraId="7E3F15F0" w14:textId="47E0EA8B" w:rsidR="005F5F51" w:rsidRPr="00647AB5" w:rsidRDefault="005F5F51" w:rsidP="005F5F51">
      <w:pPr>
        <w:pStyle w:val="Heading2"/>
        <w:jc w:val="both"/>
        <w:rPr>
          <w:rFonts w:ascii="Arial" w:hAnsi="Arial" w:cs="Arial"/>
          <w:sz w:val="22"/>
          <w:szCs w:val="22"/>
        </w:rPr>
      </w:pPr>
      <w:r w:rsidRPr="00647AB5">
        <w:rPr>
          <w:rFonts w:ascii="Arial" w:eastAsia="Arial" w:hAnsi="Arial" w:cs="Arial"/>
          <w:color w:val="000000"/>
          <w:sz w:val="22"/>
          <w:szCs w:val="22"/>
        </w:rPr>
        <w:t>The</w:t>
      </w:r>
      <w:r>
        <w:rPr>
          <w:rFonts w:ascii="Arial" w:eastAsia="Arial" w:hAnsi="Arial" w:cs="Arial"/>
          <w:color w:val="000000"/>
          <w:sz w:val="22"/>
          <w:szCs w:val="22"/>
        </w:rPr>
        <w:t xml:space="preserve"> node degree, closeness, betweenness and eigenvector</w:t>
      </w:r>
      <w:r w:rsidRPr="00647AB5">
        <w:rPr>
          <w:rFonts w:ascii="Arial" w:eastAsia="Arial" w:hAnsi="Arial" w:cs="Arial"/>
          <w:color w:val="000000"/>
          <w:sz w:val="22"/>
          <w:szCs w:val="22"/>
        </w:rPr>
        <w:t xml:space="preserve"> centrality metrics were computed using the </w:t>
      </w:r>
      <w:proofErr w:type="spellStart"/>
      <w:r w:rsidRPr="00647AB5">
        <w:rPr>
          <w:rFonts w:ascii="Arial" w:eastAsia="Arial" w:hAnsi="Arial" w:cs="Arial"/>
          <w:color w:val="000000"/>
          <w:sz w:val="22"/>
          <w:szCs w:val="22"/>
        </w:rPr>
        <w:t>igraph</w:t>
      </w:r>
      <w:proofErr w:type="spellEnd"/>
      <w:r w:rsidRPr="00647AB5">
        <w:rPr>
          <w:rFonts w:ascii="Arial" w:eastAsia="Arial" w:hAnsi="Arial" w:cs="Arial"/>
          <w:color w:val="000000"/>
          <w:sz w:val="22"/>
          <w:szCs w:val="22"/>
        </w:rPr>
        <w:t xml:space="preserve"> package in R. The integrated centrality score measures the difference among centralities for each node and describes the average distance. </w:t>
      </w:r>
    </w:p>
    <w:p w14:paraId="553988BB" w14:textId="77777777" w:rsidR="005F5F51" w:rsidRPr="00647AB5" w:rsidRDefault="005F5F51" w:rsidP="005F5F51">
      <w:pPr>
        <w:jc w:val="both"/>
        <w:rPr>
          <w:rFonts w:ascii="Arial" w:hAnsi="Arial" w:cs="Arial"/>
          <w:sz w:val="22"/>
          <w:szCs w:val="22"/>
        </w:rPr>
      </w:pPr>
      <w:r w:rsidRPr="00647AB5">
        <w:rPr>
          <w:rFonts w:ascii="Arial" w:eastAsia="Arial" w:hAnsi="Arial" w:cs="Arial"/>
          <w:sz w:val="22"/>
          <w:szCs w:val="22"/>
        </w:rPr>
        <w:t xml:space="preserve">Let </w:t>
      </w:r>
      <m:oMath>
        <m:sSubSup>
          <m:sSubSupPr>
            <m:ctrlPr>
              <w:rPr>
                <w:rFonts w:ascii="Cambria Math" w:eastAsia="Cambria Math" w:hAnsi="Cambria Math" w:cs="Arial"/>
                <w:sz w:val="22"/>
                <w:szCs w:val="22"/>
              </w:rPr>
            </m:ctrlPr>
          </m:sSubSupPr>
          <m:e>
            <m:r>
              <w:rPr>
                <w:rFonts w:ascii="Cambria Math" w:eastAsia="Cambria Math" w:hAnsi="Cambria Math" w:cs="Arial"/>
                <w:sz w:val="22"/>
                <w:szCs w:val="22"/>
              </w:rPr>
              <m:t>C</m:t>
            </m:r>
          </m:e>
          <m:sub>
            <m:r>
              <w:rPr>
                <w:rFonts w:ascii="Cambria Math" w:eastAsia="Cambria Math" w:hAnsi="Cambria Math" w:cs="Arial"/>
                <w:sz w:val="22"/>
                <w:szCs w:val="22"/>
              </w:rPr>
              <m:t>i</m:t>
            </m:r>
          </m:sub>
          <m:sup>
            <m:r>
              <w:rPr>
                <w:rFonts w:ascii="Cambria Math" w:eastAsia="Cambria Math" w:hAnsi="Cambria Math" w:cs="Arial"/>
                <w:sz w:val="22"/>
                <w:szCs w:val="22"/>
              </w:rPr>
              <m:t>j</m:t>
            </m:r>
          </m:sup>
        </m:sSubSup>
      </m:oMath>
      <w:r w:rsidRPr="00647AB5">
        <w:rPr>
          <w:rFonts w:ascii="Arial" w:eastAsia="Arial" w:hAnsi="Arial" w:cs="Arial"/>
          <w:sz w:val="22"/>
          <w:szCs w:val="22"/>
        </w:rPr>
        <w:t xml:space="preserve"> represent </w:t>
      </w:r>
      <w:r w:rsidRPr="008D7466">
        <w:rPr>
          <w:rFonts w:ascii="Arial" w:eastAsia="Arial" w:hAnsi="Arial" w:cs="Arial"/>
          <w:sz w:val="22"/>
          <w:szCs w:val="22"/>
        </w:rPr>
        <w:t xml:space="preserve">the </w:t>
      </w:r>
      <w:r w:rsidRPr="00647AB5">
        <w:rPr>
          <w:rFonts w:ascii="Arial" w:eastAsia="Arial" w:hAnsi="Arial" w:cs="Arial"/>
          <w:sz w:val="22"/>
          <w:szCs w:val="22"/>
        </w:rPr>
        <w:t xml:space="preserve">centrality score calculated for each node </w:t>
      </w:r>
      <m:oMath>
        <m:sSub>
          <m:sSubPr>
            <m:ctrlPr>
              <w:rPr>
                <w:rFonts w:ascii="Cambria Math" w:eastAsia="Cambria Math" w:hAnsi="Cambria Math" w:cs="Arial"/>
                <w:sz w:val="22"/>
                <w:szCs w:val="22"/>
              </w:rPr>
            </m:ctrlPr>
          </m:sSubPr>
          <m:e>
            <m:r>
              <w:rPr>
                <w:rFonts w:ascii="Cambria Math" w:eastAsia="Cambria Math" w:hAnsi="Cambria Math" w:cs="Arial"/>
                <w:sz w:val="22"/>
                <w:szCs w:val="22"/>
              </w:rPr>
              <m:t>V</m:t>
            </m:r>
          </m:e>
          <m:sub>
            <m:r>
              <w:rPr>
                <w:rFonts w:ascii="Cambria Math" w:eastAsia="Cambria Math" w:hAnsi="Cambria Math" w:cs="Arial"/>
                <w:sz w:val="22"/>
                <w:szCs w:val="22"/>
              </w:rPr>
              <m:t>j</m:t>
            </m:r>
          </m:sub>
        </m:sSub>
        <m:r>
          <w:rPr>
            <w:rFonts w:ascii="Cambria Math" w:eastAsia="Cambria Math" w:hAnsi="Cambria Math" w:cs="Arial"/>
            <w:sz w:val="22"/>
            <w:szCs w:val="22"/>
          </w:rPr>
          <m:t>(j=1,…,</m:t>
        </m:r>
        <m:sSub>
          <m:sSubPr>
            <m:ctrlPr>
              <w:rPr>
                <w:rFonts w:ascii="Cambria Math" w:eastAsia="Cambria Math" w:hAnsi="Cambria Math" w:cs="Arial"/>
                <w:sz w:val="22"/>
                <w:szCs w:val="22"/>
              </w:rPr>
            </m:ctrlPr>
          </m:sSubPr>
          <m:e>
            <m:r>
              <w:rPr>
                <w:rFonts w:ascii="Cambria Math" w:eastAsia="Cambria Math" w:hAnsi="Cambria Math" w:cs="Arial"/>
                <w:sz w:val="22"/>
                <w:szCs w:val="22"/>
              </w:rPr>
              <m:t>n</m:t>
            </m:r>
          </m:e>
          <m:sub>
            <m:r>
              <w:rPr>
                <w:rFonts w:ascii="Cambria Math" w:eastAsia="Cambria Math" w:hAnsi="Cambria Math" w:cs="Arial"/>
                <w:sz w:val="22"/>
                <w:szCs w:val="22"/>
              </w:rPr>
              <m:t>v</m:t>
            </m:r>
          </m:sub>
        </m:sSub>
        <m:r>
          <w:rPr>
            <w:rFonts w:ascii="Cambria Math" w:eastAsia="Cambria Math" w:hAnsi="Cambria Math" w:cs="Arial"/>
            <w:sz w:val="22"/>
            <w:szCs w:val="22"/>
          </w:rPr>
          <m:t>)</m:t>
        </m:r>
      </m:oMath>
      <w:r w:rsidRPr="00647AB5">
        <w:rPr>
          <w:rFonts w:ascii="Arial" w:eastAsia="Arial" w:hAnsi="Arial" w:cs="Arial"/>
          <w:sz w:val="22"/>
          <w:szCs w:val="22"/>
        </w:rPr>
        <w:t xml:space="preserve"> in a disease state graph</w:t>
      </w:r>
      <w:r>
        <w:rPr>
          <w:rFonts w:ascii="Arial" w:eastAsia="Arial" w:hAnsi="Arial" w:cs="Arial"/>
          <w:sz w:val="22"/>
          <w:szCs w:val="22"/>
        </w:rPr>
        <w:t>,</w:t>
      </w:r>
      <w:r w:rsidRPr="00647AB5">
        <w:rPr>
          <w:rFonts w:ascii="Arial" w:eastAsia="Arial" w:hAnsi="Arial" w:cs="Arial"/>
          <w:sz w:val="22"/>
          <w:szCs w:val="22"/>
        </w:rPr>
        <w:t xml:space="preserve"> </w:t>
      </w:r>
      <m:oMath>
        <m:sSub>
          <m:sSubPr>
            <m:ctrlPr>
              <w:rPr>
                <w:rFonts w:ascii="Cambria Math" w:eastAsia="Cambria Math" w:hAnsi="Cambria Math" w:cs="Arial"/>
                <w:sz w:val="22"/>
                <w:szCs w:val="22"/>
              </w:rPr>
            </m:ctrlPr>
          </m:sSubPr>
          <m:e>
            <m:r>
              <w:rPr>
                <w:rFonts w:ascii="Cambria Math" w:eastAsia="Cambria Math" w:hAnsi="Cambria Math" w:cs="Arial"/>
                <w:sz w:val="22"/>
                <w:szCs w:val="22"/>
              </w:rPr>
              <m:t>G</m:t>
            </m:r>
          </m:e>
          <m:sub>
            <m:r>
              <w:rPr>
                <w:rFonts w:ascii="Cambria Math" w:eastAsia="Cambria Math" w:hAnsi="Cambria Math" w:cs="Arial"/>
                <w:sz w:val="22"/>
                <w:szCs w:val="22"/>
              </w:rPr>
              <m:t>i</m:t>
            </m:r>
          </m:sub>
        </m:sSub>
      </m:oMath>
      <w:r w:rsidRPr="00647AB5">
        <w:rPr>
          <w:rFonts w:ascii="Arial" w:eastAsia="Arial" w:hAnsi="Arial" w:cs="Arial"/>
          <w:sz w:val="22"/>
          <w:szCs w:val="22"/>
        </w:rPr>
        <w:t xml:space="preserve">. The integrated node centrality score is calculated using </w:t>
      </w:r>
      <w:r w:rsidRPr="00647AB5">
        <w:rPr>
          <w:rFonts w:ascii="Arial" w:eastAsia="Arial" w:hAnsi="Arial" w:cs="Arial"/>
          <w:b/>
          <w:sz w:val="22"/>
          <w:szCs w:val="22"/>
        </w:rPr>
        <w:t xml:space="preserve">equation </w:t>
      </w:r>
      <w:r w:rsidRPr="008D7466">
        <w:rPr>
          <w:rFonts w:ascii="Arial" w:eastAsia="Arial" w:hAnsi="Arial" w:cs="Arial"/>
          <w:b/>
          <w:sz w:val="22"/>
          <w:szCs w:val="22"/>
        </w:rPr>
        <w:t>1</w:t>
      </w:r>
      <w:r w:rsidRPr="00647AB5">
        <w:rPr>
          <w:rFonts w:ascii="Arial" w:eastAsia="Arial" w:hAnsi="Arial" w:cs="Arial"/>
          <w:sz w:val="22"/>
          <w:szCs w:val="22"/>
        </w:rPr>
        <w:t>.</w:t>
      </w:r>
    </w:p>
    <w:p w14:paraId="1B3F412E" w14:textId="77777777" w:rsidR="005F5F51" w:rsidRPr="00647AB5" w:rsidRDefault="005F5F51" w:rsidP="005F5F51">
      <w:pPr>
        <w:pBdr>
          <w:top w:val="nil"/>
          <w:left w:val="nil"/>
          <w:bottom w:val="nil"/>
          <w:right w:val="nil"/>
          <w:between w:val="nil"/>
        </w:pBdr>
        <w:spacing w:after="200"/>
        <w:jc w:val="center"/>
        <w:rPr>
          <w:rFonts w:ascii="Arial" w:eastAsia="Arial" w:hAnsi="Arial" w:cs="Arial"/>
          <w:i/>
          <w:color w:val="44546A"/>
          <w:sz w:val="22"/>
          <w:szCs w:val="22"/>
        </w:rPr>
      </w:pPr>
      <m:oMath>
        <m:r>
          <w:rPr>
            <w:rFonts w:ascii="Cambria Math" w:hAnsi="Cambria Math" w:cs="Arial"/>
            <w:sz w:val="36"/>
            <w:szCs w:val="36"/>
          </w:rPr>
          <m:t>θ=</m:t>
        </m:r>
        <m:f>
          <m:fPr>
            <m:ctrlPr>
              <w:rPr>
                <w:rFonts w:ascii="Cambria Math" w:hAnsi="Cambria Math" w:cs="Arial"/>
                <w:sz w:val="36"/>
                <w:szCs w:val="36"/>
              </w:rPr>
            </m:ctrlPr>
          </m:fPr>
          <m:num>
            <m:nary>
              <m:naryPr>
                <m:chr m:val="∑"/>
                <m:limLoc m:val="subSup"/>
                <m:ctrlPr>
                  <w:rPr>
                    <w:rFonts w:ascii="Cambria Math" w:hAnsi="Cambria Math" w:cs="Arial"/>
                    <w:sz w:val="36"/>
                    <w:szCs w:val="36"/>
                  </w:rPr>
                </m:ctrlPr>
              </m:naryPr>
              <m:sub>
                <m:r>
                  <w:rPr>
                    <w:rFonts w:ascii="Cambria Math" w:hAnsi="Cambria Math" w:cs="Arial"/>
                    <w:sz w:val="36"/>
                    <w:szCs w:val="36"/>
                  </w:rPr>
                  <m:t>i=1</m:t>
                </m:r>
              </m:sub>
              <m:sup>
                <m:r>
                  <w:rPr>
                    <w:rFonts w:ascii="Cambria Math" w:hAnsi="Cambria Math" w:cs="Arial"/>
                    <w:sz w:val="36"/>
                    <w:szCs w:val="36"/>
                  </w:rPr>
                  <m:t>r</m:t>
                </m:r>
              </m:sup>
              <m:e>
                <m:sSubSup>
                  <m:sSubSupPr>
                    <m:ctrlPr>
                      <w:rPr>
                        <w:rFonts w:ascii="Cambria Math" w:hAnsi="Cambria Math" w:cs="Arial"/>
                        <w:sz w:val="36"/>
                        <w:szCs w:val="36"/>
                      </w:rPr>
                    </m:ctrlPr>
                  </m:sSubSupPr>
                  <m:e>
                    <m:r>
                      <w:rPr>
                        <w:rFonts w:ascii="Cambria Math" w:hAnsi="Cambria Math" w:cs="Arial"/>
                        <w:sz w:val="36"/>
                        <w:szCs w:val="36"/>
                      </w:rPr>
                      <m:t>D</m:t>
                    </m:r>
                  </m:e>
                  <m:sub>
                    <m:r>
                      <w:rPr>
                        <w:rFonts w:ascii="Cambria Math" w:hAnsi="Cambria Math" w:cs="Arial"/>
                        <w:sz w:val="36"/>
                        <w:szCs w:val="36"/>
                      </w:rPr>
                      <m:t>i</m:t>
                    </m:r>
                  </m:sub>
                  <m:sup>
                    <m:r>
                      <w:rPr>
                        <w:rFonts w:ascii="Cambria Math" w:hAnsi="Cambria Math" w:cs="Arial"/>
                        <w:sz w:val="36"/>
                        <w:szCs w:val="36"/>
                      </w:rPr>
                      <m:t>j</m:t>
                    </m:r>
                  </m:sup>
                </m:sSubSup>
              </m:e>
            </m:nary>
          </m:num>
          <m:den>
            <m:r>
              <w:rPr>
                <w:rFonts w:ascii="Cambria Math" w:hAnsi="Cambria Math" w:cs="Arial"/>
                <w:sz w:val="36"/>
                <w:szCs w:val="36"/>
              </w:rPr>
              <m:t>r</m:t>
            </m:r>
          </m:den>
        </m:f>
        <m:r>
          <w:rPr>
            <w:rFonts w:ascii="Cambria Math" w:hAnsi="Cambria Math" w:cs="Arial"/>
            <w:sz w:val="36"/>
            <w:szCs w:val="36"/>
          </w:rPr>
          <m:t xml:space="preserve">     </m:t>
        </m:r>
      </m:oMath>
      <w:r w:rsidRPr="00647AB5">
        <w:rPr>
          <w:rFonts w:ascii="Arial" w:eastAsia="Arial" w:hAnsi="Arial" w:cs="Arial"/>
          <w:i/>
          <w:color w:val="44546A"/>
          <w:sz w:val="22"/>
          <w:szCs w:val="22"/>
        </w:rPr>
        <w:t xml:space="preserve">Equation </w:t>
      </w:r>
      <w:r>
        <w:rPr>
          <w:rFonts w:ascii="Arial" w:eastAsia="Arial" w:hAnsi="Arial" w:cs="Arial"/>
          <w:i/>
          <w:color w:val="44546A"/>
          <w:sz w:val="22"/>
          <w:szCs w:val="22"/>
        </w:rPr>
        <w:t>1</w:t>
      </w:r>
    </w:p>
    <w:p w14:paraId="64B453FB" w14:textId="77777777" w:rsidR="005F5F51" w:rsidRPr="00647AB5" w:rsidRDefault="005F5F51" w:rsidP="005F5F51">
      <w:pPr>
        <w:rPr>
          <w:rFonts w:ascii="Arial" w:eastAsia="Arial" w:hAnsi="Arial" w:cs="Arial"/>
          <w:sz w:val="22"/>
          <w:szCs w:val="22"/>
        </w:rPr>
      </w:pPr>
      <w:r w:rsidRPr="00647AB5">
        <w:rPr>
          <w:rFonts w:ascii="Arial" w:eastAsia="Arial" w:hAnsi="Arial" w:cs="Arial"/>
          <w:sz w:val="22"/>
          <w:szCs w:val="22"/>
        </w:rPr>
        <w:t xml:space="preserve">Where </w:t>
      </w:r>
      <m:oMath>
        <m:r>
          <w:rPr>
            <w:rFonts w:ascii="Cambria Math" w:eastAsia="Cambria Math" w:hAnsi="Cambria Math" w:cs="Arial"/>
            <w:sz w:val="22"/>
            <w:szCs w:val="22"/>
          </w:rPr>
          <m:t>r</m:t>
        </m:r>
      </m:oMath>
      <w:r w:rsidRPr="00647AB5">
        <w:rPr>
          <w:rFonts w:ascii="Arial" w:eastAsia="Arial" w:hAnsi="Arial" w:cs="Arial"/>
          <w:sz w:val="22"/>
          <w:szCs w:val="22"/>
        </w:rPr>
        <w:t xml:space="preserve"> is the number of centrality measures calculated</w:t>
      </w:r>
    </w:p>
    <w:p w14:paraId="7506AEF4" w14:textId="77777777" w:rsidR="005F5F51" w:rsidRPr="00647AB5" w:rsidRDefault="00000000" w:rsidP="005F5F51">
      <w:pPr>
        <w:rPr>
          <w:rFonts w:ascii="Arial" w:eastAsia="Arial" w:hAnsi="Arial" w:cs="Arial"/>
          <w:sz w:val="22"/>
          <w:szCs w:val="22"/>
        </w:rPr>
      </w:pPr>
      <m:oMath>
        <m:sSubSup>
          <m:sSubSupPr>
            <m:ctrlPr>
              <w:rPr>
                <w:rFonts w:ascii="Cambria Math" w:eastAsia="Cambria Math" w:hAnsi="Cambria Math" w:cs="Arial"/>
                <w:sz w:val="22"/>
                <w:szCs w:val="22"/>
              </w:rPr>
            </m:ctrlPr>
          </m:sSubSupPr>
          <m:e>
            <m:r>
              <w:rPr>
                <w:rFonts w:ascii="Cambria Math" w:eastAsia="Cambria Math" w:hAnsi="Cambria Math" w:cs="Arial"/>
                <w:sz w:val="22"/>
                <w:szCs w:val="22"/>
              </w:rPr>
              <m:t>D</m:t>
            </m:r>
          </m:e>
          <m:sub>
            <m:r>
              <w:rPr>
                <w:rFonts w:ascii="Cambria Math" w:eastAsia="Cambria Math" w:hAnsi="Cambria Math" w:cs="Arial"/>
                <w:sz w:val="22"/>
                <w:szCs w:val="22"/>
              </w:rPr>
              <m:t>i</m:t>
            </m:r>
          </m:sub>
          <m:sup>
            <m:r>
              <w:rPr>
                <w:rFonts w:ascii="Cambria Math" w:eastAsia="Cambria Math" w:hAnsi="Cambria Math" w:cs="Arial"/>
                <w:sz w:val="22"/>
                <w:szCs w:val="22"/>
              </w:rPr>
              <m:t>j</m:t>
            </m:r>
          </m:sup>
        </m:sSubSup>
      </m:oMath>
      <w:r w:rsidR="005F5F51" w:rsidRPr="00647AB5">
        <w:rPr>
          <w:rFonts w:ascii="Arial" w:eastAsia="Arial" w:hAnsi="Arial" w:cs="Arial"/>
          <w:sz w:val="22"/>
          <w:szCs w:val="22"/>
        </w:rPr>
        <w:t xml:space="preserve"> (</w:t>
      </w:r>
      <w:r w:rsidR="005F5F51" w:rsidRPr="00647AB5">
        <w:rPr>
          <w:rFonts w:ascii="Arial" w:eastAsia="Arial" w:hAnsi="Arial" w:cs="Arial"/>
          <w:b/>
          <w:sz w:val="22"/>
          <w:szCs w:val="22"/>
        </w:rPr>
        <w:t xml:space="preserve">Equation </w:t>
      </w:r>
      <w:r w:rsidR="005F5F51" w:rsidRPr="008D7466">
        <w:rPr>
          <w:rFonts w:ascii="Arial" w:eastAsia="Arial" w:hAnsi="Arial" w:cs="Arial"/>
          <w:b/>
          <w:sz w:val="22"/>
          <w:szCs w:val="22"/>
        </w:rPr>
        <w:t>2</w:t>
      </w:r>
      <w:r w:rsidR="005F5F51" w:rsidRPr="00647AB5">
        <w:rPr>
          <w:rFonts w:ascii="Arial" w:eastAsia="Arial" w:hAnsi="Arial" w:cs="Arial"/>
          <w:sz w:val="22"/>
          <w:szCs w:val="22"/>
        </w:rPr>
        <w:t>) is the distance between the centrality of nodes in each graph</w:t>
      </w:r>
      <w:r w:rsidR="005F5F51" w:rsidRPr="008D7466">
        <w:rPr>
          <w:rFonts w:ascii="Arial" w:eastAsia="Arial" w:hAnsi="Arial" w:cs="Arial"/>
          <w:sz w:val="22"/>
          <w:szCs w:val="22"/>
        </w:rPr>
        <w:t>.</w:t>
      </w:r>
      <w:r w:rsidR="005F5F51" w:rsidRPr="00647AB5">
        <w:rPr>
          <w:rFonts w:ascii="Arial" w:eastAsia="Arial" w:hAnsi="Arial" w:cs="Arial"/>
          <w:sz w:val="22"/>
          <w:szCs w:val="22"/>
        </w:rPr>
        <w:t xml:space="preserve"> </w:t>
      </w:r>
    </w:p>
    <w:p w14:paraId="1C72C0A0" w14:textId="77777777" w:rsidR="005F5F51" w:rsidRPr="00647AB5" w:rsidRDefault="00000000" w:rsidP="005F5F51">
      <w:pPr>
        <w:pBdr>
          <w:top w:val="nil"/>
          <w:left w:val="nil"/>
          <w:bottom w:val="nil"/>
          <w:right w:val="nil"/>
          <w:between w:val="nil"/>
        </w:pBdr>
        <w:spacing w:after="200"/>
        <w:jc w:val="center"/>
        <w:rPr>
          <w:rFonts w:ascii="Arial" w:eastAsia="Arial" w:hAnsi="Arial" w:cs="Arial"/>
          <w:i/>
          <w:color w:val="44546A"/>
          <w:sz w:val="22"/>
          <w:szCs w:val="22"/>
        </w:rPr>
      </w:pPr>
      <m:oMath>
        <m:sSubSup>
          <m:sSubSupPr>
            <m:ctrlPr>
              <w:rPr>
                <w:rFonts w:ascii="Cambria Math" w:eastAsia="Cambria Math" w:hAnsi="Cambria Math" w:cs="Cambria Math"/>
                <w:i/>
                <w:color w:val="000000" w:themeColor="text1"/>
                <w:sz w:val="36"/>
                <w:szCs w:val="36"/>
              </w:rPr>
            </m:ctrlPr>
          </m:sSubSupPr>
          <m:e>
            <m:r>
              <w:rPr>
                <w:rFonts w:ascii="Cambria Math" w:eastAsia="Cambria Math" w:hAnsi="Cambria Math" w:cs="Cambria Math"/>
                <w:color w:val="000000" w:themeColor="text1"/>
                <w:sz w:val="36"/>
                <w:szCs w:val="36"/>
              </w:rPr>
              <m:t>D</m:t>
            </m:r>
          </m:e>
          <m:sub>
            <m:r>
              <w:rPr>
                <w:rFonts w:ascii="Cambria Math" w:eastAsia="Cambria Math" w:hAnsi="Cambria Math" w:cs="Cambria Math"/>
                <w:color w:val="000000" w:themeColor="text1"/>
                <w:sz w:val="36"/>
                <w:szCs w:val="36"/>
              </w:rPr>
              <m:t>i</m:t>
            </m:r>
          </m:sub>
          <m:sup>
            <m:r>
              <w:rPr>
                <w:rFonts w:ascii="Cambria Math" w:eastAsia="Cambria Math" w:hAnsi="Cambria Math" w:cs="Cambria Math"/>
                <w:color w:val="000000" w:themeColor="text1"/>
                <w:sz w:val="36"/>
                <w:szCs w:val="36"/>
              </w:rPr>
              <m:t>j</m:t>
            </m:r>
          </m:sup>
        </m:sSubSup>
        <m:r>
          <w:rPr>
            <w:rFonts w:ascii="Cambria Math" w:eastAsia="Cambria Math" w:hAnsi="Cambria Math" w:cs="Cambria Math"/>
            <w:color w:val="000000" w:themeColor="text1"/>
            <w:sz w:val="36"/>
            <w:szCs w:val="36"/>
          </w:rPr>
          <m:t>=</m:t>
        </m:r>
        <m:d>
          <m:dPr>
            <m:begChr m:val="|"/>
            <m:endChr m:val="|"/>
            <m:ctrlPr>
              <w:rPr>
                <w:rFonts w:ascii="Cambria Math" w:eastAsia="Cambria Math" w:hAnsi="Cambria Math" w:cs="Cambria Math"/>
                <w:i/>
                <w:color w:val="000000" w:themeColor="text1"/>
                <w:sz w:val="36"/>
                <w:szCs w:val="36"/>
              </w:rPr>
            </m:ctrlPr>
          </m:dPr>
          <m:e>
            <m:sSubSup>
              <m:sSubSupPr>
                <m:ctrlPr>
                  <w:rPr>
                    <w:rFonts w:ascii="Cambria Math" w:eastAsia="Cambria Math" w:hAnsi="Cambria Math" w:cs="Cambria Math"/>
                    <w:i/>
                    <w:color w:val="000000" w:themeColor="text1"/>
                    <w:sz w:val="36"/>
                    <w:szCs w:val="36"/>
                  </w:rPr>
                </m:ctrlPr>
              </m:sSubSupPr>
              <m:e>
                <m:r>
                  <w:rPr>
                    <w:rFonts w:ascii="Cambria Math" w:eastAsia="Cambria Math" w:hAnsi="Cambria Math" w:cs="Cambria Math"/>
                    <w:color w:val="000000" w:themeColor="text1"/>
                    <w:sz w:val="36"/>
                    <w:szCs w:val="36"/>
                  </w:rPr>
                  <m:t>C</m:t>
                </m:r>
              </m:e>
              <m:sub>
                <m:r>
                  <w:rPr>
                    <w:rFonts w:ascii="Cambria Math" w:eastAsia="Cambria Math" w:hAnsi="Cambria Math" w:cs="Cambria Math"/>
                    <w:color w:val="000000" w:themeColor="text1"/>
                    <w:sz w:val="36"/>
                    <w:szCs w:val="36"/>
                  </w:rPr>
                  <m:t>i</m:t>
                </m:r>
              </m:sub>
              <m:sup>
                <m:r>
                  <w:rPr>
                    <w:rFonts w:ascii="Cambria Math" w:eastAsia="Cambria Math" w:hAnsi="Cambria Math" w:cs="Cambria Math"/>
                    <w:color w:val="000000" w:themeColor="text1"/>
                    <w:sz w:val="36"/>
                    <w:szCs w:val="36"/>
                  </w:rPr>
                  <m:t>j</m:t>
                </m:r>
              </m:sup>
            </m:sSubSup>
            <m:r>
              <w:rPr>
                <w:rFonts w:ascii="Cambria Math" w:eastAsia="Cambria Math" w:hAnsi="Cambria Math" w:cs="Cambria Math"/>
                <w:color w:val="000000" w:themeColor="text1"/>
                <w:sz w:val="36"/>
                <w:szCs w:val="36"/>
              </w:rPr>
              <m:t>-</m:t>
            </m:r>
            <m:sSup>
              <m:sSupPr>
                <m:ctrlPr>
                  <w:rPr>
                    <w:rFonts w:ascii="Cambria Math" w:eastAsia="Cambria Math" w:hAnsi="Cambria Math" w:cs="Cambria Math"/>
                    <w:i/>
                    <w:color w:val="000000" w:themeColor="text1"/>
                    <w:sz w:val="36"/>
                    <w:szCs w:val="36"/>
                  </w:rPr>
                </m:ctrlPr>
              </m:sSupPr>
              <m:e>
                <m:r>
                  <w:rPr>
                    <w:rFonts w:ascii="Cambria Math" w:eastAsia="Cambria Math" w:hAnsi="Cambria Math" w:cs="Cambria Math"/>
                    <w:color w:val="000000" w:themeColor="text1"/>
                    <w:sz w:val="36"/>
                    <w:szCs w:val="36"/>
                  </w:rPr>
                  <m:t>M</m:t>
                </m:r>
              </m:e>
              <m:sup>
                <m:r>
                  <w:rPr>
                    <w:rFonts w:ascii="Cambria Math" w:eastAsia="Cambria Math" w:hAnsi="Cambria Math" w:cs="Cambria Math"/>
                    <w:color w:val="000000" w:themeColor="text1"/>
                    <w:sz w:val="36"/>
                    <w:szCs w:val="36"/>
                  </w:rPr>
                  <m:t>j</m:t>
                </m:r>
              </m:sup>
            </m:sSup>
          </m:e>
        </m:d>
        <m:r>
          <w:rPr>
            <w:rFonts w:ascii="Cambria Math" w:eastAsia="Cambria Math" w:hAnsi="Cambria Math" w:cs="Cambria Math"/>
            <w:color w:val="000000" w:themeColor="text1"/>
            <w:sz w:val="36"/>
            <w:szCs w:val="36"/>
          </w:rPr>
          <m:t xml:space="preserve">   </m:t>
        </m:r>
      </m:oMath>
      <w:r w:rsidR="005F5F51" w:rsidRPr="00647AB5">
        <w:rPr>
          <w:rFonts w:ascii="Arial" w:eastAsia="Arial" w:hAnsi="Arial" w:cs="Arial"/>
          <w:i/>
          <w:color w:val="44546A"/>
          <w:sz w:val="22"/>
          <w:szCs w:val="22"/>
        </w:rPr>
        <w:t xml:space="preserve">Equation </w:t>
      </w:r>
      <w:r w:rsidR="005F5F51">
        <w:rPr>
          <w:rFonts w:ascii="Arial" w:eastAsia="Arial" w:hAnsi="Arial" w:cs="Arial"/>
          <w:i/>
          <w:color w:val="44546A"/>
          <w:sz w:val="22"/>
          <w:szCs w:val="22"/>
        </w:rPr>
        <w:t>2</w:t>
      </w:r>
    </w:p>
    <w:p w14:paraId="795488DF" w14:textId="77777777" w:rsidR="005F5F51" w:rsidRPr="00647AB5" w:rsidRDefault="005F5F51" w:rsidP="005F5F51">
      <w:pPr>
        <w:rPr>
          <w:rFonts w:ascii="Arial" w:eastAsia="Arial" w:hAnsi="Arial" w:cs="Arial"/>
          <w:sz w:val="22"/>
          <w:szCs w:val="22"/>
        </w:rPr>
      </w:pPr>
      <w:r w:rsidRPr="00647AB5">
        <w:rPr>
          <w:rFonts w:ascii="Arial" w:eastAsia="Arial" w:hAnsi="Arial" w:cs="Arial"/>
          <w:sz w:val="22"/>
          <w:szCs w:val="22"/>
        </w:rPr>
        <w:t xml:space="preserve">Where </w:t>
      </w:r>
      <m:oMath>
        <m:sSup>
          <m:sSupPr>
            <m:ctrlPr>
              <w:rPr>
                <w:rFonts w:ascii="Cambria Math" w:eastAsia="Cambria Math" w:hAnsi="Cambria Math" w:cs="Arial"/>
                <w:sz w:val="22"/>
                <w:szCs w:val="22"/>
              </w:rPr>
            </m:ctrlPr>
          </m:sSupPr>
          <m:e>
            <m:r>
              <w:rPr>
                <w:rFonts w:ascii="Cambria Math" w:eastAsia="Cambria Math" w:hAnsi="Cambria Math" w:cs="Arial"/>
                <w:sz w:val="22"/>
                <w:szCs w:val="22"/>
              </w:rPr>
              <m:t>M</m:t>
            </m:r>
          </m:e>
          <m:sup>
            <m:r>
              <w:rPr>
                <w:rFonts w:ascii="Cambria Math" w:eastAsia="Cambria Math" w:hAnsi="Cambria Math" w:cs="Arial"/>
                <w:sz w:val="22"/>
                <w:szCs w:val="22"/>
              </w:rPr>
              <m:t>j</m:t>
            </m:r>
          </m:sup>
        </m:sSup>
      </m:oMath>
      <w:r w:rsidRPr="00647AB5">
        <w:rPr>
          <w:rFonts w:ascii="Arial" w:eastAsia="Arial" w:hAnsi="Arial" w:cs="Arial"/>
          <w:sz w:val="22"/>
          <w:szCs w:val="22"/>
        </w:rPr>
        <w:t xml:space="preserve"> is the average node centrality score as shown in </w:t>
      </w:r>
      <w:r w:rsidRPr="00647AB5">
        <w:rPr>
          <w:rFonts w:ascii="Arial" w:eastAsia="Arial" w:hAnsi="Arial" w:cs="Arial"/>
          <w:b/>
          <w:sz w:val="22"/>
          <w:szCs w:val="22"/>
        </w:rPr>
        <w:t xml:space="preserve">equation </w:t>
      </w:r>
      <w:r w:rsidRPr="008D7466">
        <w:rPr>
          <w:rFonts w:ascii="Arial" w:eastAsia="Arial" w:hAnsi="Arial" w:cs="Arial"/>
          <w:b/>
          <w:sz w:val="22"/>
          <w:szCs w:val="22"/>
        </w:rPr>
        <w:t>3</w:t>
      </w:r>
    </w:p>
    <w:p w14:paraId="10161CD3" w14:textId="6A0B7F5E" w:rsidR="002E21B4" w:rsidRDefault="00000000" w:rsidP="002E21B4">
      <w:pPr>
        <w:pBdr>
          <w:top w:val="nil"/>
          <w:left w:val="nil"/>
          <w:bottom w:val="nil"/>
          <w:right w:val="nil"/>
          <w:between w:val="nil"/>
        </w:pBdr>
        <w:spacing w:after="200"/>
        <w:jc w:val="center"/>
        <w:rPr>
          <w:rFonts w:ascii="Arial" w:eastAsia="Arial" w:hAnsi="Arial" w:cs="Arial"/>
          <w:i/>
          <w:color w:val="44546A"/>
          <w:sz w:val="22"/>
          <w:szCs w:val="22"/>
        </w:rPr>
      </w:pPr>
      <m:oMath>
        <m:sSup>
          <m:sSupPr>
            <m:ctrlPr>
              <w:rPr>
                <w:rFonts w:ascii="Cambria Math" w:hAnsi="Cambria Math" w:cs="Arial"/>
                <w:sz w:val="36"/>
                <w:szCs w:val="36"/>
              </w:rPr>
            </m:ctrlPr>
          </m:sSupPr>
          <m:e>
            <m:r>
              <w:rPr>
                <w:rFonts w:ascii="Cambria Math" w:hAnsi="Cambria Math" w:cs="Arial"/>
                <w:sz w:val="36"/>
                <w:szCs w:val="36"/>
              </w:rPr>
              <m:t>M</m:t>
            </m:r>
          </m:e>
          <m:sup>
            <m:r>
              <w:rPr>
                <w:rFonts w:ascii="Cambria Math" w:hAnsi="Cambria Math" w:cs="Arial"/>
                <w:sz w:val="36"/>
                <w:szCs w:val="36"/>
              </w:rPr>
              <m:t>j</m:t>
            </m:r>
          </m:sup>
        </m:sSup>
        <m:r>
          <w:rPr>
            <w:rFonts w:ascii="Cambria Math" w:hAnsi="Cambria Math" w:cs="Arial"/>
            <w:sz w:val="36"/>
            <w:szCs w:val="36"/>
          </w:rPr>
          <m:t>=</m:t>
        </m:r>
        <m:f>
          <m:fPr>
            <m:ctrlPr>
              <w:rPr>
                <w:rFonts w:ascii="Cambria Math" w:hAnsi="Cambria Math" w:cs="Arial"/>
                <w:sz w:val="36"/>
                <w:szCs w:val="36"/>
              </w:rPr>
            </m:ctrlPr>
          </m:fPr>
          <m:num>
            <m:nary>
              <m:naryPr>
                <m:chr m:val="∑"/>
                <m:limLoc m:val="subSup"/>
                <m:ctrlPr>
                  <w:rPr>
                    <w:rFonts w:ascii="Cambria Math" w:hAnsi="Cambria Math" w:cs="Arial"/>
                    <w:sz w:val="36"/>
                    <w:szCs w:val="36"/>
                  </w:rPr>
                </m:ctrlPr>
              </m:naryPr>
              <m:sub>
                <m:r>
                  <w:rPr>
                    <w:rFonts w:ascii="Cambria Math" w:hAnsi="Cambria Math" w:cs="Arial"/>
                    <w:sz w:val="36"/>
                    <w:szCs w:val="36"/>
                  </w:rPr>
                  <m:t>i=1</m:t>
                </m:r>
              </m:sub>
              <m:sup>
                <m:r>
                  <w:rPr>
                    <w:rFonts w:ascii="Cambria Math" w:hAnsi="Cambria Math" w:cs="Arial"/>
                    <w:sz w:val="36"/>
                    <w:szCs w:val="36"/>
                  </w:rPr>
                  <m:t>r</m:t>
                </m:r>
              </m:sup>
              <m:e>
                <m:sSubSup>
                  <m:sSubSupPr>
                    <m:ctrlPr>
                      <w:rPr>
                        <w:rFonts w:ascii="Cambria Math" w:hAnsi="Cambria Math" w:cs="Arial"/>
                        <w:sz w:val="36"/>
                        <w:szCs w:val="36"/>
                      </w:rPr>
                    </m:ctrlPr>
                  </m:sSubSupPr>
                  <m:e>
                    <m:r>
                      <w:rPr>
                        <w:rFonts w:ascii="Cambria Math" w:hAnsi="Cambria Math" w:cs="Arial"/>
                        <w:sz w:val="36"/>
                        <w:szCs w:val="36"/>
                      </w:rPr>
                      <m:t>C</m:t>
                    </m:r>
                  </m:e>
                  <m:sub>
                    <m:r>
                      <w:rPr>
                        <w:rFonts w:ascii="Cambria Math" w:hAnsi="Cambria Math" w:cs="Arial"/>
                        <w:sz w:val="36"/>
                        <w:szCs w:val="36"/>
                      </w:rPr>
                      <m:t>i</m:t>
                    </m:r>
                  </m:sub>
                  <m:sup>
                    <m:r>
                      <w:rPr>
                        <w:rFonts w:ascii="Cambria Math" w:hAnsi="Cambria Math" w:cs="Arial"/>
                        <w:sz w:val="36"/>
                        <w:szCs w:val="36"/>
                      </w:rPr>
                      <m:t>j</m:t>
                    </m:r>
                  </m:sup>
                </m:sSubSup>
              </m:e>
            </m:nary>
          </m:num>
          <m:den>
            <m:r>
              <w:rPr>
                <w:rFonts w:ascii="Cambria Math" w:hAnsi="Cambria Math" w:cs="Arial"/>
                <w:sz w:val="36"/>
                <w:szCs w:val="36"/>
              </w:rPr>
              <m:t>r</m:t>
            </m:r>
          </m:den>
        </m:f>
        <m:r>
          <w:rPr>
            <w:rFonts w:ascii="Cambria Math" w:hAnsi="Cambria Math" w:cs="Arial"/>
            <w:sz w:val="36"/>
            <w:szCs w:val="36"/>
          </w:rPr>
          <m:t xml:space="preserve">    </m:t>
        </m:r>
      </m:oMath>
      <w:r w:rsidR="005F5F51" w:rsidRPr="00647AB5">
        <w:rPr>
          <w:rFonts w:ascii="Arial" w:eastAsia="Arial" w:hAnsi="Arial" w:cs="Arial"/>
          <w:i/>
          <w:color w:val="44546A"/>
          <w:sz w:val="22"/>
          <w:szCs w:val="22"/>
        </w:rPr>
        <w:t xml:space="preserve">Equation </w:t>
      </w:r>
      <w:r w:rsidR="005F5F51">
        <w:rPr>
          <w:rFonts w:ascii="Arial" w:eastAsia="Arial" w:hAnsi="Arial" w:cs="Arial"/>
          <w:i/>
          <w:color w:val="44546A"/>
          <w:sz w:val="22"/>
          <w:szCs w:val="22"/>
        </w:rPr>
        <w:t>3</w:t>
      </w:r>
    </w:p>
    <w:p w14:paraId="56223408" w14:textId="7932EC8C" w:rsidR="002E21B4" w:rsidRDefault="002E21B4" w:rsidP="002E21B4">
      <w:pPr>
        <w:pBdr>
          <w:top w:val="nil"/>
          <w:left w:val="nil"/>
          <w:bottom w:val="nil"/>
          <w:right w:val="nil"/>
          <w:between w:val="nil"/>
        </w:pBdr>
        <w:spacing w:after="200"/>
        <w:rPr>
          <w:rFonts w:ascii="Arial" w:eastAsia="Arial" w:hAnsi="Arial" w:cs="Arial"/>
          <w:i/>
          <w:color w:val="44546A"/>
          <w:sz w:val="22"/>
          <w:szCs w:val="22"/>
        </w:rPr>
      </w:pPr>
    </w:p>
    <w:p w14:paraId="31A9A84D" w14:textId="1773902E" w:rsidR="002E21B4" w:rsidRPr="002E21B4" w:rsidRDefault="002E21B4" w:rsidP="002E21B4">
      <w:pPr>
        <w:pBdr>
          <w:top w:val="nil"/>
          <w:left w:val="nil"/>
          <w:bottom w:val="nil"/>
          <w:right w:val="nil"/>
          <w:between w:val="nil"/>
        </w:pBdr>
        <w:spacing w:after="200"/>
        <w:rPr>
          <w:rFonts w:ascii="Arial" w:eastAsia="Arial" w:hAnsi="Arial" w:cs="Arial"/>
          <w:b/>
          <w:bCs/>
          <w:iCs/>
          <w:sz w:val="22"/>
          <w:szCs w:val="22"/>
        </w:rPr>
      </w:pPr>
      <w:r w:rsidRPr="002E21B4">
        <w:rPr>
          <w:rFonts w:ascii="Arial" w:eastAsia="Arial" w:hAnsi="Arial" w:cs="Arial"/>
          <w:b/>
          <w:bCs/>
          <w:iCs/>
          <w:sz w:val="22"/>
          <w:szCs w:val="22"/>
        </w:rPr>
        <w:t>Results</w:t>
      </w:r>
    </w:p>
    <w:p w14:paraId="528C29AC" w14:textId="23B9203A" w:rsidR="00B72B7A" w:rsidRPr="003745B0" w:rsidRDefault="00B72B7A" w:rsidP="00B72B7A">
      <w:pPr>
        <w:pStyle w:val="Heading2"/>
        <w:rPr>
          <w:rFonts w:ascii="Arial" w:eastAsia="Arial" w:hAnsi="Arial" w:cs="Arial"/>
          <w:b/>
          <w:color w:val="auto"/>
          <w:sz w:val="22"/>
          <w:szCs w:val="22"/>
        </w:rPr>
      </w:pPr>
      <w:r w:rsidRPr="003745B0">
        <w:rPr>
          <w:rFonts w:ascii="Arial" w:eastAsia="Arial" w:hAnsi="Arial" w:cs="Arial"/>
          <w:b/>
          <w:color w:val="auto"/>
          <w:sz w:val="22"/>
          <w:szCs w:val="22"/>
        </w:rPr>
        <w:t xml:space="preserve">Harmonized clinical severity between patients' metadata </w:t>
      </w:r>
    </w:p>
    <w:p w14:paraId="520825C9" w14:textId="77777777" w:rsidR="007A7CDA" w:rsidRDefault="007A7CDA" w:rsidP="00B72B7A">
      <w:pPr>
        <w:jc w:val="both"/>
        <w:rPr>
          <w:rFonts w:ascii="Arial" w:eastAsia="Arial" w:hAnsi="Arial" w:cs="Arial"/>
          <w:sz w:val="22"/>
          <w:szCs w:val="22"/>
        </w:rPr>
      </w:pPr>
    </w:p>
    <w:p w14:paraId="25F44D0C" w14:textId="637AB5A2" w:rsidR="00B72B7A" w:rsidRDefault="007A7CDA" w:rsidP="00B72B7A">
      <w:pPr>
        <w:jc w:val="both"/>
        <w:rPr>
          <w:rFonts w:ascii="Arial" w:eastAsia="Arial" w:hAnsi="Arial" w:cs="Arial"/>
          <w:sz w:val="22"/>
          <w:szCs w:val="22"/>
        </w:rPr>
      </w:pPr>
      <w:r w:rsidRPr="007A7CDA">
        <w:rPr>
          <w:rFonts w:ascii="Arial" w:eastAsia="Arial" w:hAnsi="Arial" w:cs="Arial"/>
          <w:b/>
          <w:bCs/>
          <w:sz w:val="22"/>
          <w:szCs w:val="22"/>
        </w:rPr>
        <w:t>Table 2</w:t>
      </w:r>
      <w:r>
        <w:rPr>
          <w:rFonts w:ascii="Arial" w:eastAsia="Arial" w:hAnsi="Arial" w:cs="Arial"/>
          <w:sz w:val="22"/>
          <w:szCs w:val="22"/>
        </w:rPr>
        <w:t xml:space="preserve">: Summary of transcriptomics, proteomics, metabolomics and </w:t>
      </w:r>
      <w:proofErr w:type="spellStart"/>
      <w:r>
        <w:rPr>
          <w:rFonts w:ascii="Arial" w:eastAsia="Arial" w:hAnsi="Arial" w:cs="Arial"/>
          <w:sz w:val="22"/>
          <w:szCs w:val="22"/>
        </w:rPr>
        <w:t>lipidomics</w:t>
      </w:r>
      <w:proofErr w:type="spellEnd"/>
      <w:r>
        <w:rPr>
          <w:rFonts w:ascii="Arial" w:eastAsia="Arial" w:hAnsi="Arial" w:cs="Arial"/>
          <w:sz w:val="22"/>
          <w:szCs w:val="22"/>
        </w:rPr>
        <w:t xml:space="preserve"> samples per disease state after harmonization</w:t>
      </w:r>
    </w:p>
    <w:p w14:paraId="370902B3" w14:textId="6FB96298" w:rsidR="007A7CDA" w:rsidRDefault="007A7CDA" w:rsidP="00B72B7A">
      <w:pPr>
        <w:jc w:val="both"/>
        <w:rPr>
          <w:rFonts w:ascii="Arial" w:eastAsia="Arial" w:hAnsi="Arial" w:cs="Arial"/>
          <w:sz w:val="22"/>
          <w:szCs w:val="22"/>
        </w:rPr>
      </w:pPr>
    </w:p>
    <w:tbl>
      <w:tblPr>
        <w:tblStyle w:val="PlainTable2"/>
        <w:tblW w:w="0" w:type="auto"/>
        <w:tblLook w:val="04A0" w:firstRow="1" w:lastRow="0" w:firstColumn="1" w:lastColumn="0" w:noHBand="0" w:noVBand="1"/>
      </w:tblPr>
      <w:tblGrid>
        <w:gridCol w:w="1555"/>
        <w:gridCol w:w="1928"/>
        <w:gridCol w:w="1701"/>
        <w:gridCol w:w="1701"/>
        <w:gridCol w:w="1701"/>
      </w:tblGrid>
      <w:tr w:rsidR="007A7CDA" w:rsidRPr="007A7CDA" w14:paraId="29471076" w14:textId="447AD73A" w:rsidTr="007A7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3EC122" w14:textId="13596075" w:rsidR="007A7CDA" w:rsidRPr="007A7CDA" w:rsidRDefault="007A7CDA" w:rsidP="00B72B7A">
            <w:pPr>
              <w:jc w:val="both"/>
              <w:rPr>
                <w:rFonts w:ascii="Arial" w:eastAsia="Arial" w:hAnsi="Arial" w:cs="Arial"/>
                <w:sz w:val="22"/>
                <w:szCs w:val="22"/>
                <w:lang w:eastAsia="en-US"/>
              </w:rPr>
            </w:pPr>
            <w:r w:rsidRPr="007A7CDA">
              <w:rPr>
                <w:rFonts w:ascii="Arial" w:eastAsia="Arial" w:hAnsi="Arial" w:cs="Arial"/>
                <w:sz w:val="22"/>
                <w:szCs w:val="22"/>
                <w:lang w:eastAsia="en-US"/>
              </w:rPr>
              <w:t>Disease state</w:t>
            </w:r>
          </w:p>
        </w:tc>
        <w:tc>
          <w:tcPr>
            <w:tcW w:w="1842" w:type="dxa"/>
          </w:tcPr>
          <w:p w14:paraId="13C59441" w14:textId="0A88FEA7" w:rsidR="007A7CDA" w:rsidRPr="007A7CDA" w:rsidRDefault="007A7CDA" w:rsidP="00B72B7A">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lang w:eastAsia="en-US"/>
              </w:rPr>
            </w:pPr>
            <w:r w:rsidRPr="007A7CDA">
              <w:rPr>
                <w:rFonts w:ascii="Arial" w:eastAsia="Arial" w:hAnsi="Arial" w:cs="Arial"/>
                <w:sz w:val="22"/>
                <w:szCs w:val="22"/>
                <w:lang w:eastAsia="en-US"/>
              </w:rPr>
              <w:t>Transcriptomics samples</w:t>
            </w:r>
          </w:p>
        </w:tc>
        <w:tc>
          <w:tcPr>
            <w:tcW w:w="1701" w:type="dxa"/>
          </w:tcPr>
          <w:p w14:paraId="1DD54B58" w14:textId="088DBB4E" w:rsidR="007A7CDA" w:rsidRPr="007A7CDA" w:rsidRDefault="007A7CDA" w:rsidP="00B72B7A">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lang w:eastAsia="en-US"/>
              </w:rPr>
            </w:pPr>
            <w:r w:rsidRPr="007A7CDA">
              <w:rPr>
                <w:rFonts w:ascii="Arial" w:eastAsia="Arial" w:hAnsi="Arial" w:cs="Arial"/>
                <w:sz w:val="22"/>
                <w:szCs w:val="22"/>
                <w:lang w:eastAsia="en-US"/>
              </w:rPr>
              <w:t>Proteomics samples</w:t>
            </w:r>
          </w:p>
        </w:tc>
        <w:tc>
          <w:tcPr>
            <w:tcW w:w="1701" w:type="dxa"/>
          </w:tcPr>
          <w:p w14:paraId="1AB83E9F" w14:textId="2E09E738" w:rsidR="007A7CDA" w:rsidRPr="007A7CDA" w:rsidRDefault="007A7CDA" w:rsidP="00B72B7A">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lang w:eastAsia="en-US"/>
              </w:rPr>
            </w:pPr>
            <w:r w:rsidRPr="007A7CDA">
              <w:rPr>
                <w:rFonts w:ascii="Arial" w:eastAsia="Arial" w:hAnsi="Arial" w:cs="Arial"/>
                <w:sz w:val="22"/>
                <w:szCs w:val="22"/>
                <w:lang w:eastAsia="en-US"/>
              </w:rPr>
              <w:t>Metabolomics samples</w:t>
            </w:r>
          </w:p>
        </w:tc>
        <w:tc>
          <w:tcPr>
            <w:tcW w:w="1701" w:type="dxa"/>
          </w:tcPr>
          <w:p w14:paraId="379FA204" w14:textId="3BAA4D69" w:rsidR="007A7CDA" w:rsidRPr="007A7CDA" w:rsidRDefault="007A7CDA" w:rsidP="00B72B7A">
            <w:pPr>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lang w:eastAsia="en-US"/>
              </w:rPr>
            </w:pPr>
            <w:proofErr w:type="spellStart"/>
            <w:r w:rsidRPr="007A7CDA">
              <w:rPr>
                <w:rFonts w:ascii="Arial" w:eastAsia="Arial" w:hAnsi="Arial" w:cs="Arial"/>
                <w:sz w:val="22"/>
                <w:szCs w:val="22"/>
                <w:lang w:eastAsia="en-US"/>
              </w:rPr>
              <w:t>Lipidomics</w:t>
            </w:r>
            <w:proofErr w:type="spellEnd"/>
            <w:r w:rsidRPr="007A7CDA">
              <w:rPr>
                <w:rFonts w:ascii="Arial" w:eastAsia="Arial" w:hAnsi="Arial" w:cs="Arial"/>
                <w:sz w:val="22"/>
                <w:szCs w:val="22"/>
                <w:lang w:eastAsia="en-US"/>
              </w:rPr>
              <w:t xml:space="preserve"> samples </w:t>
            </w:r>
          </w:p>
        </w:tc>
      </w:tr>
      <w:tr w:rsidR="007A7CDA" w:rsidRPr="007A7CDA" w14:paraId="7ACEEEA3" w14:textId="77777777" w:rsidTr="007A7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0E602B" w14:textId="55A03EB5" w:rsidR="007A7CDA" w:rsidRPr="007A7CDA" w:rsidRDefault="007A7CDA" w:rsidP="00B72B7A">
            <w:pPr>
              <w:jc w:val="both"/>
              <w:rPr>
                <w:rFonts w:ascii="Arial" w:eastAsia="Arial" w:hAnsi="Arial" w:cs="Arial"/>
                <w:b w:val="0"/>
                <w:bCs w:val="0"/>
                <w:sz w:val="22"/>
                <w:szCs w:val="22"/>
                <w:lang w:eastAsia="en-US"/>
              </w:rPr>
            </w:pPr>
            <w:r w:rsidRPr="007A7CDA">
              <w:rPr>
                <w:rFonts w:ascii="Arial" w:eastAsia="Arial" w:hAnsi="Arial" w:cs="Arial"/>
                <w:b w:val="0"/>
                <w:bCs w:val="0"/>
                <w:sz w:val="22"/>
                <w:szCs w:val="22"/>
                <w:lang w:eastAsia="en-US"/>
              </w:rPr>
              <w:t>Severe</w:t>
            </w:r>
          </w:p>
        </w:tc>
        <w:tc>
          <w:tcPr>
            <w:tcW w:w="1842" w:type="dxa"/>
          </w:tcPr>
          <w:p w14:paraId="08D03890" w14:textId="4BBBE852" w:rsidR="007A7CDA" w:rsidRPr="007A7CDA" w:rsidRDefault="007A7CDA" w:rsidP="00B72B7A">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lang w:eastAsia="en-US"/>
              </w:rPr>
            </w:pPr>
            <w:r w:rsidRPr="007A7CDA">
              <w:rPr>
                <w:rFonts w:ascii="Arial" w:eastAsia="Arial" w:hAnsi="Arial" w:cs="Arial"/>
                <w:sz w:val="22"/>
                <w:szCs w:val="22"/>
                <w:lang w:eastAsia="en-US"/>
              </w:rPr>
              <w:t>73</w:t>
            </w:r>
          </w:p>
        </w:tc>
        <w:tc>
          <w:tcPr>
            <w:tcW w:w="1701" w:type="dxa"/>
          </w:tcPr>
          <w:p w14:paraId="37169573" w14:textId="76C2B73C" w:rsidR="007A7CDA" w:rsidRPr="007A7CDA" w:rsidRDefault="007A7CDA" w:rsidP="00B72B7A">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lang w:eastAsia="en-US"/>
              </w:rPr>
            </w:pPr>
            <w:r w:rsidRPr="007A7CDA">
              <w:rPr>
                <w:rFonts w:ascii="Arial" w:eastAsia="Arial" w:hAnsi="Arial" w:cs="Arial"/>
                <w:sz w:val="22"/>
                <w:szCs w:val="22"/>
                <w:lang w:eastAsia="en-US"/>
              </w:rPr>
              <w:t>94</w:t>
            </w:r>
          </w:p>
        </w:tc>
        <w:tc>
          <w:tcPr>
            <w:tcW w:w="1701" w:type="dxa"/>
          </w:tcPr>
          <w:p w14:paraId="78702BE6" w14:textId="3EF17B4B" w:rsidR="007A7CDA" w:rsidRPr="007A7CDA" w:rsidRDefault="007A7CDA" w:rsidP="00B72B7A">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lang w:eastAsia="en-US"/>
              </w:rPr>
            </w:pPr>
            <w:r w:rsidRPr="007A7CDA">
              <w:rPr>
                <w:rFonts w:ascii="Arial" w:eastAsia="Arial" w:hAnsi="Arial" w:cs="Arial"/>
                <w:sz w:val="22"/>
                <w:szCs w:val="22"/>
                <w:lang w:eastAsia="en-US"/>
              </w:rPr>
              <w:t>95</w:t>
            </w:r>
          </w:p>
        </w:tc>
        <w:tc>
          <w:tcPr>
            <w:tcW w:w="1701" w:type="dxa"/>
          </w:tcPr>
          <w:p w14:paraId="02510F91" w14:textId="7E04F2C6" w:rsidR="007A7CDA" w:rsidRPr="007A7CDA" w:rsidRDefault="007A7CDA" w:rsidP="00B72B7A">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lang w:eastAsia="en-US"/>
              </w:rPr>
            </w:pPr>
            <w:r w:rsidRPr="007A7CDA">
              <w:rPr>
                <w:rFonts w:ascii="Arial" w:eastAsia="Arial" w:hAnsi="Arial" w:cs="Arial"/>
                <w:sz w:val="22"/>
                <w:szCs w:val="22"/>
                <w:lang w:eastAsia="en-US"/>
              </w:rPr>
              <w:t>44</w:t>
            </w:r>
          </w:p>
        </w:tc>
      </w:tr>
      <w:tr w:rsidR="007A7CDA" w:rsidRPr="007A7CDA" w14:paraId="59D91CEF" w14:textId="77777777" w:rsidTr="007A7CDA">
        <w:tc>
          <w:tcPr>
            <w:cnfStyle w:val="001000000000" w:firstRow="0" w:lastRow="0" w:firstColumn="1" w:lastColumn="0" w:oddVBand="0" w:evenVBand="0" w:oddHBand="0" w:evenHBand="0" w:firstRowFirstColumn="0" w:firstRowLastColumn="0" w:lastRowFirstColumn="0" w:lastRowLastColumn="0"/>
            <w:tcW w:w="1555" w:type="dxa"/>
          </w:tcPr>
          <w:p w14:paraId="7DB86F56" w14:textId="21A5B552" w:rsidR="007A7CDA" w:rsidRPr="007A7CDA" w:rsidRDefault="007A7CDA" w:rsidP="00B72B7A">
            <w:pPr>
              <w:jc w:val="both"/>
              <w:rPr>
                <w:rFonts w:ascii="Arial" w:eastAsia="Arial" w:hAnsi="Arial" w:cs="Arial"/>
                <w:b w:val="0"/>
                <w:bCs w:val="0"/>
                <w:sz w:val="22"/>
                <w:szCs w:val="22"/>
                <w:lang w:eastAsia="en-US"/>
              </w:rPr>
            </w:pPr>
            <w:r w:rsidRPr="007A7CDA">
              <w:rPr>
                <w:rFonts w:ascii="Arial" w:eastAsia="Arial" w:hAnsi="Arial" w:cs="Arial"/>
                <w:b w:val="0"/>
                <w:bCs w:val="0"/>
                <w:sz w:val="22"/>
                <w:szCs w:val="22"/>
                <w:lang w:eastAsia="en-US"/>
              </w:rPr>
              <w:t>Moderate</w:t>
            </w:r>
          </w:p>
        </w:tc>
        <w:tc>
          <w:tcPr>
            <w:tcW w:w="1842" w:type="dxa"/>
          </w:tcPr>
          <w:p w14:paraId="7B588C66" w14:textId="35E991C2" w:rsidR="007A7CDA" w:rsidRPr="007A7CDA" w:rsidRDefault="007A7CDA" w:rsidP="00B72B7A">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lang w:eastAsia="en-US"/>
              </w:rPr>
            </w:pPr>
            <w:r w:rsidRPr="007A7CDA">
              <w:rPr>
                <w:rFonts w:ascii="Arial" w:eastAsia="Arial" w:hAnsi="Arial" w:cs="Arial"/>
                <w:sz w:val="22"/>
                <w:szCs w:val="22"/>
                <w:lang w:eastAsia="en-US"/>
              </w:rPr>
              <w:t>71</w:t>
            </w:r>
          </w:p>
        </w:tc>
        <w:tc>
          <w:tcPr>
            <w:tcW w:w="1701" w:type="dxa"/>
          </w:tcPr>
          <w:p w14:paraId="0F0F2C61" w14:textId="0C7DBA7A" w:rsidR="007A7CDA" w:rsidRPr="007A7CDA" w:rsidRDefault="007A7CDA" w:rsidP="00B72B7A">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lang w:eastAsia="en-US"/>
              </w:rPr>
            </w:pPr>
            <w:r w:rsidRPr="007A7CDA">
              <w:rPr>
                <w:rFonts w:ascii="Arial" w:eastAsia="Arial" w:hAnsi="Arial" w:cs="Arial"/>
                <w:sz w:val="22"/>
                <w:szCs w:val="22"/>
                <w:lang w:eastAsia="en-US"/>
              </w:rPr>
              <w:t>121</w:t>
            </w:r>
          </w:p>
        </w:tc>
        <w:tc>
          <w:tcPr>
            <w:tcW w:w="1701" w:type="dxa"/>
          </w:tcPr>
          <w:p w14:paraId="54263A83" w14:textId="5B6460FE" w:rsidR="007A7CDA" w:rsidRPr="007A7CDA" w:rsidRDefault="007A7CDA" w:rsidP="00B72B7A">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lang w:eastAsia="en-US"/>
              </w:rPr>
            </w:pPr>
            <w:r w:rsidRPr="007A7CDA">
              <w:rPr>
                <w:rFonts w:ascii="Arial" w:eastAsia="Arial" w:hAnsi="Arial" w:cs="Arial"/>
                <w:sz w:val="22"/>
                <w:szCs w:val="22"/>
                <w:lang w:eastAsia="en-US"/>
              </w:rPr>
              <w:t>120</w:t>
            </w:r>
          </w:p>
        </w:tc>
        <w:tc>
          <w:tcPr>
            <w:tcW w:w="1701" w:type="dxa"/>
          </w:tcPr>
          <w:p w14:paraId="599F930C" w14:textId="090F7FCC" w:rsidR="007A7CDA" w:rsidRPr="007A7CDA" w:rsidRDefault="007A7CDA" w:rsidP="00B72B7A">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lang w:eastAsia="en-US"/>
              </w:rPr>
            </w:pPr>
            <w:r w:rsidRPr="007A7CDA">
              <w:rPr>
                <w:rFonts w:ascii="Arial" w:eastAsia="Arial" w:hAnsi="Arial" w:cs="Arial"/>
                <w:sz w:val="22"/>
                <w:szCs w:val="22"/>
                <w:lang w:eastAsia="en-US"/>
              </w:rPr>
              <w:t>20</w:t>
            </w:r>
          </w:p>
        </w:tc>
      </w:tr>
      <w:tr w:rsidR="007A7CDA" w:rsidRPr="007A7CDA" w14:paraId="3B421E17" w14:textId="77777777" w:rsidTr="007A7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896520" w14:textId="1DBDD158" w:rsidR="007A7CDA" w:rsidRPr="007A7CDA" w:rsidRDefault="007A7CDA" w:rsidP="00B72B7A">
            <w:pPr>
              <w:jc w:val="both"/>
              <w:rPr>
                <w:rFonts w:ascii="Arial" w:eastAsia="Arial" w:hAnsi="Arial" w:cs="Arial"/>
                <w:b w:val="0"/>
                <w:bCs w:val="0"/>
                <w:sz w:val="22"/>
                <w:szCs w:val="22"/>
                <w:lang w:eastAsia="en-US"/>
              </w:rPr>
            </w:pPr>
            <w:r w:rsidRPr="007A7CDA">
              <w:rPr>
                <w:rFonts w:ascii="Arial" w:eastAsia="Arial" w:hAnsi="Arial" w:cs="Arial"/>
                <w:b w:val="0"/>
                <w:bCs w:val="0"/>
                <w:sz w:val="22"/>
                <w:szCs w:val="22"/>
                <w:lang w:eastAsia="en-US"/>
              </w:rPr>
              <w:t>Mild</w:t>
            </w:r>
          </w:p>
        </w:tc>
        <w:tc>
          <w:tcPr>
            <w:tcW w:w="1842" w:type="dxa"/>
          </w:tcPr>
          <w:p w14:paraId="6E266885" w14:textId="396AA19E" w:rsidR="007A7CDA" w:rsidRPr="007A7CDA" w:rsidRDefault="007A7CDA" w:rsidP="00B72B7A">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lang w:eastAsia="en-US"/>
              </w:rPr>
            </w:pPr>
            <w:r w:rsidRPr="007A7CDA">
              <w:rPr>
                <w:rFonts w:ascii="Arial" w:eastAsia="Arial" w:hAnsi="Arial" w:cs="Arial"/>
                <w:sz w:val="22"/>
                <w:szCs w:val="22"/>
                <w:lang w:eastAsia="en-US"/>
              </w:rPr>
              <w:t>85</w:t>
            </w:r>
          </w:p>
        </w:tc>
        <w:tc>
          <w:tcPr>
            <w:tcW w:w="1701" w:type="dxa"/>
          </w:tcPr>
          <w:p w14:paraId="5284B685" w14:textId="4ABC0105" w:rsidR="007A7CDA" w:rsidRPr="007A7CDA" w:rsidRDefault="007A7CDA" w:rsidP="00B72B7A">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lang w:eastAsia="en-US"/>
              </w:rPr>
            </w:pPr>
            <w:r w:rsidRPr="007A7CDA">
              <w:rPr>
                <w:rFonts w:ascii="Arial" w:eastAsia="Arial" w:hAnsi="Arial" w:cs="Arial"/>
                <w:sz w:val="22"/>
                <w:szCs w:val="22"/>
                <w:lang w:eastAsia="en-US"/>
              </w:rPr>
              <w:t>147</w:t>
            </w:r>
          </w:p>
        </w:tc>
        <w:tc>
          <w:tcPr>
            <w:tcW w:w="1701" w:type="dxa"/>
          </w:tcPr>
          <w:p w14:paraId="485ADE10" w14:textId="3D2295FE" w:rsidR="007A7CDA" w:rsidRPr="007A7CDA" w:rsidRDefault="007A7CDA" w:rsidP="00B72B7A">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lang w:eastAsia="en-US"/>
              </w:rPr>
            </w:pPr>
            <w:r w:rsidRPr="007A7CDA">
              <w:rPr>
                <w:rFonts w:ascii="Arial" w:eastAsia="Arial" w:hAnsi="Arial" w:cs="Arial"/>
                <w:sz w:val="22"/>
                <w:szCs w:val="22"/>
                <w:lang w:eastAsia="en-US"/>
              </w:rPr>
              <w:t>142</w:t>
            </w:r>
          </w:p>
        </w:tc>
        <w:tc>
          <w:tcPr>
            <w:tcW w:w="1701" w:type="dxa"/>
          </w:tcPr>
          <w:p w14:paraId="6105EC2B" w14:textId="68F2908C" w:rsidR="007A7CDA" w:rsidRPr="007A7CDA" w:rsidRDefault="007A7CDA" w:rsidP="00B72B7A">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lang w:eastAsia="en-US"/>
              </w:rPr>
            </w:pPr>
            <w:r w:rsidRPr="007A7CDA">
              <w:rPr>
                <w:rFonts w:ascii="Arial" w:eastAsia="Arial" w:hAnsi="Arial" w:cs="Arial"/>
                <w:sz w:val="22"/>
                <w:szCs w:val="22"/>
                <w:lang w:eastAsia="en-US"/>
              </w:rPr>
              <w:t>39</w:t>
            </w:r>
          </w:p>
        </w:tc>
      </w:tr>
    </w:tbl>
    <w:p w14:paraId="36084BB1" w14:textId="77777777" w:rsidR="007A7CDA" w:rsidRPr="005F5F51" w:rsidRDefault="007A7CDA" w:rsidP="00B72B7A">
      <w:pPr>
        <w:jc w:val="both"/>
        <w:rPr>
          <w:rFonts w:eastAsia="Arial"/>
          <w:lang w:eastAsia="en-US"/>
        </w:rPr>
      </w:pPr>
    </w:p>
    <w:p w14:paraId="1E524A50" w14:textId="1A929EA8" w:rsidR="003B266C" w:rsidRPr="005F5F51" w:rsidRDefault="003B266C" w:rsidP="00912B45">
      <w:pPr>
        <w:pStyle w:val="Heading1"/>
        <w:rPr>
          <w:rFonts w:ascii="Arial" w:eastAsia="Calibri" w:hAnsi="Arial" w:cs="Arial"/>
          <w:b/>
          <w:bCs/>
          <w:color w:val="auto"/>
          <w:sz w:val="12"/>
          <w:szCs w:val="12"/>
        </w:rPr>
      </w:pPr>
      <w:r w:rsidRPr="005F5F51">
        <w:rPr>
          <w:rFonts w:ascii="Arial" w:eastAsia="Arial" w:hAnsi="Arial" w:cs="Arial"/>
          <w:b/>
          <w:bCs/>
          <w:color w:val="auto"/>
          <w:sz w:val="22"/>
          <w:szCs w:val="22"/>
        </w:rPr>
        <w:t>Characterizing multi-layered graphs</w:t>
      </w:r>
    </w:p>
    <w:p w14:paraId="3BB6D0D0" w14:textId="0F77B8A5" w:rsidR="008551CE" w:rsidRDefault="003B266C" w:rsidP="008551CE">
      <w:pPr>
        <w:jc w:val="both"/>
        <w:rPr>
          <w:rFonts w:ascii="Arial" w:eastAsia="Arial" w:hAnsi="Arial" w:cs="Arial"/>
          <w:b/>
          <w:sz w:val="22"/>
          <w:szCs w:val="22"/>
        </w:rPr>
      </w:pPr>
      <w:r w:rsidRPr="008B1EFF">
        <w:rPr>
          <w:rFonts w:ascii="Arial" w:eastAsia="Arial" w:hAnsi="Arial" w:cs="Arial"/>
          <w:sz w:val="22"/>
          <w:szCs w:val="22"/>
        </w:rPr>
        <w:t>In this section, we used statistical network measures to compare and characterize the generated multi-layered graphs. Specifically, we implemented network density, network heterogeneity, and characteristic path length statistical measures. Network density</w:t>
      </w:r>
      <w:r w:rsidRPr="008B1EFF">
        <w:rPr>
          <w:rFonts w:ascii="Cambria" w:eastAsia="Cambria" w:hAnsi="Cambria" w:cs="Cambria"/>
          <w:sz w:val="22"/>
          <w:szCs w:val="22"/>
        </w:rPr>
        <w:t xml:space="preserve"> </w:t>
      </w:r>
      <w:r w:rsidRPr="008B1EFF">
        <w:rPr>
          <w:rFonts w:ascii="Arial" w:eastAsia="Arial" w:hAnsi="Arial" w:cs="Arial"/>
          <w:sz w:val="22"/>
          <w:szCs w:val="22"/>
        </w:rPr>
        <w:t>measures how sparse or dense a graph is according to the number of connections per node [</w:t>
      </w:r>
      <w:r w:rsidR="00FB23C5">
        <w:rPr>
          <w:rFonts w:ascii="Arial" w:eastAsia="Arial" w:hAnsi="Arial" w:cs="Arial"/>
          <w:sz w:val="22"/>
          <w:szCs w:val="22"/>
        </w:rPr>
        <w:t>1</w:t>
      </w:r>
      <w:r w:rsidRPr="008B1EFF">
        <w:rPr>
          <w:rFonts w:ascii="Arial" w:eastAsia="Arial" w:hAnsi="Arial" w:cs="Arial"/>
          <w:sz w:val="22"/>
          <w:szCs w:val="22"/>
        </w:rPr>
        <w:t>]. The closer the value is to 1, the denser the network. Biologically, a network of features of the same type (homogeneous network) turns to form more clusters, thus likely to have network density values closer to one compared to a heterogeneous network. This observation is based on the hypothesis that the features</w:t>
      </w:r>
      <w:r w:rsidR="00657A8F">
        <w:rPr>
          <w:rFonts w:ascii="Arial" w:eastAsia="Arial" w:hAnsi="Arial" w:cs="Arial"/>
          <w:sz w:val="22"/>
          <w:szCs w:val="22"/>
        </w:rPr>
        <w:t xml:space="preserve"> that cluster together</w:t>
      </w:r>
      <w:r w:rsidRPr="008B1EFF">
        <w:rPr>
          <w:rFonts w:ascii="Arial" w:eastAsia="Arial" w:hAnsi="Arial" w:cs="Arial"/>
          <w:sz w:val="22"/>
          <w:szCs w:val="22"/>
        </w:rPr>
        <w:t xml:space="preserve"> share some biological functionality.</w:t>
      </w:r>
      <w:r w:rsidR="001A2524">
        <w:rPr>
          <w:rFonts w:ascii="Arial" w:eastAsia="Arial" w:hAnsi="Arial" w:cs="Arial"/>
          <w:sz w:val="22"/>
          <w:szCs w:val="22"/>
        </w:rPr>
        <w:t xml:space="preserve"> </w:t>
      </w:r>
      <w:r w:rsidRPr="008B1EFF">
        <w:rPr>
          <w:rFonts w:ascii="Arial" w:eastAsia="Arial" w:hAnsi="Arial" w:cs="Arial"/>
          <w:sz w:val="22"/>
          <w:szCs w:val="22"/>
        </w:rPr>
        <w:t>The network heterogeneity quantifies the diversity of connections between nodes [</w:t>
      </w:r>
      <w:r w:rsidR="00FB23C5">
        <w:rPr>
          <w:rFonts w:ascii="Arial" w:eastAsia="Arial" w:hAnsi="Arial" w:cs="Arial"/>
          <w:sz w:val="22"/>
          <w:szCs w:val="22"/>
        </w:rPr>
        <w:t>2</w:t>
      </w:r>
      <w:r w:rsidRPr="008B1EFF">
        <w:rPr>
          <w:rFonts w:ascii="Arial" w:eastAsia="Arial" w:hAnsi="Arial" w:cs="Arial"/>
          <w:sz w:val="22"/>
          <w:szCs w:val="22"/>
        </w:rPr>
        <w:t>]. Biologically, the network heterogeneity provides insights into cellular heterogeneity and the level of graph connectivity (with other feature types) that can guide the selection of biomarkers. Interestingly, network heterogeneity provides an overview of disease classification in terms of the transition from one disease state to another [3]. The characteristic path length measures the average number of edges in the shortest paths, particularly between node pairs of the same type [</w:t>
      </w:r>
      <w:r w:rsidR="00FB23C5">
        <w:rPr>
          <w:rFonts w:ascii="Arial" w:eastAsia="Arial" w:hAnsi="Arial" w:cs="Arial"/>
          <w:sz w:val="22"/>
          <w:szCs w:val="22"/>
        </w:rPr>
        <w:t>4</w:t>
      </w:r>
      <w:r w:rsidRPr="008B1EFF">
        <w:rPr>
          <w:rFonts w:ascii="Arial" w:eastAsia="Arial" w:hAnsi="Arial" w:cs="Arial"/>
          <w:sz w:val="22"/>
          <w:szCs w:val="22"/>
        </w:rPr>
        <w:t xml:space="preserve">]. </w:t>
      </w:r>
      <w:r w:rsidRPr="008B1EFF">
        <w:rPr>
          <w:rFonts w:ascii="Arial" w:eastAsia="Arial" w:hAnsi="Arial" w:cs="Arial"/>
          <w:sz w:val="22"/>
          <w:szCs w:val="22"/>
        </w:rPr>
        <w:lastRenderedPageBreak/>
        <w:t>Biologically, this measure also provides insights to graph connectivity. In the case of an unconnected graph, the characteristic path length is infinite</w:t>
      </w:r>
      <w:r w:rsidRPr="003B266C">
        <w:rPr>
          <w:rFonts w:ascii="Arial" w:eastAsia="Arial" w:hAnsi="Arial" w:cs="Arial"/>
          <w:sz w:val="22"/>
          <w:szCs w:val="22"/>
        </w:rPr>
        <w:t>.</w:t>
      </w:r>
      <w:r w:rsidRPr="003B266C">
        <w:rPr>
          <w:rFonts w:ascii="Arial" w:eastAsia="Arial" w:hAnsi="Arial" w:cs="Arial"/>
          <w:b/>
          <w:sz w:val="22"/>
          <w:szCs w:val="22"/>
        </w:rPr>
        <w:t xml:space="preserve"> </w:t>
      </w:r>
    </w:p>
    <w:p w14:paraId="0C72E7C9" w14:textId="77777777" w:rsidR="008551CE" w:rsidRDefault="008551CE" w:rsidP="008551CE">
      <w:pPr>
        <w:jc w:val="both"/>
        <w:rPr>
          <w:rFonts w:ascii="Arial" w:eastAsia="Arial" w:hAnsi="Arial" w:cs="Arial"/>
          <w:b/>
          <w:sz w:val="22"/>
          <w:szCs w:val="22"/>
        </w:rPr>
      </w:pPr>
    </w:p>
    <w:p w14:paraId="6442E64B" w14:textId="0D8121C8" w:rsidR="006F7CF0" w:rsidRDefault="00FB23C5" w:rsidP="008551CE">
      <w:pPr>
        <w:pStyle w:val="Heading1"/>
        <w:rPr>
          <w:rFonts w:ascii="Arial" w:eastAsia="Arial" w:hAnsi="Arial" w:cs="Arial"/>
          <w:b/>
          <w:bCs/>
          <w:color w:val="auto"/>
          <w:sz w:val="22"/>
          <w:szCs w:val="22"/>
        </w:rPr>
      </w:pPr>
      <w:r>
        <w:rPr>
          <w:rFonts w:ascii="Arial" w:eastAsia="Arial" w:hAnsi="Arial" w:cs="Arial"/>
          <w:b/>
          <w:bCs/>
          <w:color w:val="auto"/>
          <w:sz w:val="22"/>
          <w:szCs w:val="22"/>
        </w:rPr>
        <w:t>Reference</w:t>
      </w:r>
    </w:p>
    <w:p w14:paraId="6086703E" w14:textId="051AB08B" w:rsidR="00FB23C5" w:rsidRPr="001316FF" w:rsidRDefault="00FB23C5" w:rsidP="00FB23C5">
      <w:pPr>
        <w:pStyle w:val="EndNoteBibliography"/>
        <w:spacing w:after="0"/>
        <w:ind w:left="720" w:hanging="720"/>
      </w:pPr>
      <w:r>
        <w:t xml:space="preserve">1.           </w:t>
      </w:r>
      <w:r w:rsidRPr="001316FF">
        <w:t xml:space="preserve">Pavlopoulos, G.A., et al., </w:t>
      </w:r>
      <w:r w:rsidRPr="001316FF">
        <w:rPr>
          <w:i/>
        </w:rPr>
        <w:t>Using graph theory to analyze biological networks.</w:t>
      </w:r>
      <w:r w:rsidRPr="001316FF">
        <w:t xml:space="preserve"> BioData mining, 2011. </w:t>
      </w:r>
      <w:r w:rsidRPr="001316FF">
        <w:rPr>
          <w:b/>
        </w:rPr>
        <w:t>4</w:t>
      </w:r>
      <w:r w:rsidRPr="001316FF">
        <w:t>: p. 1-27.</w:t>
      </w:r>
    </w:p>
    <w:p w14:paraId="208CE48D" w14:textId="2D7074E6" w:rsidR="00FB23C5" w:rsidRPr="001316FF" w:rsidRDefault="00FB23C5" w:rsidP="00FB23C5">
      <w:pPr>
        <w:pStyle w:val="EndNoteBibliography"/>
        <w:spacing w:after="0"/>
        <w:ind w:left="720" w:hanging="720"/>
      </w:pPr>
      <w:r>
        <w:t>2</w:t>
      </w:r>
      <w:r w:rsidRPr="001316FF">
        <w:t>.</w:t>
      </w:r>
      <w:r w:rsidRPr="001316FF">
        <w:tab/>
        <w:t xml:space="preserve">Jacob, R., et al., </w:t>
      </w:r>
      <w:r w:rsidRPr="001316FF">
        <w:rPr>
          <w:i/>
        </w:rPr>
        <w:t>Measure for degree heterogeneity in complex networks and its application to recurrence network analysis.</w:t>
      </w:r>
      <w:r w:rsidRPr="001316FF">
        <w:t xml:space="preserve"> Royal Society open science, 2017. </w:t>
      </w:r>
      <w:r w:rsidRPr="001316FF">
        <w:rPr>
          <w:b/>
        </w:rPr>
        <w:t>4</w:t>
      </w:r>
      <w:r w:rsidRPr="001316FF">
        <w:t>(1): p. 160757.</w:t>
      </w:r>
    </w:p>
    <w:p w14:paraId="5828A985" w14:textId="4E417970" w:rsidR="00FB23C5" w:rsidRPr="001316FF" w:rsidRDefault="00FB23C5" w:rsidP="00FB23C5">
      <w:pPr>
        <w:pStyle w:val="EndNoteBibliography"/>
        <w:spacing w:after="0"/>
        <w:ind w:left="720" w:hanging="720"/>
      </w:pPr>
      <w:r w:rsidRPr="001316FF">
        <w:t>3.</w:t>
      </w:r>
      <w:r w:rsidRPr="001316FF">
        <w:tab/>
        <w:t xml:space="preserve">Gough, A., et al., </w:t>
      </w:r>
      <w:r w:rsidRPr="001316FF">
        <w:rPr>
          <w:i/>
        </w:rPr>
        <w:t>Biologically relevant heterogeneity: metrics and practical insights.</w:t>
      </w:r>
      <w:r w:rsidRPr="001316FF">
        <w:t xml:space="preserve"> Slas Discovery: Advancing Life Sciences R, 2017. </w:t>
      </w:r>
      <w:r w:rsidRPr="001316FF">
        <w:rPr>
          <w:b/>
        </w:rPr>
        <w:t>22</w:t>
      </w:r>
      <w:r w:rsidRPr="001316FF">
        <w:t>(3): p. 213-237.</w:t>
      </w:r>
    </w:p>
    <w:p w14:paraId="2AFC4B47" w14:textId="31835986" w:rsidR="00FB23C5" w:rsidRPr="001316FF" w:rsidRDefault="00FB23C5" w:rsidP="00FB23C5">
      <w:pPr>
        <w:pStyle w:val="EndNoteBibliography"/>
        <w:spacing w:after="0"/>
        <w:ind w:left="720" w:hanging="720"/>
      </w:pPr>
      <w:r>
        <w:t>4</w:t>
      </w:r>
      <w:r w:rsidRPr="001316FF">
        <w:t>.</w:t>
      </w:r>
      <w:r w:rsidRPr="001316FF">
        <w:tab/>
        <w:t xml:space="preserve">Schreiber, F., </w:t>
      </w:r>
      <w:r w:rsidRPr="001316FF">
        <w:rPr>
          <w:i/>
        </w:rPr>
        <w:t>Characteristic path length.</w:t>
      </w:r>
      <w:r w:rsidRPr="001316FF">
        <w:t xml:space="preserve"> 2013.</w:t>
      </w:r>
    </w:p>
    <w:p w14:paraId="2DF9BAF7" w14:textId="77777777" w:rsidR="00FB23C5" w:rsidRPr="00FB23C5" w:rsidRDefault="00FB23C5" w:rsidP="00FB23C5"/>
    <w:sectPr w:rsidR="00FB23C5" w:rsidRPr="00FB23C5" w:rsidSect="0073451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72CF4"/>
    <w:multiLevelType w:val="multilevel"/>
    <w:tmpl w:val="8EFE22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87054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wdCC0tLAzNjUyUdpeDU4uLM/DyQArNaALe/aogsAAAA"/>
  </w:docVars>
  <w:rsids>
    <w:rsidRoot w:val="005D55E0"/>
    <w:rsid w:val="00024250"/>
    <w:rsid w:val="00032E57"/>
    <w:rsid w:val="00037114"/>
    <w:rsid w:val="000830A0"/>
    <w:rsid w:val="001212C9"/>
    <w:rsid w:val="00123544"/>
    <w:rsid w:val="00130221"/>
    <w:rsid w:val="001A2524"/>
    <w:rsid w:val="001A7BC0"/>
    <w:rsid w:val="001F1AEE"/>
    <w:rsid w:val="00242BF1"/>
    <w:rsid w:val="00246985"/>
    <w:rsid w:val="002A60D3"/>
    <w:rsid w:val="002A7BCA"/>
    <w:rsid w:val="002C3F65"/>
    <w:rsid w:val="002E21B4"/>
    <w:rsid w:val="0031126B"/>
    <w:rsid w:val="003277F2"/>
    <w:rsid w:val="0037198D"/>
    <w:rsid w:val="00393786"/>
    <w:rsid w:val="003967CF"/>
    <w:rsid w:val="003B266C"/>
    <w:rsid w:val="003E31BE"/>
    <w:rsid w:val="00436455"/>
    <w:rsid w:val="00451AB1"/>
    <w:rsid w:val="00471D2E"/>
    <w:rsid w:val="00481564"/>
    <w:rsid w:val="00496506"/>
    <w:rsid w:val="004B4FA9"/>
    <w:rsid w:val="00534CEB"/>
    <w:rsid w:val="0054098E"/>
    <w:rsid w:val="00582141"/>
    <w:rsid w:val="005930ED"/>
    <w:rsid w:val="005A186F"/>
    <w:rsid w:val="005D55E0"/>
    <w:rsid w:val="005F1461"/>
    <w:rsid w:val="005F3FBA"/>
    <w:rsid w:val="005F5F51"/>
    <w:rsid w:val="00657A8F"/>
    <w:rsid w:val="00677157"/>
    <w:rsid w:val="00691FD9"/>
    <w:rsid w:val="00697307"/>
    <w:rsid w:val="006D00F7"/>
    <w:rsid w:val="006E7E00"/>
    <w:rsid w:val="006F6959"/>
    <w:rsid w:val="006F7CF0"/>
    <w:rsid w:val="00701FB9"/>
    <w:rsid w:val="00734514"/>
    <w:rsid w:val="007721B5"/>
    <w:rsid w:val="00792858"/>
    <w:rsid w:val="00794FB4"/>
    <w:rsid w:val="007A7CDA"/>
    <w:rsid w:val="007E28C4"/>
    <w:rsid w:val="00802BC2"/>
    <w:rsid w:val="008039CA"/>
    <w:rsid w:val="008214AC"/>
    <w:rsid w:val="008551CE"/>
    <w:rsid w:val="008927CF"/>
    <w:rsid w:val="008B1EFF"/>
    <w:rsid w:val="008E263D"/>
    <w:rsid w:val="008F1BFD"/>
    <w:rsid w:val="008F298C"/>
    <w:rsid w:val="00912165"/>
    <w:rsid w:val="00912B45"/>
    <w:rsid w:val="009430FC"/>
    <w:rsid w:val="00983AA2"/>
    <w:rsid w:val="009976FE"/>
    <w:rsid w:val="009B3DCF"/>
    <w:rsid w:val="00A11AC4"/>
    <w:rsid w:val="00A15BA1"/>
    <w:rsid w:val="00A4198C"/>
    <w:rsid w:val="00A85D46"/>
    <w:rsid w:val="00B27D95"/>
    <w:rsid w:val="00B72B7A"/>
    <w:rsid w:val="00C715E6"/>
    <w:rsid w:val="00C7276C"/>
    <w:rsid w:val="00D704AF"/>
    <w:rsid w:val="00D91A59"/>
    <w:rsid w:val="00DC5FD9"/>
    <w:rsid w:val="00DE13CA"/>
    <w:rsid w:val="00DF68D3"/>
    <w:rsid w:val="00EB31D3"/>
    <w:rsid w:val="00EC7FBA"/>
    <w:rsid w:val="00F73BC6"/>
    <w:rsid w:val="00FA62B6"/>
    <w:rsid w:val="00FB23C5"/>
    <w:rsid w:val="00FB44EA"/>
    <w:rsid w:val="00FD0CA4"/>
    <w:rsid w:val="00FD44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CD7"/>
  <w15:chartTrackingRefBased/>
  <w15:docId w15:val="{5E58BE16-8FD4-475A-B37E-E563A7D7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FD9"/>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EC7F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76FE"/>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1126B"/>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semiHidden/>
    <w:unhideWhenUsed/>
    <w:qFormat/>
    <w:rsid w:val="0031126B"/>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31126B"/>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31126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76F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C7FBA"/>
    <w:rPr>
      <w:rFonts w:asciiTheme="majorHAnsi" w:eastAsiaTheme="majorEastAsia" w:hAnsiTheme="majorHAnsi" w:cstheme="majorBidi"/>
      <w:color w:val="2F5496" w:themeColor="accent1" w:themeShade="BF"/>
      <w:sz w:val="32"/>
      <w:szCs w:val="32"/>
      <w:lang w:eastAsia="en-GB"/>
    </w:rPr>
  </w:style>
  <w:style w:type="character" w:customStyle="1" w:styleId="Heading3Char">
    <w:name w:val="Heading 3 Char"/>
    <w:basedOn w:val="DefaultParagraphFont"/>
    <w:link w:val="Heading3"/>
    <w:uiPriority w:val="9"/>
    <w:rsid w:val="003112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126B"/>
    <w:rPr>
      <w:rFonts w:ascii="Times New Roman" w:eastAsia="Times New Roman" w:hAnsi="Times New Roman" w:cs="Times New Roman"/>
      <w:b/>
      <w:sz w:val="24"/>
      <w:szCs w:val="24"/>
      <w:lang w:eastAsia="en-GB"/>
    </w:rPr>
  </w:style>
  <w:style w:type="character" w:customStyle="1" w:styleId="Heading5Char">
    <w:name w:val="Heading 5 Char"/>
    <w:basedOn w:val="DefaultParagraphFont"/>
    <w:link w:val="Heading5"/>
    <w:uiPriority w:val="9"/>
    <w:semiHidden/>
    <w:rsid w:val="0031126B"/>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31126B"/>
    <w:rPr>
      <w:rFonts w:ascii="Times New Roman" w:eastAsia="Times New Roman" w:hAnsi="Times New Roman" w:cs="Times New Roman"/>
      <w:b/>
      <w:sz w:val="20"/>
      <w:szCs w:val="20"/>
      <w:lang w:eastAsia="en-GB"/>
    </w:rPr>
  </w:style>
  <w:style w:type="paragraph" w:styleId="Title">
    <w:name w:val="Title"/>
    <w:basedOn w:val="Normal"/>
    <w:next w:val="Normal"/>
    <w:link w:val="TitleChar"/>
    <w:uiPriority w:val="10"/>
    <w:qFormat/>
    <w:rsid w:val="0031126B"/>
    <w:pPr>
      <w:keepNext/>
      <w:keepLines/>
      <w:spacing w:before="480" w:after="120"/>
    </w:pPr>
    <w:rPr>
      <w:b/>
      <w:sz w:val="72"/>
      <w:szCs w:val="72"/>
    </w:rPr>
  </w:style>
  <w:style w:type="character" w:customStyle="1" w:styleId="TitleChar">
    <w:name w:val="Title Char"/>
    <w:basedOn w:val="DefaultParagraphFont"/>
    <w:link w:val="Title"/>
    <w:uiPriority w:val="10"/>
    <w:rsid w:val="0031126B"/>
    <w:rPr>
      <w:rFonts w:ascii="Times New Roman" w:eastAsia="Times New Roman" w:hAnsi="Times New Roman" w:cs="Times New Roman"/>
      <w:b/>
      <w:sz w:val="72"/>
      <w:szCs w:val="72"/>
      <w:lang w:eastAsia="en-GB"/>
    </w:rPr>
  </w:style>
  <w:style w:type="paragraph" w:styleId="ListParagraph">
    <w:name w:val="List Paragraph"/>
    <w:basedOn w:val="Normal"/>
    <w:uiPriority w:val="34"/>
    <w:qFormat/>
    <w:rsid w:val="0031126B"/>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39"/>
    <w:rsid w:val="0031126B"/>
    <w:pPr>
      <w:spacing w:after="0" w:line="240" w:lineRule="auto"/>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126B"/>
    <w:rPr>
      <w:sz w:val="16"/>
      <w:szCs w:val="16"/>
    </w:rPr>
  </w:style>
  <w:style w:type="paragraph" w:styleId="CommentText">
    <w:name w:val="annotation text"/>
    <w:basedOn w:val="Normal"/>
    <w:link w:val="CommentTextChar"/>
    <w:uiPriority w:val="99"/>
    <w:unhideWhenUsed/>
    <w:rsid w:val="0031126B"/>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31126B"/>
    <w:rPr>
      <w:sz w:val="20"/>
      <w:szCs w:val="20"/>
    </w:rPr>
  </w:style>
  <w:style w:type="paragraph" w:styleId="CommentSubject">
    <w:name w:val="annotation subject"/>
    <w:basedOn w:val="CommentText"/>
    <w:next w:val="CommentText"/>
    <w:link w:val="CommentSubjectChar"/>
    <w:uiPriority w:val="99"/>
    <w:semiHidden/>
    <w:unhideWhenUsed/>
    <w:rsid w:val="0031126B"/>
    <w:rPr>
      <w:b/>
      <w:bCs/>
    </w:rPr>
  </w:style>
  <w:style w:type="character" w:customStyle="1" w:styleId="CommentSubjectChar">
    <w:name w:val="Comment Subject Char"/>
    <w:basedOn w:val="CommentTextChar"/>
    <w:link w:val="CommentSubject"/>
    <w:uiPriority w:val="99"/>
    <w:semiHidden/>
    <w:rsid w:val="0031126B"/>
    <w:rPr>
      <w:b/>
      <w:bCs/>
      <w:sz w:val="20"/>
      <w:szCs w:val="20"/>
    </w:rPr>
  </w:style>
  <w:style w:type="character" w:styleId="Hyperlink">
    <w:name w:val="Hyperlink"/>
    <w:basedOn w:val="DefaultParagraphFont"/>
    <w:uiPriority w:val="99"/>
    <w:unhideWhenUsed/>
    <w:rsid w:val="0031126B"/>
    <w:rPr>
      <w:color w:val="0563C1" w:themeColor="hyperlink"/>
      <w:u w:val="single"/>
    </w:rPr>
  </w:style>
  <w:style w:type="character" w:styleId="UnresolvedMention">
    <w:name w:val="Unresolved Mention"/>
    <w:basedOn w:val="DefaultParagraphFont"/>
    <w:uiPriority w:val="99"/>
    <w:semiHidden/>
    <w:unhideWhenUsed/>
    <w:rsid w:val="0031126B"/>
    <w:rPr>
      <w:color w:val="605E5C"/>
      <w:shd w:val="clear" w:color="auto" w:fill="E1DFDD"/>
    </w:rPr>
  </w:style>
  <w:style w:type="paragraph" w:customStyle="1" w:styleId="EndNoteBibliographyTitle">
    <w:name w:val="EndNote Bibliography Title"/>
    <w:basedOn w:val="Normal"/>
    <w:link w:val="EndNoteBibliographyTitleChar"/>
    <w:rsid w:val="0031126B"/>
    <w:pPr>
      <w:spacing w:line="259" w:lineRule="auto"/>
      <w:jc w:val="center"/>
    </w:pPr>
    <w:rPr>
      <w:rFonts w:ascii="Calibri" w:eastAsiaTheme="minorHAnsi" w:hAnsi="Calibri" w:cs="Calibri"/>
      <w:noProof/>
      <w:sz w:val="22"/>
      <w:szCs w:val="22"/>
      <w:lang w:val="en-US" w:eastAsia="en-US"/>
    </w:rPr>
  </w:style>
  <w:style w:type="character" w:customStyle="1" w:styleId="EndNoteBibliographyTitleChar">
    <w:name w:val="EndNote Bibliography Title Char"/>
    <w:basedOn w:val="DefaultParagraphFont"/>
    <w:link w:val="EndNoteBibliographyTitle"/>
    <w:rsid w:val="0031126B"/>
    <w:rPr>
      <w:rFonts w:ascii="Calibri" w:hAnsi="Calibri" w:cs="Calibri"/>
      <w:noProof/>
      <w:lang w:val="en-US"/>
    </w:rPr>
  </w:style>
  <w:style w:type="paragraph" w:customStyle="1" w:styleId="EndNoteBibliography">
    <w:name w:val="EndNote Bibliography"/>
    <w:basedOn w:val="Normal"/>
    <w:link w:val="EndNoteBibliographyChar"/>
    <w:rsid w:val="0031126B"/>
    <w:pPr>
      <w:spacing w:after="160"/>
    </w:pPr>
    <w:rPr>
      <w:rFonts w:ascii="Calibri" w:eastAsiaTheme="minorHAnsi" w:hAnsi="Calibri" w:cs="Calibri"/>
      <w:noProof/>
      <w:sz w:val="22"/>
      <w:szCs w:val="22"/>
      <w:lang w:val="en-US" w:eastAsia="en-US"/>
    </w:rPr>
  </w:style>
  <w:style w:type="character" w:customStyle="1" w:styleId="EndNoteBibliographyChar">
    <w:name w:val="EndNote Bibliography Char"/>
    <w:basedOn w:val="DefaultParagraphFont"/>
    <w:link w:val="EndNoteBibliography"/>
    <w:rsid w:val="0031126B"/>
    <w:rPr>
      <w:rFonts w:ascii="Calibri" w:hAnsi="Calibri" w:cs="Calibri"/>
      <w:noProof/>
      <w:lang w:val="en-US"/>
    </w:rPr>
  </w:style>
  <w:style w:type="paragraph" w:customStyle="1" w:styleId="chapter-para">
    <w:name w:val="chapter-para"/>
    <w:basedOn w:val="Normal"/>
    <w:rsid w:val="0031126B"/>
    <w:pPr>
      <w:spacing w:before="100" w:beforeAutospacing="1" w:after="100" w:afterAutospacing="1"/>
    </w:pPr>
    <w:rPr>
      <w:lang w:eastAsia="en-ZA"/>
    </w:rPr>
  </w:style>
  <w:style w:type="character" w:styleId="PlaceholderText">
    <w:name w:val="Placeholder Text"/>
    <w:basedOn w:val="DefaultParagraphFont"/>
    <w:uiPriority w:val="99"/>
    <w:semiHidden/>
    <w:rsid w:val="0031126B"/>
    <w:rPr>
      <w:color w:val="808080"/>
    </w:rPr>
  </w:style>
  <w:style w:type="character" w:styleId="FollowedHyperlink">
    <w:name w:val="FollowedHyperlink"/>
    <w:basedOn w:val="DefaultParagraphFont"/>
    <w:uiPriority w:val="99"/>
    <w:semiHidden/>
    <w:unhideWhenUsed/>
    <w:rsid w:val="0031126B"/>
    <w:rPr>
      <w:color w:val="954F72" w:themeColor="followedHyperlink"/>
      <w:u w:val="single"/>
    </w:rPr>
  </w:style>
  <w:style w:type="paragraph" w:styleId="Caption">
    <w:name w:val="caption"/>
    <w:basedOn w:val="Normal"/>
    <w:next w:val="Normal"/>
    <w:uiPriority w:val="35"/>
    <w:unhideWhenUsed/>
    <w:qFormat/>
    <w:rsid w:val="0031126B"/>
    <w:pPr>
      <w:spacing w:after="200"/>
    </w:pPr>
    <w:rPr>
      <w:rFonts w:asciiTheme="minorHAnsi" w:eastAsiaTheme="minorHAnsi" w:hAnsiTheme="minorHAnsi" w:cstheme="minorBidi"/>
      <w:i/>
      <w:iCs/>
      <w:color w:val="44546A" w:themeColor="text2"/>
      <w:sz w:val="18"/>
      <w:szCs w:val="18"/>
      <w:lang w:eastAsia="en-US"/>
    </w:rPr>
  </w:style>
  <w:style w:type="table" w:styleId="PlainTable2">
    <w:name w:val="Plain Table 2"/>
    <w:basedOn w:val="TableNormal"/>
    <w:uiPriority w:val="42"/>
    <w:rsid w:val="0031126B"/>
    <w:pPr>
      <w:spacing w:after="0" w:line="240" w:lineRule="auto"/>
    </w:pPr>
    <w:rPr>
      <w:rFonts w:ascii="Times New Roman" w:eastAsia="Times New Roman" w:hAnsi="Times New Roman" w:cs="Times New Roman"/>
      <w:sz w:val="24"/>
      <w:szCs w:val="24"/>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31126B"/>
    <w:pPr>
      <w:tabs>
        <w:tab w:val="center" w:pos="4513"/>
        <w:tab w:val="right" w:pos="9026"/>
      </w:tabs>
    </w:pPr>
  </w:style>
  <w:style w:type="character" w:customStyle="1" w:styleId="HeaderChar">
    <w:name w:val="Header Char"/>
    <w:basedOn w:val="DefaultParagraphFont"/>
    <w:link w:val="Header"/>
    <w:uiPriority w:val="99"/>
    <w:rsid w:val="0031126B"/>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31126B"/>
    <w:pPr>
      <w:tabs>
        <w:tab w:val="center" w:pos="4513"/>
        <w:tab w:val="right" w:pos="9026"/>
      </w:tabs>
    </w:pPr>
  </w:style>
  <w:style w:type="character" w:customStyle="1" w:styleId="FooterChar">
    <w:name w:val="Footer Char"/>
    <w:basedOn w:val="DefaultParagraphFont"/>
    <w:link w:val="Footer"/>
    <w:uiPriority w:val="99"/>
    <w:rsid w:val="0031126B"/>
    <w:rPr>
      <w:rFonts w:ascii="Times New Roman" w:eastAsia="Times New Roman" w:hAnsi="Times New Roman" w:cs="Times New Roman"/>
      <w:sz w:val="24"/>
      <w:szCs w:val="24"/>
      <w:lang w:eastAsia="en-GB"/>
    </w:rPr>
  </w:style>
  <w:style w:type="paragraph" w:customStyle="1" w:styleId="msonormal0">
    <w:name w:val="msonormal"/>
    <w:basedOn w:val="Normal"/>
    <w:rsid w:val="0031126B"/>
    <w:pPr>
      <w:spacing w:before="100" w:beforeAutospacing="1" w:after="100" w:afterAutospacing="1"/>
    </w:pPr>
    <w:rPr>
      <w:lang w:eastAsia="en-ZA"/>
    </w:rPr>
  </w:style>
  <w:style w:type="character" w:customStyle="1" w:styleId="ui-column-title">
    <w:name w:val="ui-column-title"/>
    <w:basedOn w:val="DefaultParagraphFont"/>
    <w:rsid w:val="0031126B"/>
  </w:style>
  <w:style w:type="table" w:styleId="TableGridLight">
    <w:name w:val="Grid Table Light"/>
    <w:basedOn w:val="TableNormal"/>
    <w:uiPriority w:val="40"/>
    <w:rsid w:val="0031126B"/>
    <w:pPr>
      <w:spacing w:after="0" w:line="240" w:lineRule="auto"/>
    </w:pPr>
    <w:rPr>
      <w:rFonts w:ascii="Times New Roman" w:eastAsia="Times New Roman" w:hAnsi="Times New Roman" w:cs="Times New Roman"/>
      <w:sz w:val="24"/>
      <w:szCs w:val="24"/>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31126B"/>
    <w:pPr>
      <w:spacing w:after="0" w:line="240" w:lineRule="auto"/>
    </w:pPr>
    <w:rPr>
      <w:rFonts w:ascii="Times New Roman" w:eastAsia="Times New Roman" w:hAnsi="Times New Roman" w:cs="Times New Roman"/>
      <w:sz w:val="24"/>
      <w:szCs w:val="24"/>
      <w:lang w:eastAsia="en-GB"/>
    </w:rPr>
  </w:style>
  <w:style w:type="paragraph" w:styleId="Subtitle">
    <w:name w:val="Subtitle"/>
    <w:basedOn w:val="Normal"/>
    <w:next w:val="Normal"/>
    <w:link w:val="SubtitleChar"/>
    <w:uiPriority w:val="11"/>
    <w:qFormat/>
    <w:rsid w:val="0031126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1126B"/>
    <w:rPr>
      <w:rFonts w:ascii="Georgia" w:eastAsia="Georgia" w:hAnsi="Georgia" w:cs="Georgia"/>
      <w:i/>
      <w:color w:val="66666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56630">
      <w:bodyDiv w:val="1"/>
      <w:marLeft w:val="0"/>
      <w:marRight w:val="0"/>
      <w:marTop w:val="0"/>
      <w:marBottom w:val="0"/>
      <w:divBdr>
        <w:top w:val="none" w:sz="0" w:space="0" w:color="auto"/>
        <w:left w:val="none" w:sz="0" w:space="0" w:color="auto"/>
        <w:bottom w:val="none" w:sz="0" w:space="0" w:color="auto"/>
        <w:right w:val="none" w:sz="0" w:space="0" w:color="auto"/>
      </w:divBdr>
    </w:div>
    <w:div w:id="203943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mile.chimusa@northumbria.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ter-Bram.tHoen@radboudumc.n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D3DA2-2981-4DA2-8EE0-ECFDEBBAD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5</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Agamah</dc:creator>
  <cp:keywords/>
  <dc:description/>
  <cp:lastModifiedBy>Francis Agamah</cp:lastModifiedBy>
  <cp:revision>92</cp:revision>
  <dcterms:created xsi:type="dcterms:W3CDTF">2023-03-14T17:51:00Z</dcterms:created>
  <dcterms:modified xsi:type="dcterms:W3CDTF">2023-05-07T14:20:00Z</dcterms:modified>
</cp:coreProperties>
</file>