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SOUTHERN UNIVERSITY AND A&amp;M COLLEGE</w:t>
        <w:br/>
      </w:r>
      <w:r>
        <w:rPr>
          <w:b/>
          <w:sz w:val="28"/>
        </w:rPr>
        <w:t>SBIO 221LB - HUMAN ANATOMY &amp; PHYSIOLOGY I LAB</w:t>
        <w:br/>
      </w:r>
      <w:r>
        <w:rPr>
          <w:b/>
          <w:sz w:val="24"/>
        </w:rPr>
        <w:t>Revised Gateway / AI / Bloom's Taxonomy Course Design</w:t>
        <w:br/>
        <w:t>Fall 2026</w:t>
      </w:r>
    </w:p>
    <w:p>
      <w:r>
        <w:rPr>
          <w:b/>
        </w:rPr>
        <w:t xml:space="preserve">Instructor: </w:t>
      </w:r>
      <w:r>
        <w:t>Antigone Francis</w:t>
        <w:br/>
      </w:r>
      <w:r>
        <w:rPr>
          <w:b/>
        </w:rPr>
        <w:t xml:space="preserve">Mode of Instruction: </w:t>
      </w:r>
      <w:r>
        <w:t>Face-to-Face</w:t>
        <w:br/>
      </w:r>
      <w:r>
        <w:rPr>
          <w:b/>
        </w:rPr>
        <w:t xml:space="preserve">Course Meeting: </w:t>
      </w:r>
      <w:r>
        <w:t>Tuesday, 1:00-3:50 PM</w:t>
        <w:br/>
      </w:r>
      <w:r>
        <w:rPr>
          <w:b/>
        </w:rPr>
        <w:t xml:space="preserve">Credit: </w:t>
      </w:r>
      <w:r>
        <w:t>1 hour</w:t>
        <w:br/>
      </w:r>
      <w:r>
        <w:rPr>
          <w:b/>
        </w:rPr>
        <w:t xml:space="preserve">Office: </w:t>
      </w:r>
      <w:r>
        <w:t>202J Fisher Hall | (225) 771-4586 | Office Hours: TBA</w:t>
        <w:br/>
      </w:r>
      <w:r>
        <w:rPr>
          <w:b/>
        </w:rPr>
        <w:t xml:space="preserve">Email: </w:t>
      </w:r>
      <w:r>
        <w:t>antigone.francis@sus.edu</w:t>
      </w:r>
    </w:p>
    <w:p>
      <w:r>
        <w:rPr>
          <w:b/>
        </w:rPr>
        <w:t xml:space="preserve">Fall Semester Start: </w:t>
      </w:r>
      <w:r>
        <w:t>Monday, August 17, 2026. Because the laboratory meets on Tuesdays only, the first scheduled class meeting is Tuesday, August 18, 2026.</w:t>
      </w:r>
    </w:p>
    <w:p>
      <w:pPr>
        <w:pStyle w:val="Heading1"/>
      </w:pPr>
      <w:r>
        <w:t>Course Description</w:t>
      </w:r>
    </w:p>
    <w:p>
      <w:r>
        <w:t>Human Anatomy &amp; Physiology I Laboratory examines gross and microscopic anatomy and the physiological principles associated with homeostasis. Topics include body orientation, cells and tissues, integumentary, skeletal, muscular, nervous and sensory systems. The redesigned course preserves hands-on laboratory work while adding active learning, digital visualization, data interpretation, responsible AI-supported learning, and computational thinking appropriate for nursing, allied health sciences, nutrition, and other health-related majors.</w:t>
      </w:r>
    </w:p>
    <w:p>
      <w:pPr>
        <w:pStyle w:val="Heading1"/>
      </w:pPr>
      <w:r>
        <w:t>Redesign Framework</w:t>
      </w:r>
    </w:p>
    <w:p>
      <w:r>
        <w:t>The course is intentionally designed around Bloom's Taxonomy and Gateway-style technology-enhanced learning. Students progress from identifying anatomical structures to explaining, applying, analyzing, evaluating, and creating with anatomical and physiological information. Technology is used to support—not replace—observation, reasoning, scientific evidence, and instructor-guided laboratory experiences.</w:t>
      </w:r>
    </w:p>
    <w:p>
      <w:pPr>
        <w:pStyle w:val="Heading1"/>
      </w:pPr>
      <w:r>
        <w:t>Revised Course Objectives</w:t>
      </w:r>
    </w:p>
    <w:p>
      <w:pPr/>
      <w:r>
        <w:rPr>
          <w:b/>
        </w:rPr>
        <w:t xml:space="preserve">1. Explain </w:t>
      </w:r>
      <w:r>
        <w:t>relationships between anatomical structure and physiological function across major body systems.</w:t>
      </w:r>
      <w:r>
        <w:rPr>
          <w:i/>
        </w:rPr>
        <w:t xml:space="preserve">  [Bloom: Understand]</w:t>
      </w:r>
    </w:p>
    <w:p>
      <w:pPr/>
      <w:r>
        <w:rPr>
          <w:b/>
        </w:rPr>
        <w:t xml:space="preserve">2. Apply </w:t>
      </w:r>
      <w:r>
        <w:t>anatomical terminology and physiological principles to laboratory observations and clinical scenarios.</w:t>
      </w:r>
      <w:r>
        <w:rPr>
          <w:i/>
        </w:rPr>
        <w:t xml:space="preserve">  [Bloom: Apply]</w:t>
      </w:r>
    </w:p>
    <w:p>
      <w:pPr/>
      <w:r>
        <w:rPr>
          <w:b/>
        </w:rPr>
        <w:t xml:space="preserve">3. Analyze </w:t>
      </w:r>
      <w:r>
        <w:t>microscopic, anatomical, and physiological data to recognize patterns and explain homeostatic mechanisms.</w:t>
      </w:r>
      <w:r>
        <w:rPr>
          <w:i/>
        </w:rPr>
        <w:t xml:space="preserve">  [Bloom: Analyze]</w:t>
      </w:r>
    </w:p>
    <w:p>
      <w:pPr/>
      <w:r>
        <w:rPr>
          <w:b/>
        </w:rPr>
        <w:t xml:space="preserve">4. Evaluate </w:t>
      </w:r>
      <w:r>
        <w:t>scientific information, including AI-generated explanations, for accuracy, evidence, limitations, and biological relevance.</w:t>
      </w:r>
      <w:r>
        <w:rPr>
          <w:i/>
        </w:rPr>
        <w:t xml:space="preserve">  [Bloom: Evaluate]</w:t>
      </w:r>
    </w:p>
    <w:p>
      <w:pPr/>
      <w:r>
        <w:rPr>
          <w:b/>
        </w:rPr>
        <w:t xml:space="preserve">5. Create </w:t>
      </w:r>
      <w:r>
        <w:t>evidence-based representations, explanations, or study resources that communicate relationships among structure, function, homeostasis, and pathology.</w:t>
      </w:r>
      <w:r>
        <w:rPr>
          <w:i/>
        </w:rPr>
        <w:t xml:space="preserve">  [Bloom: Create]</w:t>
      </w:r>
    </w:p>
    <w:p>
      <w:pPr>
        <w:pStyle w:val="Heading1"/>
      </w:pPr>
      <w:r>
        <w:t>Course Learning Outcomes</w:t>
      </w:r>
    </w:p>
    <w:p>
      <w:pPr>
        <w:pStyle w:val="ListNumber"/>
      </w:pPr>
      <w:r>
        <w:t>Identify and accurately describe major anatomical structures using specimens, models, microscopy, and digital anatomy resources.</w:t>
      </w:r>
    </w:p>
    <w:p>
      <w:pPr>
        <w:pStyle w:val="ListNumber"/>
      </w:pPr>
      <w:r>
        <w:t>Explain structure-function relationships at tissue, organ, and organ-system levels.</w:t>
      </w:r>
    </w:p>
    <w:p>
      <w:pPr>
        <w:pStyle w:val="ListNumber"/>
      </w:pPr>
      <w:r>
        <w:t>Apply anatomy and physiology concepts to authentic health and clinical scenarios.</w:t>
      </w:r>
    </w:p>
    <w:p>
      <w:pPr>
        <w:pStyle w:val="ListNumber"/>
      </w:pPr>
      <w:r>
        <w:t>Analyze laboratory observations and physiological data, including EMG and EEG data, to draw evidence-based conclusions.</w:t>
      </w:r>
    </w:p>
    <w:p>
      <w:pPr>
        <w:pStyle w:val="ListNumber"/>
      </w:pPr>
      <w:r>
        <w:t>Evaluate AI-generated and digital scientific information by comparing it with course materials, laboratory evidence, and reliable scientific sources.</w:t>
      </w:r>
    </w:p>
    <w:p>
      <w:pPr>
        <w:pStyle w:val="ListNumber"/>
      </w:pPr>
      <w:r>
        <w:t>Use approved digital, computational, and immersive tools to investigate biological structures, physiological processes, and data.</w:t>
      </w:r>
    </w:p>
    <w:p>
      <w:pPr>
        <w:pStyle w:val="ListNumber"/>
      </w:pPr>
      <w:r>
        <w:t>Communicate scientific reasoning through laboratory products, short reflections, visualizations, and collaborative problem solving.</w:t>
      </w:r>
    </w:p>
    <w:p>
      <w:pPr>
        <w:pStyle w:val="Heading1"/>
      </w:pPr>
      <w:r>
        <w:t>Gateway-Aligned Learning Concepts</w:t>
      </w:r>
    </w:p>
    <w:p>
      <w:r>
        <w:rPr>
          <w:b/>
        </w:rPr>
        <w:t xml:space="preserve">Technology-enhanced learning: </w:t>
      </w:r>
      <w:r>
        <w:t>Use accessible digital tools, visualization platforms, simulations, and virtual/3D anatomy resources to extend laboratory learning.</w:t>
      </w:r>
    </w:p>
    <w:p>
      <w:r>
        <w:rPr>
          <w:b/>
        </w:rPr>
        <w:t xml:space="preserve">Computational thinking: </w:t>
      </w:r>
      <w:r>
        <w:t>Interpret, organize, compare, and visualize biological data without requiring advanced programming.</w:t>
      </w:r>
    </w:p>
    <w:p>
      <w:r>
        <w:rPr>
          <w:b/>
        </w:rPr>
        <w:t xml:space="preserve">Data literacy: </w:t>
      </w:r>
      <w:r>
        <w:t>Read tables, graphs, measurements, and physiological recordings and use evidence to support conclusions.</w:t>
      </w:r>
    </w:p>
    <w:p>
      <w:r>
        <w:rPr>
          <w:b/>
        </w:rPr>
        <w:t xml:space="preserve">AI literacy: </w:t>
      </w:r>
      <w:r>
        <w:t>Develop effective prompts, verify AI output, identify limitations or inaccuracies, and use AI transparently and ethically.</w:t>
      </w:r>
    </w:p>
    <w:p>
      <w:r>
        <w:rPr>
          <w:b/>
        </w:rPr>
        <w:t xml:space="preserve">Active and collaborative learning: </w:t>
      </w:r>
      <w:r>
        <w:t>Use case studies, stations, peer explanation, and problem-solving activities to strengthen conceptual understanding.</w:t>
      </w:r>
    </w:p>
    <w:p>
      <w:r>
        <w:rPr>
          <w:b/>
        </w:rPr>
        <w:t xml:space="preserve">Transfer and authentic application: </w:t>
      </w:r>
      <w:r>
        <w:t>Connect laboratory concepts to healthcare, disease, homeostasis, and real-world biological problems.</w:t>
      </w:r>
    </w:p>
    <w:p>
      <w:pPr>
        <w:pStyle w:val="Heading1"/>
      </w:pPr>
      <w:r>
        <w:t>Required and Recommended Learning Technologies</w:t>
      </w:r>
    </w:p>
    <w:p>
      <w:pPr>
        <w:pStyle w:val="ListBullet"/>
      </w:pPr>
      <w:r>
        <w:t>Canvas LMS for course materials, announcements, assessments, and assignment submission.</w:t>
      </w:r>
    </w:p>
    <w:p>
      <w:pPr>
        <w:pStyle w:val="ListBullet"/>
      </w:pPr>
      <w:r>
        <w:t>McGraw Hill Connect and the required digital laboratory manual for assigned activities.</w:t>
      </w:r>
    </w:p>
    <w:p>
      <w:pPr>
        <w:pStyle w:val="ListBullet"/>
      </w:pPr>
      <w:r>
        <w:t>Respondus LockDown Browser + Webcam when required for Canvas examinations.</w:t>
      </w:r>
    </w:p>
    <w:p>
      <w:pPr>
        <w:pStyle w:val="ListBullet"/>
      </w:pPr>
      <w:r>
        <w:t>Visible Body or another institutionally approved 3D anatomy resource, when available.</w:t>
      </w:r>
    </w:p>
    <w:p>
      <w:pPr>
        <w:pStyle w:val="ListBullet"/>
      </w:pPr>
      <w:r>
        <w:t>Instructor-approved generative AI tools for designated learning activities only.</w:t>
      </w:r>
    </w:p>
    <w:p>
      <w:pPr>
        <w:pStyle w:val="ListBullet"/>
      </w:pPr>
      <w:r>
        <w:t>Microsoft 365 tools such as Word, Excel, PowerPoint, and Teams for data organization, collaboration, and communication.</w:t>
      </w:r>
    </w:p>
    <w:p>
      <w:pPr>
        <w:pStyle w:val="ListBullet"/>
      </w:pPr>
      <w:r>
        <w:t>BioDigital Human - interactive 3D anatomy and physiology models, tours, and quizzes for spatial exploration, structure-function activities, and instructor-guided immersive learning.</w:t>
      </w:r>
    </w:p>
    <w:p>
      <w:pPr>
        <w:pStyle w:val="ListBullet"/>
      </w:pPr>
      <w:r>
        <w:t>Jupyter Notebooks / JupyterLab - interactive notebooks for introductory biological data organization, visualization, interpretation, and computational thinking. Instructor-prepared notebooks can allow students to focus on biological reasoning without requiring advanced programming experience.</w:t>
      </w:r>
    </w:p>
    <w:p>
      <w:pPr>
        <w:pStyle w:val="Heading1"/>
      </w:pPr>
      <w:r>
        <w:t>Responsible Use of Artificial Intelligence</w:t>
      </w:r>
    </w:p>
    <w:p>
      <w:r>
        <w:t>AI is incorporated as a learning and scientific-literacy tool. Students may use an instructor-approved AI tool only when an assignment explicitly permits it. Permitted uses may include generating practice questions, obtaining alternate explanations, developing study aids, brainstorming, or examining an AI response for accuracy. Students remain responsible for verifying all AI-generated information against course materials and reliable scientific evidence.</w:t>
      </w:r>
    </w:p>
    <w:p>
      <w:pPr>
        <w:pStyle w:val="ListBullet"/>
      </w:pPr>
      <w:r>
        <w:t>AI may not be used during practicums, quizzes, or other assessments unless the instructor explicitly authorizes it.</w:t>
      </w:r>
    </w:p>
    <w:p>
      <w:pPr>
        <w:pStyle w:val="ListBullet"/>
      </w:pPr>
      <w:r>
        <w:t>Students must not submit AI-generated work as their own original work.</w:t>
      </w:r>
    </w:p>
    <w:p>
      <w:pPr>
        <w:pStyle w:val="ListBullet"/>
      </w:pPr>
      <w:r>
        <w:t>When AI is used in a designated assignment, students should identify the tool and briefly describe how it was used.</w:t>
      </w:r>
    </w:p>
    <w:p>
      <w:pPr>
        <w:pStyle w:val="ListBullet"/>
      </w:pPr>
      <w:r>
        <w:t>AI output must be evaluated for errors, bias, missing context, and unsupported claims.</w:t>
      </w:r>
    </w:p>
    <w:p>
      <w:pPr>
        <w:pStyle w:val="ListBullet"/>
      </w:pPr>
      <w:r>
        <w:t>Course and student-sensitive information should not be entered into public AI systems.</w:t>
      </w:r>
    </w:p>
    <w:p>
      <w:pPr>
        <w:pStyle w:val="Heading1"/>
      </w:pPr>
      <w:r>
        <w:t>Signature Redesigned Assignments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Assignment</w:t>
            </w:r>
          </w:p>
        </w:tc>
        <w:tc>
          <w:tcPr>
            <w:tcW w:type="dxa" w:w="2556"/>
          </w:tcPr>
          <w:p>
            <w:r>
              <w:rPr>
                <w:b/>
              </w:rPr>
              <w:t>Description</w:t>
            </w:r>
          </w:p>
        </w:tc>
        <w:tc>
          <w:tcPr>
            <w:tcW w:type="dxa" w:w="2556"/>
          </w:tcPr>
          <w:p>
            <w:r>
              <w:rPr>
                <w:b/>
              </w:rPr>
              <w:t>Bloom's Level</w:t>
            </w:r>
          </w:p>
        </w:tc>
        <w:tc>
          <w:tcPr>
            <w:tcW w:type="dxa" w:w="2556"/>
          </w:tcPr>
          <w:p>
            <w:r>
              <w:rPr>
                <w:b/>
              </w:rPr>
              <w:t>Gateway Connection</w:t>
            </w:r>
          </w:p>
        </w:tc>
      </w:tr>
      <w:tr>
        <w:tc>
          <w:tcPr>
            <w:tcW w:type="dxa" w:w="2556"/>
          </w:tcPr>
          <w:p>
            <w:r>
              <w:t>AI Anatomy Fact-Check</w:t>
            </w:r>
          </w:p>
        </w:tc>
        <w:tc>
          <w:tcPr>
            <w:tcW w:type="dxa" w:w="2556"/>
          </w:tcPr>
          <w:p>
            <w:r>
              <w:t>Students obtain an AI-generated explanation of an assigned A&amp;P concept, compare it with the laboratory manual/course resources, identify inaccuracies or omissions, correct the explanation, and justify the corrections with evidence.</w:t>
            </w:r>
          </w:p>
        </w:tc>
        <w:tc>
          <w:tcPr>
            <w:tcW w:type="dxa" w:w="2556"/>
          </w:tcPr>
          <w:p>
            <w:r>
              <w:t>Analyze / Evaluate</w:t>
            </w:r>
          </w:p>
        </w:tc>
        <w:tc>
          <w:tcPr>
            <w:tcW w:type="dxa" w:w="2556"/>
          </w:tcPr>
          <w:p>
            <w:r>
              <w:t>AI literacy; evidence evaluation</w:t>
            </w:r>
          </w:p>
        </w:tc>
      </w:tr>
      <w:tr>
        <w:tc>
          <w:tcPr>
            <w:tcW w:type="dxa" w:w="2556"/>
          </w:tcPr>
          <w:p>
            <w:r>
              <w:t>3D Structure-Function Exploration</w:t>
            </w:r>
          </w:p>
        </w:tc>
        <w:tc>
          <w:tcPr>
            <w:tcW w:type="dxa" w:w="2556"/>
          </w:tcPr>
          <w:p>
            <w:r>
              <w:t>Students use a physical model and, when available, a 3D/immersive anatomy resource to identify structures, manipulate spatial views, and explain how structure supports function.</w:t>
            </w:r>
          </w:p>
        </w:tc>
        <w:tc>
          <w:tcPr>
            <w:tcW w:type="dxa" w:w="2556"/>
          </w:tcPr>
          <w:p>
            <w:r>
              <w:t>Understand / Apply / Analyze</w:t>
            </w:r>
          </w:p>
        </w:tc>
        <w:tc>
          <w:tcPr>
            <w:tcW w:type="dxa" w:w="2556"/>
          </w:tcPr>
          <w:p>
            <w:r>
              <w:t>Visualization; interactive learning</w:t>
            </w:r>
          </w:p>
        </w:tc>
      </w:tr>
      <w:tr>
        <w:tc>
          <w:tcPr>
            <w:tcW w:type="dxa" w:w="2556"/>
          </w:tcPr>
          <w:p>
            <w:r>
              <w:t>Clinical Case Challenge</w:t>
            </w:r>
          </w:p>
        </w:tc>
        <w:tc>
          <w:tcPr>
            <w:tcW w:type="dxa" w:w="2556"/>
          </w:tcPr>
          <w:p>
            <w:r>
              <w:t>Students apply laboratory concepts to a short patient or health scenario and identify relevant structures, physiological consequences, and homeostatic disruption.</w:t>
            </w:r>
          </w:p>
        </w:tc>
        <w:tc>
          <w:tcPr>
            <w:tcW w:type="dxa" w:w="2556"/>
          </w:tcPr>
          <w:p>
            <w:r>
              <w:t>Apply / Analyze</w:t>
            </w:r>
          </w:p>
        </w:tc>
        <w:tc>
          <w:tcPr>
            <w:tcW w:type="dxa" w:w="2556"/>
          </w:tcPr>
          <w:p>
            <w:r>
              <w:t>Authentic problem solving</w:t>
            </w:r>
          </w:p>
        </w:tc>
      </w:tr>
      <w:tr>
        <w:tc>
          <w:tcPr>
            <w:tcW w:type="dxa" w:w="2556"/>
          </w:tcPr>
          <w:p>
            <w:r>
              <w:t>Physiology Data Investigation</w:t>
            </w:r>
          </w:p>
        </w:tc>
        <w:tc>
          <w:tcPr>
            <w:tcW w:type="dxa" w:w="2556"/>
          </w:tcPr>
          <w:p>
            <w:r>
              <w:t>Students collect or examine physiological measurements such as EMG or EEG data, organize results, create a simple visualization, and explain patterns and limitations.</w:t>
            </w:r>
          </w:p>
        </w:tc>
        <w:tc>
          <w:tcPr>
            <w:tcW w:type="dxa" w:w="2556"/>
          </w:tcPr>
          <w:p>
            <w:r>
              <w:t>Analyze / Evaluate</w:t>
            </w:r>
          </w:p>
        </w:tc>
        <w:tc>
          <w:tcPr>
            <w:tcW w:type="dxa" w:w="2556"/>
          </w:tcPr>
          <w:p>
            <w:r>
              <w:t>Data literacy; computational thinking</w:t>
            </w:r>
          </w:p>
        </w:tc>
      </w:tr>
      <w:tr>
        <w:tc>
          <w:tcPr>
            <w:tcW w:type="dxa" w:w="2556"/>
          </w:tcPr>
          <w:p>
            <w:r>
              <w:t>Create-to-Learn Review</w:t>
            </w:r>
          </w:p>
        </w:tc>
        <w:tc>
          <w:tcPr>
            <w:tcW w:type="dxa" w:w="2556"/>
          </w:tcPr>
          <w:p>
            <w:r>
              <w:t>Students create an evidence-based study product such as an annotated diagram, concept map, mini-question bank, or visual explanation and briefly justify its scientific accuracy.</w:t>
            </w:r>
          </w:p>
        </w:tc>
        <w:tc>
          <w:tcPr>
            <w:tcW w:type="dxa" w:w="2556"/>
          </w:tcPr>
          <w:p>
            <w:r>
              <w:t>Create</w:t>
            </w:r>
          </w:p>
        </w:tc>
        <w:tc>
          <w:tcPr>
            <w:tcW w:type="dxa" w:w="2556"/>
          </w:tcPr>
          <w:p>
            <w:r>
              <w:t>Knowledge construction; communication</w:t>
            </w:r>
          </w:p>
        </w:tc>
      </w:tr>
    </w:tbl>
    <w:p>
      <w:pPr>
        <w:pStyle w:val="Heading1"/>
      </w:pPr>
      <w:r>
        <w:t>Assessment and Grading</w:t>
      </w:r>
    </w:p>
    <w:p>
      <w:r>
        <w:t>The established grading distribution is retained so the redesign can be implemented without changing the core assessment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Assessment</w:t>
            </w:r>
          </w:p>
        </w:tc>
        <w:tc>
          <w:tcPr>
            <w:tcW w:type="dxa" w:w="5112"/>
          </w:tcPr>
          <w:p>
            <w:r>
              <w:rPr>
                <w:b/>
              </w:rPr>
              <w:t>Weight</w:t>
            </w:r>
          </w:p>
        </w:tc>
      </w:tr>
      <w:tr>
        <w:tc>
          <w:tcPr>
            <w:tcW w:type="dxa" w:w="5112"/>
          </w:tcPr>
          <w:p>
            <w:r>
              <w:t>3 Laboratory Practicums</w:t>
            </w:r>
          </w:p>
        </w:tc>
        <w:tc>
          <w:tcPr>
            <w:tcW w:type="dxa" w:w="5112"/>
          </w:tcPr>
          <w:p>
            <w:r>
              <w:t>70%</w:t>
            </w:r>
          </w:p>
        </w:tc>
      </w:tr>
      <w:tr>
        <w:tc>
          <w:tcPr>
            <w:tcW w:type="dxa" w:w="5112"/>
          </w:tcPr>
          <w:p>
            <w:r>
              <w:t>McGraw Hill Connect Assignments</w:t>
            </w:r>
          </w:p>
        </w:tc>
        <w:tc>
          <w:tcPr>
            <w:tcW w:type="dxa" w:w="5112"/>
          </w:tcPr>
          <w:p>
            <w:r>
              <w:t>20%</w:t>
            </w:r>
          </w:p>
        </w:tc>
      </w:tr>
      <w:tr>
        <w:tc>
          <w:tcPr>
            <w:tcW w:type="dxa" w:w="5112"/>
          </w:tcPr>
          <w:p>
            <w:r>
              <w:t>Instructor-Determined Activities</w:t>
            </w:r>
          </w:p>
        </w:tc>
        <w:tc>
          <w:tcPr>
            <w:tcW w:type="dxa" w:w="5112"/>
          </w:tcPr>
          <w:p>
            <w:r>
              <w:t>10%</w:t>
            </w:r>
          </w:p>
        </w:tc>
      </w:tr>
    </w:tbl>
    <w:p>
      <w:r>
        <w:t>Gateway/AI activities may be included within the instructor-determined activities category. Low-stakes practice, feedback, and review activities may be used to prepare students for the high-stakes practicums.</w:t>
      </w:r>
    </w:p>
    <w:p>
      <w:pPr>
        <w:pStyle w:val="Heading1"/>
      </w:pPr>
      <w:r>
        <w:t>Revised Course Assessment Alignment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Learning Outcome</w:t>
            </w:r>
          </w:p>
        </w:tc>
        <w:tc>
          <w:tcPr>
            <w:tcW w:type="dxa" w:w="2556"/>
          </w:tcPr>
          <w:p>
            <w:r>
              <w:rPr>
                <w:b/>
              </w:rPr>
              <w:t>Bloom's Level</w:t>
            </w:r>
          </w:p>
        </w:tc>
        <w:tc>
          <w:tcPr>
            <w:tcW w:type="dxa" w:w="2556"/>
          </w:tcPr>
          <w:p>
            <w:r>
              <w:rPr>
                <w:b/>
              </w:rPr>
              <w:t>Assessment Examples</w:t>
            </w:r>
          </w:p>
        </w:tc>
        <w:tc>
          <w:tcPr>
            <w:tcW w:type="dxa" w:w="2556"/>
          </w:tcPr>
          <w:p>
            <w:r>
              <w:rPr>
                <w:b/>
              </w:rPr>
              <w:t>Program/Gateway Connection</w:t>
            </w:r>
          </w:p>
        </w:tc>
      </w:tr>
      <w:tr>
        <w:tc>
          <w:tcPr>
            <w:tcW w:type="dxa" w:w="2556"/>
          </w:tcPr>
          <w:p>
            <w:r>
              <w:t>Explain structure-function relationships</w:t>
            </w:r>
          </w:p>
        </w:tc>
        <w:tc>
          <w:tcPr>
            <w:tcW w:type="dxa" w:w="2556"/>
          </w:tcPr>
          <w:p>
            <w:r>
              <w:t>Understand</w:t>
            </w:r>
          </w:p>
        </w:tc>
        <w:tc>
          <w:tcPr>
            <w:tcW w:type="dxa" w:w="2556"/>
          </w:tcPr>
          <w:p>
            <w:r>
              <w:t>Connect work; lab identification; short explanations</w:t>
            </w:r>
          </w:p>
        </w:tc>
        <w:tc>
          <w:tcPr>
            <w:tcW w:type="dxa" w:w="2556"/>
          </w:tcPr>
          <w:p>
            <w:r>
              <w:t>Knowledge in Biological Sciences; Structural/Functional Relationships</w:t>
            </w:r>
          </w:p>
        </w:tc>
      </w:tr>
      <w:tr>
        <w:tc>
          <w:tcPr>
            <w:tcW w:type="dxa" w:w="2556"/>
          </w:tcPr>
          <w:p>
            <w:r>
              <w:t>Apply concepts to laboratory and clinical contexts</w:t>
            </w:r>
          </w:p>
        </w:tc>
        <w:tc>
          <w:tcPr>
            <w:tcW w:type="dxa" w:w="2556"/>
          </w:tcPr>
          <w:p>
            <w:r>
              <w:t>Apply</w:t>
            </w:r>
          </w:p>
        </w:tc>
        <w:tc>
          <w:tcPr>
            <w:tcW w:type="dxa" w:w="2556"/>
          </w:tcPr>
          <w:p>
            <w:r>
              <w:t>Case challenges; lab activities; practicums</w:t>
            </w:r>
          </w:p>
        </w:tc>
        <w:tc>
          <w:tcPr>
            <w:tcW w:type="dxa" w:w="2556"/>
          </w:tcPr>
          <w:p>
            <w:r>
              <w:t>Critical Thinking; Knowledge in Biological Sciences</w:t>
            </w:r>
          </w:p>
        </w:tc>
      </w:tr>
      <w:tr>
        <w:tc>
          <w:tcPr>
            <w:tcW w:type="dxa" w:w="2556"/>
          </w:tcPr>
          <w:p>
            <w:r>
              <w:t>Analyze biological observations and physiological data</w:t>
            </w:r>
          </w:p>
        </w:tc>
        <w:tc>
          <w:tcPr>
            <w:tcW w:type="dxa" w:w="2556"/>
          </w:tcPr>
          <w:p>
            <w:r>
              <w:t>Analyze</w:t>
            </w:r>
          </w:p>
        </w:tc>
        <w:tc>
          <w:tcPr>
            <w:tcW w:type="dxa" w:w="2556"/>
          </w:tcPr>
          <w:p>
            <w:r>
              <w:t>Microscopy; EMG/EEG; data investigation</w:t>
            </w:r>
          </w:p>
        </w:tc>
        <w:tc>
          <w:tcPr>
            <w:tcW w:type="dxa" w:w="2556"/>
          </w:tcPr>
          <w:p>
            <w:r>
              <w:t>Critical Thinking; Cellular/Physiological Processes</w:t>
            </w:r>
          </w:p>
        </w:tc>
      </w:tr>
      <w:tr>
        <w:tc>
          <w:tcPr>
            <w:tcW w:type="dxa" w:w="2556"/>
          </w:tcPr>
          <w:p>
            <w:r>
              <w:t>Evaluate scientific and AI-generated information</w:t>
            </w:r>
          </w:p>
        </w:tc>
        <w:tc>
          <w:tcPr>
            <w:tcW w:type="dxa" w:w="2556"/>
          </w:tcPr>
          <w:p>
            <w:r>
              <w:t>Evaluate</w:t>
            </w:r>
          </w:p>
        </w:tc>
        <w:tc>
          <w:tcPr>
            <w:tcW w:type="dxa" w:w="2556"/>
          </w:tcPr>
          <w:p>
            <w:r>
              <w:t>AI Anatomy Fact-Check; evidence comparison</w:t>
            </w:r>
          </w:p>
        </w:tc>
        <w:tc>
          <w:tcPr>
            <w:tcW w:type="dxa" w:w="2556"/>
          </w:tcPr>
          <w:p>
            <w:r>
              <w:t>Critical Thinking; Digital/AI Literacy</w:t>
            </w:r>
          </w:p>
        </w:tc>
      </w:tr>
      <w:tr>
        <w:tc>
          <w:tcPr>
            <w:tcW w:type="dxa" w:w="2556"/>
          </w:tcPr>
          <w:p>
            <w:r>
              <w:t>Create evidence-based scientific representations</w:t>
            </w:r>
          </w:p>
        </w:tc>
        <w:tc>
          <w:tcPr>
            <w:tcW w:type="dxa" w:w="2556"/>
          </w:tcPr>
          <w:p>
            <w:r>
              <w:t>Create</w:t>
            </w:r>
          </w:p>
        </w:tc>
        <w:tc>
          <w:tcPr>
            <w:tcW w:type="dxa" w:w="2556"/>
          </w:tcPr>
          <w:p>
            <w:r>
              <w:t>Concept maps; annotated visuals; study products</w:t>
            </w:r>
          </w:p>
        </w:tc>
        <w:tc>
          <w:tcPr>
            <w:tcW w:type="dxa" w:w="2556"/>
          </w:tcPr>
          <w:p>
            <w:r>
              <w:t>Communication; Collaboration; Knowledge Integration</w:t>
            </w:r>
          </w:p>
        </w:tc>
      </w:tr>
    </w:tbl>
    <w:p>
      <w:r/>
    </w:p>
    <w:p>
      <w:pPr>
        <w:pStyle w:val="Heading1"/>
      </w:pPr>
      <w:r>
        <w:t>Tentative Redesigned Course Schedule</w:t>
      </w:r>
    </w:p>
    <w:p>
      <w:r>
        <w:t>The final column identifies the Gateway/computational resource used in each laboratory. BioDigital Human supports interactive 3D spatial anatomy; Jupyter notebooks support guided data organization, visualization, and interpretation; approved AI supports scientific literacy and fact-checking; and Connect, microscopy, EMG/EEG, Canvas, and physical models support core laboratory practice.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Arial" w:hAnsi="Arial"/>
                <w:b/>
                <w:sz w:val="15"/>
              </w:rPr>
              <w:t>Date</w:t>
            </w:r>
          </w:p>
        </w:tc>
        <w:tc>
          <w:tcPr>
            <w:tcW w:type="dxa" w:w="2045"/>
          </w:tcPr>
          <w:p>
            <w:r>
              <w:rPr>
                <w:rFonts w:ascii="Arial" w:hAnsi="Arial"/>
                <w:b/>
                <w:sz w:val="15"/>
              </w:rPr>
              <w:t>Topic</w:t>
            </w:r>
          </w:p>
        </w:tc>
        <w:tc>
          <w:tcPr>
            <w:tcW w:type="dxa" w:w="2045"/>
          </w:tcPr>
          <w:p>
            <w:r>
              <w:rPr>
                <w:rFonts w:ascii="Arial" w:hAnsi="Arial"/>
                <w:b/>
                <w:sz w:val="15"/>
              </w:rPr>
              <w:t>Learning Focus</w:t>
            </w:r>
          </w:p>
        </w:tc>
        <w:tc>
          <w:tcPr>
            <w:tcW w:type="dxa" w:w="2045"/>
          </w:tcPr>
          <w:p>
            <w:r>
              <w:rPr>
                <w:rFonts w:ascii="Arial" w:hAnsi="Arial"/>
                <w:b/>
                <w:sz w:val="15"/>
              </w:rPr>
              <w:t>Bloom's Level</w:t>
            </w:r>
          </w:p>
        </w:tc>
        <w:tc>
          <w:tcPr>
            <w:tcW w:type="dxa" w:w="2045"/>
          </w:tcPr>
          <w:p>
            <w:r>
              <w:rPr>
                <w:rFonts w:ascii="Arial" w:hAnsi="Arial"/>
                <w:b/>
                <w:sz w:val="15"/>
              </w:rPr>
              <w:t>Gateway / AI Enhancement</w:t>
            </w:r>
          </w:p>
        </w:tc>
        <w:tc>
          <w:tcPr/>
          <w:p>
            <w:r>
              <w:rPr>
                <w:rFonts w:ascii="Arial" w:hAnsi="Arial"/>
                <w:b/>
                <w:sz w:val="15"/>
              </w:rPr>
              <w:t>Gateway / Computational Resource</w:t>
            </w:r>
          </w:p>
        </w:tc>
      </w:tr>
      <w:tr>
        <w:tc>
          <w:tcPr>
            <w:tcW w:type="dxa" w:w="2045"/>
          </w:tcPr>
          <w:p>
            <w:r>
              <w:rPr>
                <w:rFonts w:ascii="Arial" w:hAnsi="Arial"/>
                <w:sz w:val="15"/>
              </w:rPr>
              <w:t>8/18/26</w:t>
            </w:r>
          </w:p>
        </w:tc>
        <w:tc>
          <w:tcPr>
            <w:tcW w:type="dxa" w:w="2045"/>
          </w:tcPr>
          <w:p>
            <w:r>
              <w:rPr>
                <w:rFonts w:ascii="Arial" w:hAnsi="Arial"/>
                <w:sz w:val="15"/>
              </w:rPr>
              <w:t>Course Introduction &amp; Lab Safety</w:t>
            </w:r>
          </w:p>
        </w:tc>
        <w:tc>
          <w:tcPr>
            <w:tcW w:type="dxa" w:w="2045"/>
          </w:tcPr>
          <w:p>
            <w:r>
              <w:rPr>
                <w:rFonts w:ascii="Arial" w:hAnsi="Arial"/>
                <w:sz w:val="15"/>
              </w:rPr>
              <w:t>Identify laboratory expectations; practice scientific observation.</w:t>
            </w:r>
          </w:p>
        </w:tc>
        <w:tc>
          <w:tcPr>
            <w:tcW w:type="dxa" w:w="2045"/>
          </w:tcPr>
          <w:p>
            <w:r>
              <w:rPr>
                <w:rFonts w:ascii="Arial" w:hAnsi="Arial"/>
                <w:sz w:val="15"/>
              </w:rPr>
              <w:t>Remember / Understand</w:t>
            </w:r>
          </w:p>
        </w:tc>
        <w:tc>
          <w:tcPr>
            <w:tcW w:type="dxa" w:w="2045"/>
          </w:tcPr>
          <w:p>
            <w:r>
              <w:rPr>
                <w:rFonts w:ascii="Arial" w:hAnsi="Arial"/>
                <w:sz w:val="15"/>
              </w:rPr>
              <w:t>Digital/AI literacy orientation; responsible AI expectations</w:t>
            </w:r>
          </w:p>
        </w:tc>
        <w:tc>
          <w:tcPr/>
          <w:p>
            <w:r>
              <w:rPr>
                <w:rFonts w:ascii="Arial" w:hAnsi="Arial"/>
                <w:sz w:val="15"/>
              </w:rPr>
              <w:t>Canvas + McGraw Hill Connect; AI literacy orientation</w:t>
            </w:r>
          </w:p>
        </w:tc>
      </w:tr>
      <w:tr>
        <w:tc>
          <w:tcPr>
            <w:tcW w:type="dxa" w:w="2045"/>
          </w:tcPr>
          <w:p>
            <w:r>
              <w:rPr>
                <w:rFonts w:ascii="Arial" w:hAnsi="Arial"/>
                <w:sz w:val="15"/>
              </w:rPr>
              <w:t>8/25/26</w:t>
            </w:r>
          </w:p>
        </w:tc>
        <w:tc>
          <w:tcPr>
            <w:tcW w:type="dxa" w:w="2045"/>
          </w:tcPr>
          <w:p>
            <w:r>
              <w:rPr>
                <w:rFonts w:ascii="Arial" w:hAnsi="Arial"/>
                <w:sz w:val="15"/>
              </w:rPr>
              <w:t>Lab Safety &amp; Body Orientation</w:t>
            </w:r>
          </w:p>
        </w:tc>
        <w:tc>
          <w:tcPr>
            <w:tcW w:type="dxa" w:w="2045"/>
          </w:tcPr>
          <w:p>
            <w:r>
              <w:rPr>
                <w:rFonts w:ascii="Arial" w:hAnsi="Arial"/>
                <w:sz w:val="15"/>
              </w:rPr>
              <w:t>Apply anatomical terminology to positions, planes, regions, and directions.</w:t>
            </w:r>
          </w:p>
        </w:tc>
        <w:tc>
          <w:tcPr>
            <w:tcW w:type="dxa" w:w="2045"/>
          </w:tcPr>
          <w:p>
            <w:r>
              <w:rPr>
                <w:rFonts w:ascii="Arial" w:hAnsi="Arial"/>
                <w:sz w:val="15"/>
              </w:rPr>
              <w:t>Understand / Apply</w:t>
            </w:r>
          </w:p>
        </w:tc>
        <w:tc>
          <w:tcPr>
            <w:tcW w:type="dxa" w:w="2045"/>
          </w:tcPr>
          <w:p>
            <w:r>
              <w:rPr>
                <w:rFonts w:ascii="Arial" w:hAnsi="Arial"/>
                <w:sz w:val="15"/>
              </w:rPr>
              <w:t>Interactive labeling; digital anatomy exploration</w:t>
            </w:r>
          </w:p>
        </w:tc>
        <w:tc>
          <w:tcPr/>
          <w:p>
            <w:r>
              <w:rPr>
                <w:rFonts w:ascii="Arial" w:hAnsi="Arial"/>
                <w:sz w:val="15"/>
              </w:rPr>
              <w:t>Canvas + McGraw Hill Connect; digital lab-safety resources</w:t>
            </w:r>
          </w:p>
        </w:tc>
      </w:tr>
      <w:tr>
        <w:tc>
          <w:tcPr>
            <w:tcW w:type="dxa" w:w="2045"/>
          </w:tcPr>
          <w:p>
            <w:r>
              <w:rPr>
                <w:rFonts w:ascii="Arial" w:hAnsi="Arial"/>
                <w:sz w:val="15"/>
              </w:rPr>
              <w:t>9/1/26</w:t>
            </w:r>
          </w:p>
        </w:tc>
        <w:tc>
          <w:tcPr>
            <w:tcW w:type="dxa" w:w="2045"/>
          </w:tcPr>
          <w:p>
            <w:r>
              <w:rPr>
                <w:rFonts w:ascii="Arial" w:hAnsi="Arial"/>
                <w:sz w:val="15"/>
              </w:rPr>
              <w:t>Body Orientation &amp; Anatomical Language</w:t>
            </w:r>
          </w:p>
        </w:tc>
        <w:tc>
          <w:tcPr>
            <w:tcW w:type="dxa" w:w="2045"/>
          </w:tcPr>
          <w:p>
            <w:r>
              <w:rPr>
                <w:rFonts w:ascii="Arial" w:hAnsi="Arial"/>
                <w:sz w:val="15"/>
              </w:rPr>
              <w:t>Use terminology to communicate locations and relationships.</w:t>
            </w:r>
          </w:p>
        </w:tc>
        <w:tc>
          <w:tcPr>
            <w:tcW w:type="dxa" w:w="2045"/>
          </w:tcPr>
          <w:p>
            <w:r>
              <w:rPr>
                <w:rFonts w:ascii="Arial" w:hAnsi="Arial"/>
                <w:sz w:val="15"/>
              </w:rPr>
              <w:t>Apply</w:t>
            </w:r>
          </w:p>
        </w:tc>
        <w:tc>
          <w:tcPr>
            <w:tcW w:type="dxa" w:w="2045"/>
          </w:tcPr>
          <w:p>
            <w:r>
              <w:rPr>
                <w:rFonts w:ascii="Arial" w:hAnsi="Arial"/>
                <w:sz w:val="15"/>
              </w:rPr>
              <w:t>3D structure orientation activity</w:t>
            </w:r>
          </w:p>
        </w:tc>
        <w:tc>
          <w:tcPr/>
          <w:p>
            <w:r>
              <w:rPr>
                <w:rFonts w:ascii="Arial" w:hAnsi="Arial"/>
                <w:sz w:val="15"/>
              </w:rPr>
              <w:t>BioDigital Human + Canvas</w:t>
            </w:r>
          </w:p>
        </w:tc>
      </w:tr>
      <w:tr>
        <w:tc>
          <w:tcPr>
            <w:tcW w:type="dxa" w:w="2045"/>
          </w:tcPr>
          <w:p>
            <w:r>
              <w:rPr>
                <w:rFonts w:ascii="Arial" w:hAnsi="Arial"/>
                <w:sz w:val="15"/>
              </w:rPr>
              <w:t>9/8/26</w:t>
            </w:r>
          </w:p>
        </w:tc>
        <w:tc>
          <w:tcPr>
            <w:tcW w:type="dxa" w:w="2045"/>
          </w:tcPr>
          <w:p>
            <w:r>
              <w:rPr>
                <w:rFonts w:ascii="Arial" w:hAnsi="Arial"/>
                <w:sz w:val="15"/>
              </w:rPr>
              <w:t>Cells &amp; Tissues</w:t>
            </w:r>
          </w:p>
        </w:tc>
        <w:tc>
          <w:tcPr>
            <w:tcW w:type="dxa" w:w="2045"/>
          </w:tcPr>
          <w:p>
            <w:r>
              <w:rPr>
                <w:rFonts w:ascii="Arial" w:hAnsi="Arial"/>
                <w:sz w:val="15"/>
              </w:rPr>
              <w:t>Identify prepared tissues and connect microscopic structure to function.</w:t>
            </w:r>
          </w:p>
        </w:tc>
        <w:tc>
          <w:tcPr>
            <w:tcW w:type="dxa" w:w="2045"/>
          </w:tcPr>
          <w:p>
            <w:r>
              <w:rPr>
                <w:rFonts w:ascii="Arial" w:hAnsi="Arial"/>
                <w:sz w:val="15"/>
              </w:rPr>
              <w:t>Remember / Analyze</w:t>
            </w:r>
          </w:p>
        </w:tc>
        <w:tc>
          <w:tcPr>
            <w:tcW w:type="dxa" w:w="2045"/>
          </w:tcPr>
          <w:p>
            <w:r>
              <w:rPr>
                <w:rFonts w:ascii="Arial" w:hAnsi="Arial"/>
                <w:sz w:val="15"/>
              </w:rPr>
              <w:t>Microscopy + digital image comparison</w:t>
            </w:r>
          </w:p>
        </w:tc>
        <w:tc>
          <w:tcPr/>
          <w:p>
            <w:r>
              <w:rPr>
                <w:rFonts w:ascii="Arial" w:hAnsi="Arial"/>
                <w:sz w:val="15"/>
              </w:rPr>
              <w:t>Microscopy + digital image resources + McGraw Hill Connect</w:t>
            </w:r>
          </w:p>
        </w:tc>
      </w:tr>
      <w:tr>
        <w:tc>
          <w:tcPr>
            <w:tcW w:type="dxa" w:w="2045"/>
          </w:tcPr>
          <w:p>
            <w:r>
              <w:rPr>
                <w:rFonts w:ascii="Arial" w:hAnsi="Arial"/>
                <w:sz w:val="15"/>
              </w:rPr>
              <w:t>9/15/26</w:t>
            </w:r>
          </w:p>
        </w:tc>
        <w:tc>
          <w:tcPr>
            <w:tcW w:type="dxa" w:w="2045"/>
          </w:tcPr>
          <w:p>
            <w:r>
              <w:rPr>
                <w:rFonts w:ascii="Arial" w:hAnsi="Arial"/>
                <w:sz w:val="15"/>
              </w:rPr>
              <w:t>Cells &amp; Tissues</w:t>
            </w:r>
          </w:p>
        </w:tc>
        <w:tc>
          <w:tcPr>
            <w:tcW w:type="dxa" w:w="2045"/>
          </w:tcPr>
          <w:p>
            <w:r>
              <w:rPr>
                <w:rFonts w:ascii="Arial" w:hAnsi="Arial"/>
                <w:sz w:val="15"/>
              </w:rPr>
              <w:t>Distinguish tissue types and evaluate structure-function explanations.</w:t>
            </w:r>
          </w:p>
        </w:tc>
        <w:tc>
          <w:tcPr>
            <w:tcW w:type="dxa" w:w="2045"/>
          </w:tcPr>
          <w:p>
            <w:r>
              <w:rPr>
                <w:rFonts w:ascii="Arial" w:hAnsi="Arial"/>
                <w:sz w:val="15"/>
              </w:rPr>
              <w:t>Analyze / Evaluate</w:t>
            </w:r>
          </w:p>
        </w:tc>
        <w:tc>
          <w:tcPr>
            <w:tcW w:type="dxa" w:w="2045"/>
          </w:tcPr>
          <w:p>
            <w:r>
              <w:rPr>
                <w:rFonts w:ascii="Arial" w:hAnsi="Arial"/>
                <w:sz w:val="15"/>
              </w:rPr>
              <w:t>AI Anatomy Fact-Check: tissue explanation</w:t>
            </w:r>
          </w:p>
        </w:tc>
        <w:tc>
          <w:tcPr/>
          <w:p>
            <w:r>
              <w:rPr>
                <w:rFonts w:ascii="Arial" w:hAnsi="Arial"/>
                <w:sz w:val="15"/>
              </w:rPr>
              <w:t>Microscopy + instructor-approved generative AI + McGraw Hill Connect</w:t>
            </w:r>
          </w:p>
        </w:tc>
      </w:tr>
      <w:tr>
        <w:tc>
          <w:tcPr>
            <w:tcW w:type="dxa" w:w="2045"/>
          </w:tcPr>
          <w:p>
            <w:r>
              <w:rPr>
                <w:rFonts w:ascii="Arial" w:hAnsi="Arial"/>
                <w:sz w:val="15"/>
              </w:rPr>
              <w:t>9/22/26</w:t>
            </w:r>
          </w:p>
        </w:tc>
        <w:tc>
          <w:tcPr>
            <w:tcW w:type="dxa" w:w="2045"/>
          </w:tcPr>
          <w:p>
            <w:r>
              <w:rPr>
                <w:rFonts w:ascii="Arial" w:hAnsi="Arial"/>
                <w:sz w:val="15"/>
              </w:rPr>
              <w:t>Integumentary System</w:t>
            </w:r>
          </w:p>
        </w:tc>
        <w:tc>
          <w:tcPr>
            <w:tcW w:type="dxa" w:w="2045"/>
          </w:tcPr>
          <w:p>
            <w:r>
              <w:rPr>
                <w:rFonts w:ascii="Arial" w:hAnsi="Arial"/>
                <w:sz w:val="15"/>
              </w:rPr>
              <w:t>Analyze skin structures and apply concepts to a clinical scenario.</w:t>
            </w:r>
          </w:p>
        </w:tc>
        <w:tc>
          <w:tcPr>
            <w:tcW w:type="dxa" w:w="2045"/>
          </w:tcPr>
          <w:p>
            <w:r>
              <w:rPr>
                <w:rFonts w:ascii="Arial" w:hAnsi="Arial"/>
                <w:sz w:val="15"/>
              </w:rPr>
              <w:t>Apply / Analyze</w:t>
            </w:r>
          </w:p>
        </w:tc>
        <w:tc>
          <w:tcPr>
            <w:tcW w:type="dxa" w:w="2045"/>
          </w:tcPr>
          <w:p>
            <w:r>
              <w:rPr>
                <w:rFonts w:ascii="Arial" w:hAnsi="Arial"/>
                <w:sz w:val="15"/>
              </w:rPr>
              <w:t>3D visualization + clinical case</w:t>
            </w:r>
          </w:p>
        </w:tc>
        <w:tc>
          <w:tcPr/>
          <w:p>
            <w:r>
              <w:rPr>
                <w:rFonts w:ascii="Arial" w:hAnsi="Arial"/>
                <w:sz w:val="15"/>
              </w:rPr>
              <w:t>BioDigital Human + McGraw Hill Connect + clinical case resources</w:t>
            </w:r>
          </w:p>
        </w:tc>
      </w:tr>
      <w:tr>
        <w:tc>
          <w:tcPr>
            <w:tcW w:type="dxa" w:w="2045"/>
          </w:tcPr>
          <w:p>
            <w:r>
              <w:rPr>
                <w:rFonts w:ascii="Arial" w:hAnsi="Arial"/>
                <w:sz w:val="15"/>
              </w:rPr>
              <w:t>9/29/26</w:t>
            </w:r>
          </w:p>
        </w:tc>
        <w:tc>
          <w:tcPr>
            <w:tcW w:type="dxa" w:w="2045"/>
          </w:tcPr>
          <w:p>
            <w:r>
              <w:rPr>
                <w:rFonts w:ascii="Arial" w:hAnsi="Arial"/>
                <w:sz w:val="15"/>
              </w:rPr>
              <w:t>Practicum 1: Tissues &amp; Integument</w:t>
            </w:r>
          </w:p>
        </w:tc>
        <w:tc>
          <w:tcPr>
            <w:tcW w:type="dxa" w:w="2045"/>
          </w:tcPr>
          <w:p>
            <w:r>
              <w:rPr>
                <w:rFonts w:ascii="Arial" w:hAnsi="Arial"/>
                <w:sz w:val="15"/>
              </w:rPr>
              <w:t>Demonstrate identification and applied understanding.</w:t>
            </w:r>
          </w:p>
        </w:tc>
        <w:tc>
          <w:tcPr>
            <w:tcW w:type="dxa" w:w="2045"/>
          </w:tcPr>
          <w:p>
            <w:r>
              <w:rPr>
                <w:rFonts w:ascii="Arial" w:hAnsi="Arial"/>
                <w:sz w:val="15"/>
              </w:rPr>
              <w:t>Apply / Analyze</w:t>
            </w:r>
          </w:p>
        </w:tc>
        <w:tc>
          <w:tcPr>
            <w:tcW w:type="dxa" w:w="2045"/>
          </w:tcPr>
          <w:p>
            <w:r>
              <w:rPr>
                <w:rFonts w:ascii="Arial" w:hAnsi="Arial"/>
                <w:sz w:val="15"/>
              </w:rPr>
              <w:t>Assessment</w:t>
            </w:r>
          </w:p>
        </w:tc>
        <w:tc>
          <w:tcPr/>
          <w:p>
            <w:r>
              <w:rPr>
                <w:rFonts w:ascii="Arial" w:hAnsi="Arial"/>
                <w:sz w:val="15"/>
              </w:rPr>
              <w:t>Canvas / Respondus as applicable; physical models and microscopy</w:t>
            </w:r>
          </w:p>
        </w:tc>
      </w:tr>
      <w:tr>
        <w:tc>
          <w:tcPr>
            <w:tcW w:type="dxa" w:w="2045"/>
          </w:tcPr>
          <w:p>
            <w:r>
              <w:rPr>
                <w:rFonts w:ascii="Arial" w:hAnsi="Arial"/>
                <w:sz w:val="15"/>
              </w:rPr>
              <w:t>10/6/26</w:t>
            </w:r>
          </w:p>
        </w:tc>
        <w:tc>
          <w:tcPr>
            <w:tcW w:type="dxa" w:w="2045"/>
          </w:tcPr>
          <w:p>
            <w:r>
              <w:rPr>
                <w:rFonts w:ascii="Arial" w:hAnsi="Arial"/>
                <w:sz w:val="15"/>
              </w:rPr>
              <w:t>Skeletal System: Bone Structure &amp; Function</w:t>
            </w:r>
          </w:p>
        </w:tc>
        <w:tc>
          <w:tcPr>
            <w:tcW w:type="dxa" w:w="2045"/>
          </w:tcPr>
          <w:p>
            <w:r>
              <w:rPr>
                <w:rFonts w:ascii="Arial" w:hAnsi="Arial"/>
                <w:sz w:val="15"/>
              </w:rPr>
              <w:t>Analyze bone microstructure and relate structure to mechanical function.</w:t>
            </w:r>
          </w:p>
        </w:tc>
        <w:tc>
          <w:tcPr>
            <w:tcW w:type="dxa" w:w="2045"/>
          </w:tcPr>
          <w:p>
            <w:r>
              <w:rPr>
                <w:rFonts w:ascii="Arial" w:hAnsi="Arial"/>
                <w:sz w:val="15"/>
              </w:rPr>
              <w:t>Analyze</w:t>
            </w:r>
          </w:p>
        </w:tc>
        <w:tc>
          <w:tcPr>
            <w:tcW w:type="dxa" w:w="2045"/>
          </w:tcPr>
          <w:p>
            <w:r>
              <w:rPr>
                <w:rFonts w:ascii="Arial" w:hAnsi="Arial"/>
                <w:sz w:val="15"/>
              </w:rPr>
              <w:t>Microscopy + simple data/visual interpretation</w:t>
            </w:r>
          </w:p>
        </w:tc>
        <w:tc>
          <w:tcPr/>
          <w:p>
            <w:r>
              <w:rPr>
                <w:rFonts w:ascii="Arial" w:hAnsi="Arial"/>
                <w:sz w:val="15"/>
              </w:rPr>
              <w:t>Microscopy + BioDigital Human + McGraw Hill Connect</w:t>
            </w:r>
          </w:p>
        </w:tc>
      </w:tr>
      <w:tr>
        <w:tc>
          <w:tcPr>
            <w:tcW w:type="dxa" w:w="2045"/>
          </w:tcPr>
          <w:p>
            <w:r>
              <w:rPr>
                <w:rFonts w:ascii="Arial" w:hAnsi="Arial"/>
                <w:sz w:val="15"/>
              </w:rPr>
              <w:t>10/13/26</w:t>
            </w:r>
          </w:p>
        </w:tc>
        <w:tc>
          <w:tcPr>
            <w:tcW w:type="dxa" w:w="2045"/>
          </w:tcPr>
          <w:p>
            <w:r>
              <w:rPr>
                <w:rFonts w:ascii="Arial" w:hAnsi="Arial"/>
                <w:sz w:val="15"/>
              </w:rPr>
              <w:t>Axial Skeleton</w:t>
            </w:r>
          </w:p>
        </w:tc>
        <w:tc>
          <w:tcPr>
            <w:tcW w:type="dxa" w:w="2045"/>
          </w:tcPr>
          <w:p>
            <w:r>
              <w:rPr>
                <w:rFonts w:ascii="Arial" w:hAnsi="Arial"/>
                <w:sz w:val="15"/>
              </w:rPr>
              <w:t>Identify structures and explain functional relationships.</w:t>
            </w:r>
          </w:p>
        </w:tc>
        <w:tc>
          <w:tcPr>
            <w:tcW w:type="dxa" w:w="2045"/>
          </w:tcPr>
          <w:p>
            <w:r>
              <w:rPr>
                <w:rFonts w:ascii="Arial" w:hAnsi="Arial"/>
                <w:sz w:val="15"/>
              </w:rPr>
              <w:t>Understand / Apply</w:t>
            </w:r>
          </w:p>
        </w:tc>
        <w:tc>
          <w:tcPr>
            <w:tcW w:type="dxa" w:w="2045"/>
          </w:tcPr>
          <w:p>
            <w:r>
              <w:rPr>
                <w:rFonts w:ascii="Arial" w:hAnsi="Arial"/>
                <w:sz w:val="15"/>
              </w:rPr>
              <w:t>Physical + 3D model comparison</w:t>
            </w:r>
          </w:p>
        </w:tc>
        <w:tc>
          <w:tcPr/>
          <w:p>
            <w:r>
              <w:rPr>
                <w:rFonts w:ascii="Arial" w:hAnsi="Arial"/>
                <w:sz w:val="15"/>
              </w:rPr>
              <w:t>BioDigital Human + physical skeletal models + McGraw Hill Connect</w:t>
            </w:r>
          </w:p>
        </w:tc>
      </w:tr>
      <w:tr>
        <w:tc>
          <w:tcPr>
            <w:tcW w:type="dxa" w:w="2045"/>
          </w:tcPr>
          <w:p>
            <w:r>
              <w:rPr>
                <w:rFonts w:ascii="Arial" w:hAnsi="Arial"/>
                <w:sz w:val="15"/>
              </w:rPr>
              <w:t>10/20/26</w:t>
            </w:r>
          </w:p>
        </w:tc>
        <w:tc>
          <w:tcPr>
            <w:tcW w:type="dxa" w:w="2045"/>
          </w:tcPr>
          <w:p>
            <w:r>
              <w:rPr>
                <w:rFonts w:ascii="Arial" w:hAnsi="Arial"/>
                <w:sz w:val="15"/>
              </w:rPr>
              <w:t>Appendicular Skeleton &amp; Joints</w:t>
            </w:r>
          </w:p>
        </w:tc>
        <w:tc>
          <w:tcPr>
            <w:tcW w:type="dxa" w:w="2045"/>
          </w:tcPr>
          <w:p>
            <w:r>
              <w:rPr>
                <w:rFonts w:ascii="Arial" w:hAnsi="Arial"/>
                <w:sz w:val="15"/>
              </w:rPr>
              <w:t>Analyze movement at joints using anatomical evidence.</w:t>
            </w:r>
          </w:p>
        </w:tc>
        <w:tc>
          <w:tcPr>
            <w:tcW w:type="dxa" w:w="2045"/>
          </w:tcPr>
          <w:p>
            <w:r>
              <w:rPr>
                <w:rFonts w:ascii="Arial" w:hAnsi="Arial"/>
                <w:sz w:val="15"/>
              </w:rPr>
              <w:t>Apply / Analyze</w:t>
            </w:r>
          </w:p>
        </w:tc>
        <w:tc>
          <w:tcPr>
            <w:tcW w:type="dxa" w:w="2045"/>
          </w:tcPr>
          <w:p>
            <w:r>
              <w:rPr>
                <w:rFonts w:ascii="Arial" w:hAnsi="Arial"/>
                <w:sz w:val="15"/>
              </w:rPr>
              <w:t>Movement/problem-solving stations</w:t>
            </w:r>
          </w:p>
        </w:tc>
        <w:tc>
          <w:tcPr/>
          <w:p>
            <w:r>
              <w:rPr>
                <w:rFonts w:ascii="Arial" w:hAnsi="Arial"/>
                <w:sz w:val="15"/>
              </w:rPr>
              <w:t>BioDigital Human + physical skeletal/joint models + McGraw Hill Connect</w:t>
            </w:r>
          </w:p>
        </w:tc>
      </w:tr>
      <w:tr>
        <w:tc>
          <w:tcPr>
            <w:tcW w:type="dxa" w:w="2045"/>
          </w:tcPr>
          <w:p>
            <w:r>
              <w:rPr>
                <w:rFonts w:ascii="Arial" w:hAnsi="Arial"/>
                <w:sz w:val="15"/>
              </w:rPr>
              <w:t>10/27/26</w:t>
            </w:r>
          </w:p>
        </w:tc>
        <w:tc>
          <w:tcPr>
            <w:tcW w:type="dxa" w:w="2045"/>
          </w:tcPr>
          <w:p>
            <w:r>
              <w:rPr>
                <w:rFonts w:ascii="Arial" w:hAnsi="Arial"/>
                <w:sz w:val="15"/>
              </w:rPr>
              <w:t>Muscular System</w:t>
            </w:r>
          </w:p>
        </w:tc>
        <w:tc>
          <w:tcPr>
            <w:tcW w:type="dxa" w:w="2045"/>
          </w:tcPr>
          <w:p>
            <w:r>
              <w:rPr>
                <w:rFonts w:ascii="Arial" w:hAnsi="Arial"/>
                <w:sz w:val="15"/>
              </w:rPr>
              <w:t>Apply muscle anatomy to movement and clinical scenarios.</w:t>
            </w:r>
          </w:p>
        </w:tc>
        <w:tc>
          <w:tcPr>
            <w:tcW w:type="dxa" w:w="2045"/>
          </w:tcPr>
          <w:p>
            <w:r>
              <w:rPr>
                <w:rFonts w:ascii="Arial" w:hAnsi="Arial"/>
                <w:sz w:val="15"/>
              </w:rPr>
              <w:t>Apply / Analyze</w:t>
            </w:r>
          </w:p>
        </w:tc>
        <w:tc>
          <w:tcPr>
            <w:tcW w:type="dxa" w:w="2045"/>
          </w:tcPr>
          <w:p>
            <w:r>
              <w:rPr>
                <w:rFonts w:ascii="Arial" w:hAnsi="Arial"/>
                <w:sz w:val="15"/>
              </w:rPr>
              <w:t>Interactive model + clinical case challenge</w:t>
            </w:r>
          </w:p>
        </w:tc>
        <w:tc>
          <w:tcPr/>
          <w:p>
            <w:r>
              <w:rPr>
                <w:rFonts w:ascii="Arial" w:hAnsi="Arial"/>
                <w:sz w:val="15"/>
              </w:rPr>
              <w:t>BioDigital Human + physical muscle models + instructor-approved AI</w:t>
            </w:r>
          </w:p>
        </w:tc>
      </w:tr>
      <w:tr>
        <w:tc>
          <w:tcPr>
            <w:tcW w:type="dxa" w:w="2045"/>
          </w:tcPr>
          <w:p>
            <w:r>
              <w:rPr>
                <w:rFonts w:ascii="Arial" w:hAnsi="Arial"/>
                <w:sz w:val="15"/>
              </w:rPr>
              <w:t>11/3/26</w:t>
            </w:r>
          </w:p>
        </w:tc>
        <w:tc>
          <w:tcPr>
            <w:tcW w:type="dxa" w:w="2045"/>
          </w:tcPr>
          <w:p>
            <w:r>
              <w:rPr>
                <w:rFonts w:ascii="Arial" w:hAnsi="Arial"/>
                <w:sz w:val="15"/>
              </w:rPr>
              <w:t>Skeletal Muscle Physiology / EMG</w:t>
            </w:r>
          </w:p>
        </w:tc>
        <w:tc>
          <w:tcPr>
            <w:tcW w:type="dxa" w:w="2045"/>
          </w:tcPr>
          <w:p>
            <w:r>
              <w:rPr>
                <w:rFonts w:ascii="Arial" w:hAnsi="Arial"/>
                <w:sz w:val="15"/>
              </w:rPr>
              <w:t>Collect or interpret EMG data and explain physiological patterns.</w:t>
            </w:r>
          </w:p>
        </w:tc>
        <w:tc>
          <w:tcPr>
            <w:tcW w:type="dxa" w:w="2045"/>
          </w:tcPr>
          <w:p>
            <w:r>
              <w:rPr>
                <w:rFonts w:ascii="Arial" w:hAnsi="Arial"/>
                <w:sz w:val="15"/>
              </w:rPr>
              <w:t>Analyze / Evaluate</w:t>
            </w:r>
          </w:p>
        </w:tc>
        <w:tc>
          <w:tcPr>
            <w:tcW w:type="dxa" w:w="2045"/>
          </w:tcPr>
          <w:p>
            <w:r>
              <w:rPr>
                <w:rFonts w:ascii="Arial" w:hAnsi="Arial"/>
                <w:sz w:val="15"/>
              </w:rPr>
              <w:t>Physiology data investigation; visualization</w:t>
            </w:r>
          </w:p>
        </w:tc>
        <w:tc>
          <w:tcPr/>
          <w:p>
            <w:r>
              <w:rPr>
                <w:rFonts w:ascii="Arial" w:hAnsi="Arial"/>
                <w:sz w:val="15"/>
              </w:rPr>
              <w:t>iWorx EMG + Jupyter Notebook/JupyterLab + McGraw Hill Connect</w:t>
            </w:r>
          </w:p>
        </w:tc>
      </w:tr>
      <w:tr>
        <w:tc>
          <w:tcPr>
            <w:tcW w:type="dxa" w:w="2045"/>
          </w:tcPr>
          <w:p>
            <w:r>
              <w:rPr>
                <w:rFonts w:ascii="Arial" w:hAnsi="Arial"/>
                <w:sz w:val="15"/>
              </w:rPr>
              <w:t>11/10/26</w:t>
            </w:r>
          </w:p>
        </w:tc>
        <w:tc>
          <w:tcPr>
            <w:tcW w:type="dxa" w:w="2045"/>
          </w:tcPr>
          <w:p>
            <w:r>
              <w:rPr>
                <w:rFonts w:ascii="Arial" w:hAnsi="Arial"/>
                <w:sz w:val="15"/>
              </w:rPr>
              <w:t>Practicum 2: Bones, Muscles &amp; Joints</w:t>
            </w:r>
          </w:p>
        </w:tc>
        <w:tc>
          <w:tcPr>
            <w:tcW w:type="dxa" w:w="2045"/>
          </w:tcPr>
          <w:p>
            <w:r>
              <w:rPr>
                <w:rFonts w:ascii="Arial" w:hAnsi="Arial"/>
                <w:sz w:val="15"/>
              </w:rPr>
              <w:t>Demonstrate identification, application, and analysis.</w:t>
            </w:r>
          </w:p>
        </w:tc>
        <w:tc>
          <w:tcPr>
            <w:tcW w:type="dxa" w:w="2045"/>
          </w:tcPr>
          <w:p>
            <w:r>
              <w:rPr>
                <w:rFonts w:ascii="Arial" w:hAnsi="Arial"/>
                <w:sz w:val="15"/>
              </w:rPr>
              <w:t>Apply / Analyze</w:t>
            </w:r>
          </w:p>
        </w:tc>
        <w:tc>
          <w:tcPr>
            <w:tcW w:type="dxa" w:w="2045"/>
          </w:tcPr>
          <w:p>
            <w:r>
              <w:rPr>
                <w:rFonts w:ascii="Arial" w:hAnsi="Arial"/>
                <w:sz w:val="15"/>
              </w:rPr>
              <w:t>Assessment</w:t>
            </w:r>
          </w:p>
        </w:tc>
        <w:tc>
          <w:tcPr/>
          <w:p>
            <w:r>
              <w:rPr>
                <w:rFonts w:ascii="Arial" w:hAnsi="Arial"/>
                <w:sz w:val="15"/>
              </w:rPr>
              <w:t>Canvas / Respondus as applicable; physical models</w:t>
            </w:r>
          </w:p>
        </w:tc>
      </w:tr>
      <w:tr>
        <w:tc>
          <w:tcPr>
            <w:tcW w:type="dxa" w:w="2045"/>
          </w:tcPr>
          <w:p>
            <w:r>
              <w:rPr>
                <w:rFonts w:ascii="Arial" w:hAnsi="Arial"/>
                <w:sz w:val="15"/>
              </w:rPr>
              <w:t>11/17/26</w:t>
            </w:r>
          </w:p>
        </w:tc>
        <w:tc>
          <w:tcPr>
            <w:tcW w:type="dxa" w:w="2045"/>
          </w:tcPr>
          <w:p>
            <w:r>
              <w:rPr>
                <w:rFonts w:ascii="Arial" w:hAnsi="Arial"/>
                <w:sz w:val="15"/>
              </w:rPr>
              <w:t>Brain, Cranial Nerves &amp; EEG</w:t>
            </w:r>
          </w:p>
        </w:tc>
        <w:tc>
          <w:tcPr>
            <w:tcW w:type="dxa" w:w="2045"/>
          </w:tcPr>
          <w:p>
            <w:r>
              <w:rPr>
                <w:rFonts w:ascii="Arial" w:hAnsi="Arial"/>
                <w:sz w:val="15"/>
              </w:rPr>
              <w:t>Analyze brain anatomy and EEG observations; connect structure and function.</w:t>
            </w:r>
          </w:p>
        </w:tc>
        <w:tc>
          <w:tcPr>
            <w:tcW w:type="dxa" w:w="2045"/>
          </w:tcPr>
          <w:p>
            <w:r>
              <w:rPr>
                <w:rFonts w:ascii="Arial" w:hAnsi="Arial"/>
                <w:sz w:val="15"/>
              </w:rPr>
              <w:t>Analyze / Evaluate</w:t>
            </w:r>
          </w:p>
        </w:tc>
        <w:tc>
          <w:tcPr>
            <w:tcW w:type="dxa" w:w="2045"/>
          </w:tcPr>
          <w:p>
            <w:r>
              <w:rPr>
                <w:rFonts w:ascii="Arial" w:hAnsi="Arial"/>
                <w:sz w:val="15"/>
              </w:rPr>
              <w:t>EEG data + digital/3D visualization</w:t>
            </w:r>
          </w:p>
        </w:tc>
        <w:tc>
          <w:tcPr/>
          <w:p>
            <w:r>
              <w:rPr>
                <w:rFonts w:ascii="Arial" w:hAnsi="Arial"/>
                <w:sz w:val="15"/>
              </w:rPr>
              <w:t>BioDigital Human + iWorx EEG + Jupyter Notebook/JupyterLab</w:t>
            </w:r>
          </w:p>
        </w:tc>
      </w:tr>
      <w:tr>
        <w:tc>
          <w:tcPr>
            <w:tcW w:type="dxa" w:w="2045"/>
          </w:tcPr>
          <w:p>
            <w:r>
              <w:rPr>
                <w:rFonts w:ascii="Arial" w:hAnsi="Arial"/>
                <w:sz w:val="15"/>
              </w:rPr>
              <w:t>11/24/26</w:t>
            </w:r>
          </w:p>
        </w:tc>
        <w:tc>
          <w:tcPr>
            <w:tcW w:type="dxa" w:w="2045"/>
          </w:tcPr>
          <w:p>
            <w:r>
              <w:rPr>
                <w:rFonts w:ascii="Arial" w:hAnsi="Arial"/>
                <w:sz w:val="15"/>
              </w:rPr>
              <w:t>Spinal Cord, ANS, Reflexes &amp; Senses</w:t>
            </w:r>
          </w:p>
        </w:tc>
        <w:tc>
          <w:tcPr>
            <w:tcW w:type="dxa" w:w="2045"/>
          </w:tcPr>
          <w:p>
            <w:r>
              <w:rPr>
                <w:rFonts w:ascii="Arial" w:hAnsi="Arial"/>
                <w:sz w:val="15"/>
              </w:rPr>
              <w:t>Apply nervous-system concepts to reflex and sensory scenarios.</w:t>
            </w:r>
          </w:p>
        </w:tc>
        <w:tc>
          <w:tcPr>
            <w:tcW w:type="dxa" w:w="2045"/>
          </w:tcPr>
          <w:p>
            <w:r>
              <w:rPr>
                <w:rFonts w:ascii="Arial" w:hAnsi="Arial"/>
                <w:sz w:val="15"/>
              </w:rPr>
              <w:t>Apply / Analyze</w:t>
            </w:r>
          </w:p>
        </w:tc>
        <w:tc>
          <w:tcPr>
            <w:tcW w:type="dxa" w:w="2045"/>
          </w:tcPr>
          <w:p>
            <w:r>
              <w:rPr>
                <w:rFonts w:ascii="Arial" w:hAnsi="Arial"/>
                <w:sz w:val="15"/>
              </w:rPr>
              <w:t>Case challenge; collaborative problem solving</w:t>
            </w:r>
          </w:p>
        </w:tc>
        <w:tc>
          <w:tcPr/>
          <w:p>
            <w:r>
              <w:rPr>
                <w:rFonts w:ascii="Arial" w:hAnsi="Arial"/>
                <w:sz w:val="15"/>
              </w:rPr>
              <w:t>BioDigital Human + reflex/sensory models + instructor-approved AI + Connect</w:t>
            </w:r>
          </w:p>
        </w:tc>
      </w:tr>
      <w:tr>
        <w:tc>
          <w:tcPr>
            <w:tcW w:type="dxa" w:w="2045"/>
          </w:tcPr>
          <w:p>
            <w:r>
              <w:rPr>
                <w:rFonts w:ascii="Arial" w:hAnsi="Arial"/>
                <w:sz w:val="15"/>
              </w:rPr>
              <w:t>12/1/26</w:t>
            </w:r>
          </w:p>
        </w:tc>
        <w:tc>
          <w:tcPr>
            <w:tcW w:type="dxa" w:w="2045"/>
          </w:tcPr>
          <w:p>
            <w:r>
              <w:rPr>
                <w:rFonts w:ascii="Arial" w:hAnsi="Arial"/>
                <w:sz w:val="15"/>
              </w:rPr>
              <w:t>Practicum 3: Nervous System &amp; Senses</w:t>
            </w:r>
          </w:p>
        </w:tc>
        <w:tc>
          <w:tcPr>
            <w:tcW w:type="dxa" w:w="2045"/>
          </w:tcPr>
          <w:p>
            <w:r>
              <w:rPr>
                <w:rFonts w:ascii="Arial" w:hAnsi="Arial"/>
                <w:sz w:val="15"/>
              </w:rPr>
              <w:t>Demonstrate integrated anatomical and physiological understanding.</w:t>
            </w:r>
          </w:p>
        </w:tc>
        <w:tc>
          <w:tcPr>
            <w:tcW w:type="dxa" w:w="2045"/>
          </w:tcPr>
          <w:p>
            <w:r>
              <w:rPr>
                <w:rFonts w:ascii="Arial" w:hAnsi="Arial"/>
                <w:sz w:val="15"/>
              </w:rPr>
              <w:t>Apply / Analyze</w:t>
            </w:r>
          </w:p>
        </w:tc>
        <w:tc>
          <w:tcPr>
            <w:tcW w:type="dxa" w:w="2045"/>
          </w:tcPr>
          <w:p>
            <w:r>
              <w:rPr>
                <w:rFonts w:ascii="Arial" w:hAnsi="Arial"/>
                <w:sz w:val="15"/>
              </w:rPr>
              <w:t>Assessment</w:t>
            </w:r>
          </w:p>
        </w:tc>
        <w:tc>
          <w:tcPr/>
          <w:p>
            <w:r>
              <w:rPr>
                <w:rFonts w:ascii="Arial" w:hAnsi="Arial"/>
                <w:sz w:val="15"/>
              </w:rPr>
              <w:t>Canvas / Respondus as applicable; physical models and lab resources</w:t>
            </w:r>
          </w:p>
        </w:tc>
      </w:tr>
    </w:tbl>
    <w:p>
      <w:pPr>
        <w:pStyle w:val="Heading1"/>
      </w:pPr>
      <w:r>
        <w:t>Student Success and Formative Feedback</w:t>
      </w:r>
    </w:p>
    <w:p>
      <w:r>
        <w:t>Students will receive opportunities to practice identification and reasoning before major practicums. Brief pre-lab checks, retrieval practice, practice stations, peer explanation, and post-practicum reflection may be used to identify misconceptions early. Students earning below 70% on a practicum are strongly encouraged to meet with the instructor and develop a targeted study plan.</w:t>
      </w:r>
    </w:p>
    <w:p>
      <w:pPr>
        <w:pStyle w:val="Heading1"/>
      </w:pPr>
      <w:r>
        <w:t>Mentor Discussion: Questions for Continued Course Improvement</w:t>
      </w:r>
    </w:p>
    <w:p>
      <w:pPr>
        <w:pStyle w:val="ListBullet"/>
      </w:pPr>
      <w:r>
        <w:t>How can I strengthen the alignment among my learning outcomes, laboratory activities, and assessments?</w:t>
      </w:r>
    </w:p>
    <w:p>
      <w:pPr>
        <w:pStyle w:val="ListBullet"/>
      </w:pPr>
      <w:r>
        <w:t>Which Gateway tools would be most appropriate for an introductory Anatomy &amp; Physiology laboratory?</w:t>
      </w:r>
    </w:p>
    <w:p>
      <w:pPr>
        <w:pStyle w:val="ListBullet"/>
      </w:pPr>
      <w:r>
        <w:t>How can I incorporate AI in a way that strengthens critical thinking rather than replacing student reasoning?</w:t>
      </w:r>
    </w:p>
    <w:p>
      <w:pPr>
        <w:pStyle w:val="ListBullet"/>
      </w:pPr>
      <w:r>
        <w:t>What kinds of biological data or computational activities would be realistic for students with little or no computing experience?</w:t>
      </w:r>
    </w:p>
    <w:p>
      <w:pPr>
        <w:pStyle w:val="ListBullet"/>
      </w:pPr>
      <w:r>
        <w:t>How can immersive or 3D learning be used effectively without replacing hands-on models and microscopy?</w:t>
      </w:r>
    </w:p>
    <w:p>
      <w:pPr>
        <w:pStyle w:val="ListBullet"/>
      </w:pPr>
      <w:r>
        <w:t>Would you recommend changing the balance between high-stakes practicums and low-stakes formative assessments?</w:t>
      </w:r>
    </w:p>
    <w:p>
      <w:pPr>
        <w:pStyle w:val="ListBullet"/>
      </w:pPr>
      <w:r>
        <w:t>What evidence should I collect to determine whether these redesigned activities improve student engagement and learning?</w:t>
      </w:r>
    </w:p>
    <w:p>
      <w:pPr>
        <w:pStyle w:val="Heading1"/>
      </w:pPr>
      <w:r>
        <w:t>Implementation Note</w:t>
      </w:r>
    </w:p>
    <w:p>
      <w:r>
        <w:t>This revised copy is a course-design draft based on the Fall 2026 SBIO 221LB syllabus. University-required language, official policies, coordinator information, textbook/access information, ADA statements, academic dishonesty policies, and other departmental requirements should remain in the official syllabus and be updated with the current institution-approved wording before distribution to students.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SBIO 221LB | Gateway + AI + Bloom's Taxonomy Redesign | Draft for Mentor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