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68FC" w:rsidRPr="005568FC" w:rsidRDefault="005568FC"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Student Name:</w:t>
      </w:r>
      <w:r>
        <w:rPr>
          <w:rFonts w:ascii="Times New Roman" w:hAnsi="Times New Roman" w:cs="Times New Roman"/>
          <w:sz w:val="24"/>
          <w:szCs w:val="24"/>
        </w:rPr>
        <w:t xml:space="preserve"> </w:t>
      </w:r>
      <w:bookmarkStart w:id="0" w:name="_GoBack"/>
      <w:bookmarkEnd w:id="0"/>
      <w:r w:rsidRPr="005568FC">
        <w:rPr>
          <w:rFonts w:ascii="Times New Roman" w:hAnsi="Times New Roman" w:cs="Times New Roman"/>
          <w:sz w:val="24"/>
          <w:szCs w:val="24"/>
        </w:rPr>
        <w:t>ASAMOAH BOATENG FRANCIS</w:t>
      </w:r>
    </w:p>
    <w:p w:rsidR="005568FC" w:rsidRPr="005568FC" w:rsidRDefault="005568FC"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Student ID: PUIT/24210103</w:t>
      </w:r>
    </w:p>
    <w:p w:rsidR="005568FC" w:rsidRPr="005568FC" w:rsidRDefault="005568FC"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TITLE PAGE</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pStyle w:val="Title"/>
        <w:spacing w:line="360" w:lineRule="auto"/>
        <w:jc w:val="both"/>
        <w:rPr>
          <w:rFonts w:ascii="Times New Roman" w:hAnsi="Times New Roman" w:cs="Times New Roman"/>
          <w:sz w:val="24"/>
          <w:szCs w:val="24"/>
        </w:rPr>
      </w:pPr>
      <w:proofErr w:type="gramStart"/>
      <w:r w:rsidRPr="005568FC">
        <w:rPr>
          <w:rFonts w:ascii="Times New Roman" w:hAnsi="Times New Roman" w:cs="Times New Roman"/>
          <w:sz w:val="24"/>
          <w:szCs w:val="24"/>
        </w:rPr>
        <w:t>A</w:t>
      </w:r>
      <w:r w:rsidR="005568FC">
        <w:rPr>
          <w:rFonts w:ascii="Times New Roman" w:hAnsi="Times New Roman" w:cs="Times New Roman"/>
          <w:sz w:val="24"/>
          <w:szCs w:val="24"/>
        </w:rPr>
        <w:t>DVANCED  DATA</w:t>
      </w:r>
      <w:proofErr w:type="gramEnd"/>
      <w:r w:rsidR="005568FC">
        <w:rPr>
          <w:rFonts w:ascii="Times New Roman" w:hAnsi="Times New Roman" w:cs="Times New Roman"/>
          <w:sz w:val="24"/>
          <w:szCs w:val="24"/>
        </w:rPr>
        <w:t xml:space="preserve"> COMMUNICATION: PRINCIPLE  AND APPLICATIONS OF  SATELLITE</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ABSTRACT</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The rapid proliferation of global digital infrastructure has necessitated a paradigm shift in how data is transmitted across geographically dispersed nodes. While terrestrial fiber-optic networks form the backbone of urban connectivity, satellite data communication remains the singular viable mechanism for ubiquitous global coverage, particularly in maritime, aeronautical, and remote terrestrial environments. This research essay comprehensively examines the architectural and functional complexities inherent in modern satellite systems. Central to this analysis is the technical exploration of "Satellite Zooming," a conceptual and operational framework rooted in High-Throughput Satellite (HTS) technology and multi-spot beam architectures. By interrogating the principles of orbital mechanics across Low Earth Orbit (LEO), Medium Earth Orbit (MEO), and Geostationary Orbit (GEO), this paper establishes the foundational link budget parameters and frequency spectrum management protocols that govern signal modulation. The physics of orbital velocity, determined by the equilibrium between centrifugal acceleration and terrestrial gravitational pull, inherently dictates the propagation delay and coverage geometries that system engineers must negotiate. A rigorous comparative analysis juxtaposes satellite broadband capabilities against terrestrial networks, elucidating the inherent trade-offs between latency, bandwidth scalability, and infrastructure deployment costs. Furthermore, the essay addresses critical operational challenges, notably atmospheric attenuation—specifically the interaction between Ka-band electromagnetic waves and hydrometeors resulting in rain fade—orbital debris mitigation governed by Kessler syndrome models, and the escalating threat vectors within satellite </w:t>
      </w:r>
      <w:r w:rsidRPr="005568FC">
        <w:rPr>
          <w:rFonts w:ascii="Times New Roman" w:hAnsi="Times New Roman" w:cs="Times New Roman"/>
          <w:sz w:val="24"/>
          <w:szCs w:val="24"/>
        </w:rPr>
        <w:lastRenderedPageBreak/>
        <w:t xml:space="preserve">cybersecurity. The 2022 </w:t>
      </w:r>
      <w:proofErr w:type="gramStart"/>
      <w:r w:rsidRPr="005568FC">
        <w:rPr>
          <w:rFonts w:ascii="Times New Roman" w:hAnsi="Times New Roman" w:cs="Times New Roman"/>
          <w:sz w:val="24"/>
          <w:szCs w:val="24"/>
        </w:rPr>
        <w:t>Via</w:t>
      </w:r>
      <w:proofErr w:type="gramEnd"/>
      <w:r w:rsidR="00B30A7E" w:rsidRPr="005568FC">
        <w:rPr>
          <w:rFonts w:ascii="Times New Roman" w:hAnsi="Times New Roman" w:cs="Times New Roman"/>
          <w:sz w:val="24"/>
          <w:szCs w:val="24"/>
        </w:rPr>
        <w:t xml:space="preserve"> </w:t>
      </w:r>
      <w:r w:rsidRPr="005568FC">
        <w:rPr>
          <w:rFonts w:ascii="Times New Roman" w:hAnsi="Times New Roman" w:cs="Times New Roman"/>
          <w:sz w:val="24"/>
          <w:szCs w:val="24"/>
        </w:rPr>
        <w:t>sat KA-SAT network breach serves as a primary case study to highlight protocol vulnerabilities. Finally, the discourse projects into future trajectories, analyzing the integration of Non-Terrestrial Networks (NTNs) within 3GPP Release 18 and impending 6G frameworks, alongside the deployment of artificial intelligence for autonomous spacecraft operations and dynamic beam hopping. The synthesis of these domains demonstrates that satellite communication is transitioning from a niche backup mechanism to a primary, intelligent node within the global data ecosystem.</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Keywords: Satellite Communication, High-Throughput Satellites (HTS), Spot Beam Technology, Satellite Zooming, Orbital Mechanics, Frequency Reuse, 6G Integration, Inter-Satellite Links, Rain Fade Attenuation, DVB-S2X.</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TABLE OF CONTENTS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Abstract .................................................................................................................. </w:t>
      </w:r>
      <w:proofErr w:type="spellStart"/>
      <w:r w:rsidRPr="005568FC">
        <w:rPr>
          <w:rFonts w:ascii="Times New Roman" w:hAnsi="Times New Roman" w:cs="Times New Roman"/>
          <w:sz w:val="24"/>
          <w:szCs w:val="24"/>
        </w:rPr>
        <w:t>i</w:t>
      </w:r>
      <w:proofErr w:type="spellEnd"/>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Table of Contents ................................................................................................. ii</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List of Tables ......................................................................................................... </w:t>
      </w:r>
      <w:proofErr w:type="gramStart"/>
      <w:r w:rsidRPr="005568FC">
        <w:rPr>
          <w:rFonts w:ascii="Times New Roman" w:hAnsi="Times New Roman" w:cs="Times New Roman"/>
          <w:sz w:val="24"/>
          <w:szCs w:val="24"/>
        </w:rPr>
        <w:t>iv</w:t>
      </w:r>
      <w:proofErr w:type="gramEnd"/>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List of Figures ....................................................................................................... v</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1. Introduction ...................................................................................................... 1</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1.1 Evolution of Satellite </w:t>
      </w:r>
      <w:proofErr w:type="gramStart"/>
      <w:r w:rsidRPr="005568FC">
        <w:rPr>
          <w:rFonts w:ascii="Times New Roman" w:hAnsi="Times New Roman" w:cs="Times New Roman"/>
          <w:sz w:val="24"/>
          <w:szCs w:val="24"/>
        </w:rPr>
        <w:t>Communication .....................................................</w:t>
      </w:r>
      <w:proofErr w:type="gramEnd"/>
      <w:r w:rsidRPr="005568FC">
        <w:rPr>
          <w:rFonts w:ascii="Times New Roman" w:hAnsi="Times New Roman" w:cs="Times New Roman"/>
          <w:sz w:val="24"/>
          <w:szCs w:val="24"/>
        </w:rPr>
        <w:t xml:space="preserve"> 1</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1.2 Role in Modern Global Data Infrastructure ............................................. 4</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2. Technical Principles of Satellite Communication .......................................... 6</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2.1 Orbital Mechanics and Classification (LEO, MEO, GEO) ..................... 6</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 xml:space="preserve">   2.2 Frequency Spectrum Management (C, Ku, Ka, V Bands) ...................... 10</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2.3 Signal Modulation, Multiplexing, and Forward Error Correction .......... 13</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3. Satellite Zooming and Precision Targeting ................................................. 16</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3.1 Architecture of High-Throughput Satellites (HTS) .............................. 16</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3.2 Spot Beam Technology and Spatial Domain Engineering ...................... 18</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3.3 Frequency Reuse Mechanisms and Polarization </w:t>
      </w:r>
      <w:proofErr w:type="gramStart"/>
      <w:r w:rsidRPr="005568FC">
        <w:rPr>
          <w:rFonts w:ascii="Times New Roman" w:hAnsi="Times New Roman" w:cs="Times New Roman"/>
          <w:sz w:val="24"/>
          <w:szCs w:val="24"/>
        </w:rPr>
        <w:t>Isolation ....................</w:t>
      </w:r>
      <w:proofErr w:type="gramEnd"/>
      <w:r w:rsidRPr="005568FC">
        <w:rPr>
          <w:rFonts w:ascii="Times New Roman" w:hAnsi="Times New Roman" w:cs="Times New Roman"/>
          <w:sz w:val="24"/>
          <w:szCs w:val="24"/>
        </w:rPr>
        <w:t xml:space="preserve"> 20</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3.4 The Concept of "Satellite Zooming" ...................................................... 22</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4. Comparative Analysis: Satellite vs. Terrestrial </w:t>
      </w:r>
      <w:proofErr w:type="gramStart"/>
      <w:r w:rsidRPr="005568FC">
        <w:rPr>
          <w:rFonts w:ascii="Times New Roman" w:hAnsi="Times New Roman" w:cs="Times New Roman"/>
          <w:sz w:val="24"/>
          <w:szCs w:val="24"/>
        </w:rPr>
        <w:t>Communication .................</w:t>
      </w:r>
      <w:proofErr w:type="gramEnd"/>
      <w:r w:rsidRPr="005568FC">
        <w:rPr>
          <w:rFonts w:ascii="Times New Roman" w:hAnsi="Times New Roman" w:cs="Times New Roman"/>
          <w:sz w:val="24"/>
          <w:szCs w:val="24"/>
        </w:rPr>
        <w:t xml:space="preserve"> 24</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4.1 Bandwidth and Scalability Metrics .......................................................... 24</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4.2 Latency, Propagation Delay, and Protocol Optimization ...................... 26</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4.3 Infrastructure Economics and Deployment Logistics ............................ 28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5. Critical Challenges in Satellite Data </w:t>
      </w:r>
      <w:proofErr w:type="gramStart"/>
      <w:r w:rsidRPr="005568FC">
        <w:rPr>
          <w:rFonts w:ascii="Times New Roman" w:hAnsi="Times New Roman" w:cs="Times New Roman"/>
          <w:sz w:val="24"/>
          <w:szCs w:val="24"/>
        </w:rPr>
        <w:t>Communication ...................................</w:t>
      </w:r>
      <w:proofErr w:type="gramEnd"/>
      <w:r w:rsidRPr="005568FC">
        <w:rPr>
          <w:rFonts w:ascii="Times New Roman" w:hAnsi="Times New Roman" w:cs="Times New Roman"/>
          <w:sz w:val="24"/>
          <w:szCs w:val="24"/>
        </w:rPr>
        <w:t xml:space="preserve"> 30</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5.1 Atmospheric Attenuation and Rain Fade Modeling ................................. 30</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5.2 Latency Constraints in GEO Orbits ....................................................... 32</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5.3 Orbital Debris and Space Sustainability ................................................. 33</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5.4 Cybersecurity Vulnerabilities and Attack Vectors .................................. 35</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6. Future Trends and Innovations ..................................................................... 37</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6.1 Integration with 6G Networks and NTNs .............................................. 37</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6.2 AI-Driven Autonomous Satellite Operations .......................................... 39</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7. Conclusion ...................................................................................................... 41</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proofErr w:type="gramStart"/>
      <w:r w:rsidRPr="005568FC">
        <w:rPr>
          <w:rFonts w:ascii="Times New Roman" w:hAnsi="Times New Roman" w:cs="Times New Roman"/>
          <w:sz w:val="24"/>
          <w:szCs w:val="24"/>
        </w:rPr>
        <w:t>References ...........................................................................................................</w:t>
      </w:r>
      <w:proofErr w:type="gramEnd"/>
      <w:r w:rsidRPr="005568FC">
        <w:rPr>
          <w:rFonts w:ascii="Times New Roman" w:hAnsi="Times New Roman" w:cs="Times New Roman"/>
          <w:sz w:val="24"/>
          <w:szCs w:val="24"/>
        </w:rPr>
        <w:t xml:space="preserve"> 42</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Appendix A: Standard Satellite Link Budget Calculation ................................. 48</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Appendix B: Four-Color Frequency Reuse Pattern Diagram ............................ 49</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LIST OF TABLES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Table 1: Comparative Analysis of LEO, MEO, and GEO Orbital </w:t>
      </w:r>
      <w:proofErr w:type="gramStart"/>
      <w:r w:rsidRPr="005568FC">
        <w:rPr>
          <w:rFonts w:ascii="Times New Roman" w:hAnsi="Times New Roman" w:cs="Times New Roman"/>
          <w:sz w:val="24"/>
          <w:szCs w:val="24"/>
        </w:rPr>
        <w:t>Parameters ........</w:t>
      </w:r>
      <w:proofErr w:type="gramEnd"/>
      <w:r w:rsidRPr="005568FC">
        <w:rPr>
          <w:rFonts w:ascii="Times New Roman" w:hAnsi="Times New Roman" w:cs="Times New Roman"/>
          <w:sz w:val="24"/>
          <w:szCs w:val="24"/>
        </w:rPr>
        <w:t xml:space="preserve"> 7</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Table 2: ITU Frequency Spectrum Characteristics and Applications ................ 11</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Table 3: DVB-S2X Modulation and Coding Schemes ....................................... 14</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Table 4: Advantages and Disadvantages of Satellite vs. Terrestrial Networks ... 25</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Table 5: Summary of AI Applications in Satellite Payload </w:t>
      </w:r>
      <w:proofErr w:type="gramStart"/>
      <w:r w:rsidRPr="005568FC">
        <w:rPr>
          <w:rFonts w:ascii="Times New Roman" w:hAnsi="Times New Roman" w:cs="Times New Roman"/>
          <w:sz w:val="24"/>
          <w:szCs w:val="24"/>
        </w:rPr>
        <w:t>Management ...........</w:t>
      </w:r>
      <w:proofErr w:type="gramEnd"/>
      <w:r w:rsidRPr="005568FC">
        <w:rPr>
          <w:rFonts w:ascii="Times New Roman" w:hAnsi="Times New Roman" w:cs="Times New Roman"/>
          <w:sz w:val="24"/>
          <w:szCs w:val="24"/>
        </w:rPr>
        <w:t xml:space="preserve"> 40</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LIST OF FIGURES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Figure 1: Schematic Representation of LEO, MEO, and GEO Orbital </w:t>
      </w:r>
      <w:proofErr w:type="gramStart"/>
      <w:r w:rsidRPr="005568FC">
        <w:rPr>
          <w:rFonts w:ascii="Times New Roman" w:hAnsi="Times New Roman" w:cs="Times New Roman"/>
          <w:sz w:val="24"/>
          <w:szCs w:val="24"/>
        </w:rPr>
        <w:t>Shells .....</w:t>
      </w:r>
      <w:proofErr w:type="gramEnd"/>
      <w:r w:rsidRPr="005568FC">
        <w:rPr>
          <w:rFonts w:ascii="Times New Roman" w:hAnsi="Times New Roman" w:cs="Times New Roman"/>
          <w:sz w:val="24"/>
          <w:szCs w:val="24"/>
        </w:rPr>
        <w:t xml:space="preserve"> 8</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Figure 2: Atmospheric Attenuation Profiles Across Frequency </w:t>
      </w:r>
      <w:proofErr w:type="gramStart"/>
      <w:r w:rsidRPr="005568FC">
        <w:rPr>
          <w:rFonts w:ascii="Times New Roman" w:hAnsi="Times New Roman" w:cs="Times New Roman"/>
          <w:sz w:val="24"/>
          <w:szCs w:val="24"/>
        </w:rPr>
        <w:t>Bands ..............</w:t>
      </w:r>
      <w:proofErr w:type="gramEnd"/>
      <w:r w:rsidRPr="005568FC">
        <w:rPr>
          <w:rFonts w:ascii="Times New Roman" w:hAnsi="Times New Roman" w:cs="Times New Roman"/>
          <w:sz w:val="24"/>
          <w:szCs w:val="24"/>
        </w:rPr>
        <w:t xml:space="preserve"> 12</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Figure 3: Traditional Broad Beam vs. High-Throughput Multi-Spot Beam </w:t>
      </w:r>
      <w:proofErr w:type="gramStart"/>
      <w:r w:rsidRPr="005568FC">
        <w:rPr>
          <w:rFonts w:ascii="Times New Roman" w:hAnsi="Times New Roman" w:cs="Times New Roman"/>
          <w:sz w:val="24"/>
          <w:szCs w:val="24"/>
        </w:rPr>
        <w:t>Architecture .................................................................</w:t>
      </w:r>
      <w:proofErr w:type="gramEnd"/>
      <w:r w:rsidRPr="005568FC">
        <w:rPr>
          <w:rFonts w:ascii="Times New Roman" w:hAnsi="Times New Roman" w:cs="Times New Roman"/>
          <w:sz w:val="24"/>
          <w:szCs w:val="24"/>
        </w:rPr>
        <w:t xml:space="preserve"> 17</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Figure 4: Implementation of a Four-Color Frequency Reuse Grid .................. 21</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Figure 5: Conceptual Model of Satellite Zooming via Steerable Spot Beams ... 23</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1. INTRODUCTION</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1.1 Evolution of Satellite Communication</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The genesis of satellite communication traces back to the mid-twentieth century, fundamentally altering the theoretical frameworks of global information exchange. The conceptualization of geostationary orbits by Arthur C. Clarke in 1945 established the foundational geometry for global broadcasting, proposing a network of extraterrestrial relays positioned at exactly 35,786 kilometers above the equator (Clarke, 1945). The mathematical prerequisite for this orbit dictates that the satellite's orbital period must precisely match the Earth's sidereal rotation period of 23 hours, 56 minutes, and 4 seconds. Practical realization of this theory did not materialize until the launch of Score in 1958, which relied on a simple tape recorder to relay messages, and subsequently the inaugural active communication satellite, Telstar I, in 1962. Telstar demonstrated the capacity to </w:t>
      </w:r>
      <w:proofErr w:type="spellStart"/>
      <w:r w:rsidRPr="005568FC">
        <w:rPr>
          <w:rFonts w:ascii="Times New Roman" w:hAnsi="Times New Roman" w:cs="Times New Roman"/>
          <w:sz w:val="24"/>
          <w:szCs w:val="24"/>
        </w:rPr>
        <w:t>transceive</w:t>
      </w:r>
      <w:proofErr w:type="spellEnd"/>
      <w:r w:rsidRPr="005568FC">
        <w:rPr>
          <w:rFonts w:ascii="Times New Roman" w:hAnsi="Times New Roman" w:cs="Times New Roman"/>
          <w:sz w:val="24"/>
          <w:szCs w:val="24"/>
        </w:rPr>
        <w:t xml:space="preserve"> electromagnetic signals across the Atlantic Ocean, proving that active microwave repeaters could function in the harsh vacuum of space (Whalen, 2019). </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These early systems operated primarily in the L-band (1-2 GHz) and utilized rudimentary analog transmission mechanisms characterized by high power consumption, severe thermal constraints, and limited channel capacity. The fundamental limitation of these early single-channel per carrier (SCPC) systems necessitated a rapid evolutionary trajectory toward multiplexing and higher frequency allocations. The transition from experimental apparatuses to commercial infrastructural nodes occurred during the 1970s and 1980s, heavily subsidized by the establishment of the International Telecommunication Satellite Organization (INTELSAT). During this epoch, satellite communication was predominantly unidirectional, optimized for television broadcasting and </w:t>
      </w:r>
      <w:r w:rsidRPr="005568FC">
        <w:rPr>
          <w:rFonts w:ascii="Times New Roman" w:hAnsi="Times New Roman" w:cs="Times New Roman"/>
          <w:sz w:val="24"/>
          <w:szCs w:val="24"/>
        </w:rPr>
        <w:lastRenderedPageBreak/>
        <w:t xml:space="preserve">point-to-point telephony backbone links connecting disparate terrestrial switching centers (Pelton, 2020). </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architectural paradigm of this era relied heavily on broad, global, or hemispheric beam footprints. A single transponder on an Intelsat V satellite, for example, would illuminate an area covering millions of square kilometers. While effective for wide-area dissemination, this approach suffered from severe spectral inefficiency. The power flux density, defined as the amount of radiated power crossing a unit area on the Earth's surface, was distributed so sparsely across vast geographic swaths that ground stations were required to utilize massive parabolic antennas—often exceeding 30 meters in diameter—to capture sufficiently high signal-to-noise ratios (SNR) to demodulate the signal (Farserotu &amp; Prasad, 2019). The technological inertia of broad-beam architectures dominated the industry for decades, primarily because the demand for point-to-point connectivity was limited to institutional users who could afford the requisite ground infrastructure.</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paradigm began to fracture with the advent of Very Small Aperture Terminals (VSATs) in the 1980s. Corporations sought to bypass terrestrial leased lines by establishing private networks. To serve antennas with diameters of 1 to 2 meters, the satellite's Effective Isotropic Radiated Power (EIRP) had to increase, driving a transition from C-band to Ku-band frequencies. This marked the first instance of "targeting" power toward specific user classes rather than blanketing continents. The contemporary era of satellite data communication is defined by a total divergence from broadcasting ubiquity toward targeted, high-capacity data routing. This shift has been catalyzed by the exponential growth in internet protocol (IP) traffic and the insatiable demand for mobile connectivity. The architectural response to this demand is epitomized by High-Throughput Satellites (HTS), which abandoned the single broad beam in favor of multi-spot beam architectures. This transition represents a fundamental reimagination of how the frequency spectrum is spatially managed, laying the groundwork for advanced phenomena such as satellite zooming and precision beam steering (Siris et al., 2020).</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1.2 Role in Modern Global Data Infrastructure</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In the contemporary digital ecosystem, satellite data communication has transcended its historical role as a mere gap-filler for terrestrial networks. It has evolved into a primary, sovereign data conduit essential for specific, high-value verticals that are fundamentally incompatible with terrestrial topology. The modern global data infrastructure conceptualizes connectivity not as a binary state of connected versus unconnected, but as a continuum of latency, bandwidth, and reliability parameters. Within this continuum, satellite systems occupy a critical niche, providing resilient backhaul for cellular base stations in sub-Saharan Africa, enabling in-flight connectivity (IFC) for commercial aviation over transoceanic corridors, and facilitating the Internet of Things (</w:t>
      </w:r>
      <w:proofErr w:type="spellStart"/>
      <w:r w:rsidRPr="005568FC">
        <w:rPr>
          <w:rFonts w:ascii="Times New Roman" w:hAnsi="Times New Roman" w:cs="Times New Roman"/>
          <w:sz w:val="24"/>
          <w:szCs w:val="24"/>
        </w:rPr>
        <w:t>IoT</w:t>
      </w:r>
      <w:proofErr w:type="spellEnd"/>
      <w:r w:rsidRPr="005568FC">
        <w:rPr>
          <w:rFonts w:ascii="Times New Roman" w:hAnsi="Times New Roman" w:cs="Times New Roman"/>
          <w:sz w:val="24"/>
          <w:szCs w:val="24"/>
        </w:rPr>
        <w:t>) data ingestion from maritime shipping fleets and remote oil platforms (Wood &amp; Weigel, 2021).</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architectural complexities of modern satellite systems are driven by the requirement to emulate terrestrial network performance metrics. Historically, satellite links were designed to tolerate high latency and asymmetric throughput. Modern applications, however—such as cloud computing, virtual private networks (VPNs), and real-time financial transaction processing—mandate low latency and high-throughput symmetrical links. This requirement has driven the commercial deployment of Non-Geostationary Orbit (NGSO) constellations, most notably LEO mega-constellations. By reducing the orbital altitude from 35,786 kilometers to approximately 550 kilometers, systems fundamentally alter the propagation delay dynamics, bringing satellite latency within the threshold acceptable for standard TCP/IP protocols without requiring extensive protocol spoofing (Al-Samman et al., 2021).</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Furthermore, the integration of satellite networks with terrestrial Software-Defined Networking (SDN) and Network Function Virtualization (NFV) frameworks underscores their newly elevated status. Modern satellite ground segments are no longer composed of proprietary, monolithic hardware modulators and demodulators. Instead, they utilize virtualized modems executing as software containers on commercial off-the-shelf (COTS) servers, interfacing with digitally beam-formed payloads that can be reconfigured in real-time via software interfaces (Ghosh et al., 2022). This interoperability allows satellite links to function as seamlessly integrated routing nodes within heterogeneous global networks. The subsequent sections of this essay will dissect the technical </w:t>
      </w:r>
      <w:r w:rsidRPr="005568FC">
        <w:rPr>
          <w:rFonts w:ascii="Times New Roman" w:hAnsi="Times New Roman" w:cs="Times New Roman"/>
          <w:sz w:val="24"/>
          <w:szCs w:val="24"/>
        </w:rPr>
        <w:lastRenderedPageBreak/>
        <w:t>principles enabling these capabilities, with a concentrated focus on the spectral efficiency mechanisms inherent in spot beam technologies and the conceptual operationalization of satellite zooming.</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2. TECHNICAL PRINCIPLES OF SATELLITE COMMUNICATION</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2.1 Orbital Mechanics and Classification (LEO, MEO, GEO)</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fundamental determinant of a satellite communication system's performance envelope is its orbital mechanics. The selection of an orbital regime dictates the propagation delay, coverage footprint, launch cost, and the required complexity of the ground segment tracking infrastructure. Satellite orbits are strictly governed by Keplerian mechanics, balancing the centrifugal force generated by the satellite's tangential velocity against the centripetal force of the Earth's gravitational pull. The specific orbital energy determines the altitude, while the inclination angle relative to the equatorial plane determines the latitude coverage (Maini &amp; Agrawal, 2020).</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Geostationary Orbit (GEO) remains the most historically significant and economically entrenched regime. Positioned precisely at 35,786 kilometers above the equator with an inclination of zero degrees, a GEO satellite possesses an orbital period matching the Earth's sidereal rotation. Consequently, the satellite maintains a fixed position relative to a point on the Earth's surface. This geosynchronous attribute eliminates the necessity for complex mechanical tracking antennas on the ground, making GEO exceptionally suited for broadcast applications and fixed VSAT networks (Maral &amp; Bousquet, 2020). The primary engineering detriment of GEO is the vast distance, which introduces a mandatory propagation delay of approximately 119 milliseconds for a single hop (ground to satellite), equating to roughly 240 milliseconds for a round trip, exclusive of processing delays. This latency severely degrades the performance of protocols reliant on rapid handshaking.</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Medium Earth Orbit (MEO) systems occupy an intermediate altitudinal band, typically between 8,000 and 20,000 kilometers. The most prominent utilization of MEO is within global navigation </w:t>
      </w:r>
      <w:r w:rsidRPr="005568FC">
        <w:rPr>
          <w:rFonts w:ascii="Times New Roman" w:hAnsi="Times New Roman" w:cs="Times New Roman"/>
          <w:sz w:val="24"/>
          <w:szCs w:val="24"/>
        </w:rPr>
        <w:lastRenderedPageBreak/>
        <w:t>satellite systems (GNSS) such as GPS and Galileo. Communication constellations, notably the O3b Networks (now part of SES), have successfully leveraged MEO to provide fiber-like latency for enterprise and cellular backhaul (Hardy et al., 2018). With a round-trip latency of approximately 130 to 150 milliseconds, MEO strikes a compromise between the low latency of LEO and the geographical stability of GEO. An intrinsic challenge in MEO is the passage of satellites through the Van Allen radiation belts, which necessitates enhanced radiation hardening of the spacecraft's electronic components, directly impacting payload mass and cost.</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Low Earth Orbit (LEO) resides at altitudes ranging from 500 to 2,000 kilometers. The proximate location to the Earth's surface yields propagation delays of 10 to 20 milliseconds for a single hop, rendering LEO functionally equivalent to terrestrial long-haul microwave links in terms of latency performance (Bhattacherjee et al., 2021). The geometric challenge in LEO architectures is severe: a single LEO satellite at 600 km altitude only views a circular footprint approximately 4,500 kilometers in diameter. Furthermore, this footprint moves rapidly across the ground at approximately 7.5 kilometers per second. To provide continuous global coverage, a LEO system requires a massive constellation of hundreds or thousands of satellites intricately coordinated via Inter-Satellite Links (ISLs). While optical ISLs reduce the reliance on terrestrial ground stations, they introduce unprecedented complexities in dynamic routing algorithms, handover management between adjacent satellites, and precise collision avoidance maneuvering (Humble et al., 2022).</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[Insert Figure 1: Schematic Representation of LEO, MEO, and GEO Orbital Shells illustrating respective altitudes, propagation delay vectors, and Van Allen belt locations]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Table 1: Comparative Analysis of LEO, MEO, and GEO Orbital Parameters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Orbital Regime | Altitude (km) | Orbital Period | Propagation Delay (</w:t>
      </w:r>
      <w:proofErr w:type="spellStart"/>
      <w:r w:rsidRPr="005568FC">
        <w:rPr>
          <w:rFonts w:ascii="Times New Roman" w:hAnsi="Times New Roman" w:cs="Times New Roman"/>
          <w:sz w:val="24"/>
          <w:szCs w:val="24"/>
        </w:rPr>
        <w:t>ms</w:t>
      </w:r>
      <w:proofErr w:type="spellEnd"/>
      <w:r w:rsidRPr="005568FC">
        <w:rPr>
          <w:rFonts w:ascii="Times New Roman" w:hAnsi="Times New Roman" w:cs="Times New Roman"/>
          <w:sz w:val="24"/>
          <w:szCs w:val="24"/>
        </w:rPr>
        <w:t xml:space="preserve"> single hop) | Coverage Footprint | Tracking Requirement</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GEO | 35,786 | ~24 hours | ~119 | Global/Hemispheric | None (Fixed)</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MEO | 8,000 – 20,000 | 4-12 hours | ~60-70 | Regional | Continuous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LEO | 500 – 2,000 | 1.5-2 hours | ~5-10 | Localized | Rapid, Continuous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2.2 Frequency Spectrum Management (C, Ku, Ka, V Bands)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exploitation of the electromagnetic spectrum is the lifeblood of satellite data communication, dictating bandwidth capacity and resilience to environmental interference. The International Telecommunication Union (ITU) rigorously regulates the allocation of frequency bands to prevent cross-interference between distinct satellite systems and terrestrial microwave services. The evolution of satellite communication is inextricably linked to the progressive utilization of higher frequency bands, moving from the congested lower bands to the expansive, albeit environmentally sensitive, millimeter-wave frequencies (Roddy, 2006).</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C-band (4 to 8 GHz) represents the oldest and most robust satellite communication frequency allocation. The primary engineering advantage of C-band is its remarkable resilience to atmospheric attenuation. Signals in the 4-6 GHz range possess wavelengths significantly larger than typical raindrops, meaning they are largely impervious to rain fade. This makes C-band the mandatory standard for tropical and equatorial regions characterized by high precipitation rates (Ippolito, 2017). The technical detriments of C-band include the requirement for large parabolic antennas on the ground—typically 1.8 to 3.5 meters for enterprise VSATs—and severe spectrum congestion. The C-band is shared with terrestrial microwave fixed services, requiring meticulous coordination to prevent destructive interference, often limiting transmit power to avoid saturating adjacent terrestrial receivers.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The Ku-band (12 to 18 GHz) emerged as the standard for Direct-to-Home (DTH) broadcast television and enterprise VSAT networks. By operating at shorter wavelengths than C-band, Ku-band allows for a substantial reduction in the physical size of the ground antennas—typically 0.6 to 1.2 meters—while maintaining high aperture gain. The technical compromise of Ku-band lies in its susceptibility to moderate rain fade. Precipitation begins to absorb and scatter radio frequencies above 10 GHz, requiring system designers to incorporate significant uplink power </w:t>
      </w:r>
      <w:r w:rsidRPr="005568FC">
        <w:rPr>
          <w:rFonts w:ascii="Times New Roman" w:hAnsi="Times New Roman" w:cs="Times New Roman"/>
          <w:sz w:val="24"/>
          <w:szCs w:val="24"/>
        </w:rPr>
        <w:lastRenderedPageBreak/>
        <w:t xml:space="preserve">margins, typically 4 to 6 dB, to maintain link availability during adverse weather conditions (Panagopoulos et al., 2004). </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Ka-band (26.5 to 40 GHz) is the definitive frequency range for modern High-Throughput Satellites. The expansive available bandwidth in the Ka-band—often exceeding 2 GHz of contiguous spectrum per satellite—enables throughput capacities previously unattainable. The shift to Ka-band is what makes multi-spot beam architectures economically and technically viable, as the higher frequency allows for extremely narrow, highly focused beams generated by smaller antenna apertures on the spacecraft (Fenech et al., 2015). The critical vulnerability of Ka-band is severe rain attenuation, which can exceed 10 to 15 dB during intense thunderstorms. Mitigating this requires the implementation of Adaptive Coding and Modulation (ACM), where the modulation scheme dynamically degrades in response to real-time variations in signal strength. Emerging systems are now pioneering the use of the V-band (40-75 GHz) and Q-band (33-50 GHz) for feeder links, pushing the boundaries of available bandwidth while facing extreme atmospheric susceptibility (Shankar, 2022).</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Table 2: ITU Frequency Spectrum Characteristics and Applications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Frequency Band | Uplink (GHz) | Downlink (GHz) | Wavelength | Rain Fade Susceptibility | Primary Application</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C-Band | 5.925 – 6.425 | 3.7 – 4.2 | ~7.5 cm | Very Low | Tropical VSAT, Backhaul</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Ku-Band | 14.0 – 14.5 | 11.7 – 12.2 | ~2.5 cm | Moderate | DTH Television, Maritime</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Ka-Band | 27.5 – 31.0 | 17.7 – 21.2 | ~1.0 cm | Severe | HTS Broadband, Aviation</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V-Band | 47.2 – 50.2 | 37.5 – 40.5 | ~0.6 cm | Extreme | High-Capacity Feeder Links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2.3 Signal Modulation, Multiplexing, and Forward Error Correction</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To maximize the data throughput within the constrained power and bandwidth envelopes of a satellite transponder, highly sophisticated modulation and multiplexing schemes are employed. </w:t>
      </w:r>
      <w:r w:rsidRPr="005568FC">
        <w:rPr>
          <w:rFonts w:ascii="Times New Roman" w:hAnsi="Times New Roman" w:cs="Times New Roman"/>
          <w:sz w:val="24"/>
          <w:szCs w:val="24"/>
        </w:rPr>
        <w:lastRenderedPageBreak/>
        <w:t>Modern satellite communication has universally transitioned from legacy analog Frequency Modulation (FM) to digital transmission protocols governed by the DVB-S2 (Digital Video Broadcasting - Satellite - Second Generation) and its successor, the DVB-S2X standard, which extended the capabilities to support higher-order modulations and tighter roll-off factors (ETSI, 2014).</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Modulation schemes dictate how digital bits (1s and 0s) are mapped onto the phase and amplitude of the carrier wave. Phase Shift Keying (PSK) and Amplitude Phase Shift Keying (APSK) are the predominant modalities. Quadrature Phase Shift Keying (QPSK) transmits two bits per symbol, offering exceptional robustness against noise but low spectral efficiency. As signal-to-noise ratios improve—often facilitated by the high gain of spot beams in HTS systems—payloads transition to 8PSK (three bits per symbol) and 16APSK or 32APSK (four and five bits per symbol, respectively) (Casini et al., 2004). The utilization of 16APSK is particularly critical in Ka-band. Unlike Quadrature Amplitude Modulation (QAM), which places constellation points in a uniform grid, APSK concentrates the points in concentric rings. This results in a lower Peak-to-Average Power Ratio (PAPR). Satellite traveling wave tube amplifiers (TWTAs) and solid-state power amplifiers (SSPAs) operate with strict linearity constraints; a high PAPR would force the amplifier to back off its power output to avoid clipping the signal peaks, drastically reducing overall efficiency (De Gaudenzi et al., 2021).</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Multiplexing determines how a single transponder's bandwidth is divided among multiple users. Modern HTS systems predominantly utilize Multi-Frequency Time Division Multiple Access (MF-TDMA). In MF-TDMA, the bandwidth is divided into a two-dimensional matrix of frequency carriers and time slots. Terminals are dynamically assigned specific blocks within this matrix based on their real-time bandwidth demands, managed by a central bandwidth allocation protocol (Chatzimisios et al., 2019). Coupled with MF-TDMA is Forward Error Correction (FEC). The DVB-S2X standard utilizes concatenated coding, pairing an outer Bose-Chaudhuri-</w:t>
      </w:r>
      <w:proofErr w:type="spellStart"/>
      <w:r w:rsidRPr="005568FC">
        <w:rPr>
          <w:rFonts w:ascii="Times New Roman" w:hAnsi="Times New Roman" w:cs="Times New Roman"/>
          <w:sz w:val="24"/>
          <w:szCs w:val="24"/>
        </w:rPr>
        <w:t>Hocquenghem</w:t>
      </w:r>
      <w:proofErr w:type="spellEnd"/>
      <w:r w:rsidRPr="005568FC">
        <w:rPr>
          <w:rFonts w:ascii="Times New Roman" w:hAnsi="Times New Roman" w:cs="Times New Roman"/>
          <w:sz w:val="24"/>
          <w:szCs w:val="24"/>
        </w:rPr>
        <w:t xml:space="preserve"> (BCH) code with an inner Low-Density Parity-Check (LDPC) code. LDPC codes approach the theoretical Shannon limit of channel capacity, allowing the system to operate at much lower </w:t>
      </w:r>
      <w:r w:rsidRPr="005568FC">
        <w:rPr>
          <w:rFonts w:ascii="Times New Roman" w:hAnsi="Times New Roman" w:cs="Times New Roman"/>
          <w:sz w:val="24"/>
          <w:szCs w:val="24"/>
        </w:rPr>
        <w:lastRenderedPageBreak/>
        <w:t>Signal-to-Noise Ratios (SNR) than older convolutional coding methods, which directly translates to smaller ground antennas or higher throughput (Richardson &amp; Urbanke, 2008).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Table 3: DVB-S2X Modulation and Coding Scheme Examples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Modulation Format | Bits per Symbol | Spectral Efficiency (bits/s/Hz) | Required SNR Threshold (Eb/N0 in dB)</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QPSK | 2 | 0.79 - 1.78 | -2.0 to 2.0</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8PSK | 3 | 1.79 - 2.67 | 3.5 to 5.5</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16APSK | 4 | 2.68 - 3.56 | 5.5 to 7.5</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32APSK | 5 | 3.57 - 4.46 | 7.5 to 9.5</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3. SATELLITE ZOOMING AND PRECISION TARGETING</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3.1 Architecture of High-Throughput Satellites (HTS)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The architectural blueprint of a High-Throughput Satellite represents a fundamental departure from the design philosophy of conventional communication satellites. Traditional satellites utilize a single, wide-coverage beam—often encompassing an entire continent—powered by a transponder with a relatively low Effective Isotropic Radiated Power (EIRP), typically around 40 to 48 dBW. The spectral capacity of such a system is strictly bounded by the total bandwidth allocated to the satellite, usually 500 MHz to 1 GHz, resulting in a total throughput of 1 to 4 Gbps (Sriram et al., 2015). </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HTS architectures invert this power distribution paradigm. Instead of a single wide beam, an HTS generates dozens, or even hundreds, of highly focused spot beams. By concentrating the exact same amount of transponder Radio Frequency (RF) power into a geographically restricted area—often less than 200 kilometers in diameter—the EIRP at the edge of the spot beam is increased by </w:t>
      </w:r>
      <w:r w:rsidRPr="005568FC">
        <w:rPr>
          <w:rFonts w:ascii="Times New Roman" w:hAnsi="Times New Roman" w:cs="Times New Roman"/>
          <w:sz w:val="24"/>
          <w:szCs w:val="24"/>
        </w:rPr>
        <w:lastRenderedPageBreak/>
        <w:t>a factor of 20 to 30 dB (P complication et al., 2014). This massive increase in localized power flux density has profound implications for the link budget. It permits the use of significantly higher-order modulation schemes and drastically reduces the required size of the ground terminal, enabling the deployment of consumer-grade flat-panel antennas.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Furthermore, HTS architectures facilitate aggressive frequency reuse. In a traditional broad-beam system, the assigned frequency spectrum can only be used once within the satellite's field of view due to self-interference. In an HTS multi-spot beam architecture, the same frequency spectrum can be reused in geographically separated spot beams, provided the spatial isolation is sufficient to prevent co-channel interference (CCI) (Lombardo et al., 2020). This spatial division multiple access (SDMA) is the quintessential mechanism through which HTS achieves total throughputs exceeding 500 Gbps, despite utilizing the same fundamental Ka-band frequency allocations as older, lower-capacity satellites.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[Insert Figure 3: Traditional Broad Beam vs. High-Throughput Multi-Spot Beam Architecture showing power flux density differential across a continental footprint]</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3.2 Spot Beam Technology and Spatial Domain Engineering</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The generation and management of multi-spot beams are predicated on advanced antenna array technologies. Modern HTS payloads utilize massive phased-array antennas or multi-feed reflectors coupled with digital beamforming networks (BFN). In a multi-feed reflector system, an array of individual feed horns is illuminated by the satellite's main parabolic reflector. By precisely controlling the amplitude and phase of the signal fed into each horn, the interference pattern generated by the reflector can be manipulated to form highly precise, contiguous spot beams on the Earth's surface (Rao et al., 2019). </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The spatial domain engineering of these beams is critical for overall system performance. The ideal spot beam pattern approximates a perfect circle with a sharp roll-off at the edges, defined by </w:t>
      </w:r>
      <w:r w:rsidRPr="005568FC">
        <w:rPr>
          <w:rFonts w:ascii="Times New Roman" w:hAnsi="Times New Roman" w:cs="Times New Roman"/>
          <w:sz w:val="24"/>
          <w:szCs w:val="24"/>
        </w:rPr>
        <w:lastRenderedPageBreak/>
        <w:t>the antenna's first null. In reality, antenna radiation patterns exhibit sidelobes—unintended radiation outside the primary beam footprint. The gain of these sidelobes is typically 20 to 30 dB lower than the main lobe, but in a frequency reuse system, this can still cause interference. If sidelobes from a beam utilizing frequency "F1" overlap with the main lobe of an adjacent beam also utilizing "F1," severe co-channel interference occurs, degrading the signal-to-interference-plus-noise ratio (SINR) (Zhao et al., 2021). To mitigate this, HTS systems employ complex spatial filtering algorithms and carefully taper the illumination across the feed array, sacrificing a small degree of main lobe efficiency (reducing peak gain) to aggressively suppress sidelobes. The precision with which these beams are managed determines the granularity of control operators have over the satellite's coverage, establishing the prerequisite physical layer for satellite zooming.</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3.3 Frequency Reuse Mechanisms and Polarization Isolation</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The economic viability of HTS is inextricably linked to frequency reuse. The most ubiquitous methodology is the four-color frequency reuse pattern, an adaptation of the cellular network concept to satellite spatial domains. The total available Ka-band spectrum is divided into four distinct sub-bands (F1, F2, F3, </w:t>
      </w:r>
      <w:proofErr w:type="gramStart"/>
      <w:r w:rsidRPr="005568FC">
        <w:rPr>
          <w:rFonts w:ascii="Times New Roman" w:hAnsi="Times New Roman" w:cs="Times New Roman"/>
          <w:sz w:val="24"/>
          <w:szCs w:val="24"/>
        </w:rPr>
        <w:t>F4</w:t>
      </w:r>
      <w:proofErr w:type="gramEnd"/>
      <w:r w:rsidRPr="005568FC">
        <w:rPr>
          <w:rFonts w:ascii="Times New Roman" w:hAnsi="Times New Roman" w:cs="Times New Roman"/>
          <w:sz w:val="24"/>
          <w:szCs w:val="24"/>
        </w:rPr>
        <w:t>). The spot beams are conceptually arranged in a grid analogous to a chessboard, where no two adjacent beams share the same frequency, ensuring a minimum spatial separation between identical frequencies (Ghani et al., 2019).</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By adhering to this four-color matrix, the same spectrum is effectively reused four times across the coverage area, quadrupling the theoretical capacity. Advanced HTS systems push this paradigm further by implementing dual-polarization frequency reuse. By exploiting orthogonal polarities—typically Right-Hand Circular Polarization (RHCP) and Left-Hand Circular Polarization (LHCP), or vertical and horizontal linear polarizations—the spectrum within a single spot beam can be doubled. Signals polarized orthogonally theoretically do not interfere with one another, allowing a beam carrying F1-RHCP to be placed immediately adjacent to a beam carrying F1-LHCP (Mokhtar et al., 2020). </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Combining four-color spatial reuse with dual-polarization yields a total frequency reuse factor of 8x. In localized areas where the geographic separation between beams is exceptionally large—such as the center of a continental landmass versus coastal regions—systems can dynamically implement aggressive reuse patterns exceeding 16x, allocating spectrum based on real-time traffic demands and calculated interference maps (Alvaro et al., 2016). Cross-polarization interference (XPI), caused by atmospheric depolarization (e.g., raindrops flattening as they fall, altering their polarization characteristics), remains a limiting factor that requires continuous compensation via adaptive cross-polarization cancellation circuits in the ground terminals.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[Insert Figure 4: Implementation of a Four-Color Frequency Reuse Grid demonstrating spatial separation of identical frequencies combined with dual-polarization arrows]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3.4 The Concept of "Satellite Zooming"</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Within the lexicon of advanced satellite communications, "Satellite Zooming" does not refer to a physical magnification of optics, but rather the dynamic, software-defined manipulation of spectral and spatial resources to achieve hyper-concentrated data delivery to a specific geographic node. It is the operational realization of SDMA, beamforming, and adaptive resource allocation converging (Rovirosa et al., 2022).</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Satellite zooming is executed via two primary methodologies: beam hopping and steerable spot beams. In traditional HTS, the satellite illuminates all spot beams simultaneously, dividing its total power budget across the entire footprint. If a specific geographic region—such as a major metropolitan center or a disaster zone—experiences a sudden, massive spike in data demand, the static allocation model fails, leading to congestion. Beam hopping solves this by rapidly switching the satellite's transmission time among different spot beams using a solid-state switch matrix. Instead of dividing power, the satellite directs its full power capacity into a single beam for a few milliseconds, then "hops" to the next beam. By allocating a higher proportion of time slots to the </w:t>
      </w:r>
      <w:r w:rsidRPr="005568FC">
        <w:rPr>
          <w:rFonts w:ascii="Times New Roman" w:hAnsi="Times New Roman" w:cs="Times New Roman"/>
          <w:sz w:val="24"/>
          <w:szCs w:val="24"/>
        </w:rPr>
        <w:lastRenderedPageBreak/>
        <w:t>high-demand area, the system effectively "zooms in," delivering asymmetric, massive capacity precisely where required without wasting power on idle beams (Kyrgiazos et al., 2014).</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Steerable spot beams provide an even more granular form of zooming. Utilizing fully digital beamforming payloads, the satellite can instantaneously alter the phase and amplitude across its feed array to physically move the epicenter of a spot beam across the Earth's surface. If a maritime vessel requires high-bandwidth connectivity, a steerable beam can lock onto the vessel's coordinates, tracking it as it moves, and dedicating an isolated, high-throughput corridor of Ka-band spectrum directly to the vessel, while entirely avoiding adjacent land masses to prevent interference (Coco et al., 2021). This precision targeting—zooming into a specific longitude and latitude—represents the apex of current satellite payload engineering, transforming the satellite from a static broadcast relay into an intelligent, spatially aware router.</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[Insert Figure 5: Conceptual Model of Satellite Zooming via Steerable Spot Beams showing dynamic reallocation of power flux density over time]</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4. COMPARATIVE ANALYSIS: SATELLITE VS. TERRESTRIAL COMMUNICATION</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4.1 Bandwidth and Scalability Metrics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The comparative metrics between satellite and terrestrial networks have historically been skewed heavily in favor of terrestrial systems, primarily fiber optics, regarding raw aggregate bandwidth. A single strand of modern low-loss fiber-optic cable can transmit in excess of 100 Terabits per second (Tbps) utilizing Dense Wavelength Division Multiplexing (DWDM) across the C and L bands (Richardson, 2013). In contrast, even the most advanced HTS systems, such as the Viasat-3 class, cap out at approximately 1 Tbps of total capacity. However, this metric is contextually misleading when evaluating user experience. Terrestrial fiber provides point-to-point capacity; to service a multitude of end-users, that fiber must be bifurcated through edge routers, cellular base </w:t>
      </w:r>
      <w:r w:rsidRPr="005568FC">
        <w:rPr>
          <w:rFonts w:ascii="Times New Roman" w:hAnsi="Times New Roman" w:cs="Times New Roman"/>
          <w:sz w:val="24"/>
          <w:szCs w:val="24"/>
        </w:rPr>
        <w:lastRenderedPageBreak/>
        <w:t>stations, and last-mile copper or wireless connections, which severely degrade the actual per-user throughput (Zhang et al., 2019).</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Satellite communication scales differently. An HTS with a 500 Gbps capacity broadcasts that potential directly to the end-user terminal, bypassing the entire terrestrial middle-mile infrastructure. In scenarios such as in-flight connectivity, where a moving vessel requires a contiguous IP pipeline, terrestrial networks cannot compete. A commercial aircraft flying over the Atlantic Ocean has no access to cellular towers or submarine cables; the satellite's spot beam is the singular mechanism for bandwidth delivery. Therefore, while terrestrial networks possess superior aggregate scalability, satellite networks possess superior instantaneous reach scalability, capable of delivering hundreds of megabits per second to any arbitrary coordinate on the globe without the prerequisite of laying physical infrastructure (Khan et al., 2021).</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4.2 Latency, Propagation Delay, and Protocol Optimization</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Latency represents the most stubborn competitive disadvantage for legacy GEO satellite systems. As established, the physics of the speed of light in a vacuum dictates a minimum 480ms round-trip time (RTT) for GEO hops. Standard TCP/IP protocols interpret this delay as network congestion. When the TCP congestion window fails to receive an acknowledgment within the expected timeout period, it triggers the Fast Retransmit and Fast Recovery algorithms, which collapse the transmission throughput by drastically reducing the window size (Akyildiz et al., 2020). Terrestrial fiber, limited by the refractive index of glass but traversing much shorter distances, routinely achieves sub-20ms RTT globally.</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The competitive landscape regarding latency has been radically disrupted by the deployment of LEO mega-constellations. By operating at altitudes of 550 km, LEO systems have mathematically neutralized the propagation delay argument. However, a new technical challenge emerges: processing delay. While the signal travels faster, LEO satellites must constantly route packets between moving nodes via Inter-Satellite Links. The time required for the digital processors </w:t>
      </w:r>
      <w:r w:rsidRPr="005568FC">
        <w:rPr>
          <w:rFonts w:ascii="Times New Roman" w:hAnsi="Times New Roman" w:cs="Times New Roman"/>
          <w:sz w:val="24"/>
          <w:szCs w:val="24"/>
        </w:rPr>
        <w:lastRenderedPageBreak/>
        <w:t>onboard the satellite to read IP headers, calculate routing tables, and switch the optical payloads—known as switching latency—can exceed the propagation delay itself (Humble et al., 2022). To mitigate GEO latency without deploying LEO constellations, operators implement Protocol Enhancement Proxies (PEPs) and TCP Acceleration. These devices terminate the TCP connection locally at the satellite gateway, spoofing the acknowledgment back to the sender, and forwarding the data over a proprietary, satellite-optimized protocol over the space link (Roddy, 2006).</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4.3 Infrastructure Economics and Deployment Logistics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capital expenditure (CAPEX) and operational expenditure (OPEX) profiles of terrestrial versus satellite communication highlight their complementary nature. Deploying a 4G/5G terrestrial macro-cellular network requires securing rights-of-way, trenching roads, laying fiber backhaul, and constructing physical towers. In developed urban environments, the cost per covered user is economically viable due to high subscriber density. In rural, mountainous, or developing regions, the cost to connect a single user via terrestrial means can exceed tens of thousands of dollars, rendering the business model unfeasible (Palma et al., 2021).</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Satellite communication operates on an inverted economic model. The vast majority of the CAPEX is concentrated in the manufacturing, insurance, and launch of the spacecraft—a high upfront cost often exceeding half a billion dollars for an HTS. However, the marginal cost to connect an additional user within the satellite's footprint is effectively zero; no ground infrastructure is required beyond the user purchasing a terminal. This economics of ubiquity makes satellite the only commercially viable mechanism for bridging the global digital divide. With the advent of flat-panel, phased-array user terminals—manufactured using automated electronics assembly lines similar to smartphone production—the terminal CAPEX is plummeting, positioning satellite broadband as a direct competitor to terrestrial fixed wireless access in suburban and exurban markets globally (Al-Samman et al., 2021).</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Table 4: Advantages and Disadvantages of Satellite vs. Terrestrial Networks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Parameter | Satellite Communication | Terrestrial Communication</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Global Coverage | Ubiquitous (Oceanic, Aero, Polar) | Confined to infrastructure footprint</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Bandwidth Scalability | Limited per satellite, high cost to scale | </w:t>
      </w:r>
      <w:proofErr w:type="gramStart"/>
      <w:r w:rsidRPr="005568FC">
        <w:rPr>
          <w:rFonts w:ascii="Times New Roman" w:hAnsi="Times New Roman" w:cs="Times New Roman"/>
          <w:sz w:val="24"/>
          <w:szCs w:val="24"/>
        </w:rPr>
        <w:t>Extremely</w:t>
      </w:r>
      <w:proofErr w:type="gramEnd"/>
      <w:r w:rsidRPr="005568FC">
        <w:rPr>
          <w:rFonts w:ascii="Times New Roman" w:hAnsi="Times New Roman" w:cs="Times New Roman"/>
          <w:sz w:val="24"/>
          <w:szCs w:val="24"/>
        </w:rPr>
        <w:t xml:space="preserve"> high (Fiber optics)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Latency (GEO) | High (480ms+ RTT) | Extremely Low (&lt;20ms RTT)</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Latency (LEO) | Low (20-40ms RTT) | Extremely Low (&lt;20ms RTT)</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Deployment Speed | Rapid (Terminal installation only) | Slow (Civil engineering required)</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Resilience | Vulnerable to atmospheric fade | Vulnerable to physical cable cuts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5. CRITICAL CHALLENGES IN SATELLITE DATA COMMUNICATION</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5.1 Atmospheric Attenuation and Rain Fade Modeling</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primary physical impediment to high-frequency satellite communication is the interaction between microwave radiation and the troposphere. While C-band signals easily penetrate atmospheric moisture, Ka-band and the emerging V-band signals are severely attenuated by water droplets and atmospheric gases (notably oxygen and water vapor). The mechanism of attenuation shifts depending on the relationship between the wavelength of the signal and the diameter of the raindrop. When wavelengths are significantly larger than raindrops (C-band), Rayleigh scattering dominates, causing minimal attenuation. As frequencies increase into the Ka-band, the wavelength approaches the size of raindrops, and Mie scattering becomes the dominant phenomenon, causing severe absorption and phase distortion of the signal (Ippolito, 2017).</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The stochastic nature of precipitation requires satellite systems to be engineered with substantial fade margins. A static fade margin—designing the link to have enough excess power to overcome the worst-case rain scenario mathematically predicted for a region—is economically prohibitive, as it would require massively oversized amplifiers and antennas operating inefficiently year-round. Instead, modern systems rely on dynamic Fade Mitigation Techniques (FMT). The most critical </w:t>
      </w:r>
      <w:r w:rsidRPr="005568FC">
        <w:rPr>
          <w:rFonts w:ascii="Times New Roman" w:hAnsi="Times New Roman" w:cs="Times New Roman"/>
          <w:sz w:val="24"/>
          <w:szCs w:val="24"/>
        </w:rPr>
        <w:lastRenderedPageBreak/>
        <w:t>FMT is Adaptive Coding and Modulation (ACM). As the ground terminal detects a reduction in the received Signal-to-Noise Ratio (SNR) due to rain, it transmits a Return Channel Signaling (RCS) message to the gateway. The gateway then downshifts the modulation from a high-throughput 16APSK to a highly robust QPSK, and increases the Forward Error Correction (FEC) overhead. This deliberately reduces the data throughput but prevents a total link failure, maintaining a continuous connection even during severe thunderstorms (Gaudenzi et al., 2018). The ITU-R P.618 propagation model is the standard tool used by engineers to predict the specific attenuation and link availability for a given geographic coordinate and frequency band.</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5.2 Latency Constraints in GEO Orbits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Despite the proliferation of LEO constellations, GEO satellites continue to handle the vast majority of global satellite data traffic due to their operational simplicity, established ground infrastructure, and lack of reliance on complex inter-satellite routing. The 480ms RTT remains a critical engineering hurdle for specific applications. Virtual Private Networks (VPNs) that encrypt traffic using heavy cryptographic protocols, such as IPsec, exacerbate the latency issue, as the encryption handshake itself consumes hundreds of milliseconds over a GEO link (Roddy, 2006). Furthermore, the TCP slow-start algorithm severely limits the rate at which data can be pushed into the network during the initial establishment of a connection over a high-latency link.</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To mitigate this without abandoning GEO infrastructure, satellite operators implement Protocol Enhancement Proxies (PEPs). Standard TCP relies on a linear increase in transmission window size following a successful acknowledgment, and an exponential </w:t>
      </w:r>
      <w:proofErr w:type="spellStart"/>
      <w:r w:rsidRPr="005568FC">
        <w:rPr>
          <w:rFonts w:ascii="Times New Roman" w:hAnsi="Times New Roman" w:cs="Times New Roman"/>
          <w:sz w:val="24"/>
          <w:szCs w:val="24"/>
        </w:rPr>
        <w:t>backoff</w:t>
      </w:r>
      <w:proofErr w:type="spellEnd"/>
      <w:r w:rsidRPr="005568FC">
        <w:rPr>
          <w:rFonts w:ascii="Times New Roman" w:hAnsi="Times New Roman" w:cs="Times New Roman"/>
          <w:sz w:val="24"/>
          <w:szCs w:val="24"/>
        </w:rPr>
        <w:t xml:space="preserve"> following a packet loss. Over a GEO link, the time spent waiting for acknowledgments severely bottlenecks the link. A PEP terminates the TCP connection locally at the satellite gateway, spoofing the acknowledgment back to the sender, and forwarding the data over a proprietary, satellite-optimized protocol over the space link. While effective at maximizing throughput, this approach breaks the end-to-end principle of IP networking and introduces significant complexity in handling encrypted traffic, as the acceleration proxy cannot read encrypted payloads to perform compression or caching (Akyildiz et al., 2020).</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5.3 Orbital Debris and Space Sustainability</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rapid commercialization of LEO space, driven by the deployment of mega-constellations consisting of thousands of satellites, has triggered an existential crisis regarding orbital debris. The Kessler Syndrome—a theoretical scenario proposed by NASA scientist Donald Kessler in 1978, where the density of objects in LEO is sufficiently high that collisions generate debris that causes further collisions, rendering the orbit unusable for generations—is no longer purely theoretical. The 2009 accidental collision between the operational Iridium 33 satellite and the derelict Russian Cosmos 2251 satellite generated thousands of pieces of trackable debris, which will remain in orbit for decades. Furthermore, the 2021 uncontrolled reentry of the Russian COSMOS 1408 satellite, intentionally destroyed by a direct-ascent anti-satellite (DA-ASAT) missile, highlighted the vulnerability of the space environment to kinetic weapons (Pelton, 2020).</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Mitigating orbital debris requires a multi-faceted regulatory and engineering approach. Technologically, satellites must incorporate autonomous collision avoidance systems utilizing Space Situational Awareness (SSA) data provided by ground-based radars and optical telescopes. When a high probability of collision is calculated, the satellite must utilize its onboard propulsion—typically electric ion thrusters—to maneuver out of the path. Furthermore, end-of-life disposal protocols are mandatory. Current FCC regulations in the United States mandate that LEO satellites must be designed to deorbit within 5 years of mission cessation, down from the previous 25-year guideline. This is typically achieved through drag sails that increase the satellite's aerodynamic cross-section, or dedicated thrusters that lower the perigee into the Earth's dense atmosphere, ensuring complete ablative burn-up (Bonnal et al., 2020). The sheer volume of planned launches, however, strains the capacity of current SSA tracking networks, demanding the development of autonomous, satellite-to-satellite space traffic management protocols utilizing machine learning.</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5.4 Cybersecurity Vulnerabilities and Attack Vectors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The integration of satellite systems into the core global IP infrastructure has transformed them into high-value targets for malicious cyber actors, ranging from state-sponsored advanced persistent threats (APTs) to ideologically motivated hacktivists. The cybersecurity attack surface of a satellite system is vast and highly heterogeneous, spanning the space segment (the spacecraft itself), the ground segment (gateways, network operations centers, and control centers), and the user segment (terminals). Legacy satellite communication protocols, such as early iterations of the DVB-S standard, were designed in an era where the primary threat was physical signal jamming or eavesdropping via directional antennas, not sophisticated cyber intrusion exploiting software vulnerabilities (Taleb et al., 2022).</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The severity of these vulnerabilities was starkly demonstrated on February 24, 2022, during the onset of the conflict in Ukraine. The KA-SAT satellite network, operated by </w:t>
      </w:r>
      <w:proofErr w:type="spellStart"/>
      <w:r w:rsidRPr="005568FC">
        <w:rPr>
          <w:rFonts w:ascii="Times New Roman" w:hAnsi="Times New Roman" w:cs="Times New Roman"/>
          <w:sz w:val="24"/>
          <w:szCs w:val="24"/>
        </w:rPr>
        <w:t>Viasat</w:t>
      </w:r>
      <w:proofErr w:type="spellEnd"/>
      <w:r w:rsidRPr="005568FC">
        <w:rPr>
          <w:rFonts w:ascii="Times New Roman" w:hAnsi="Times New Roman" w:cs="Times New Roman"/>
          <w:sz w:val="24"/>
          <w:szCs w:val="24"/>
        </w:rPr>
        <w:t>, suffered a catastrophic cyberattack. The attack vector was identified as a malicious firmware update pushed to the network's consumer-terminals. By exploiting misconfigurations in the VPN appliance used to manage the ground segment, the attackers gained access to the management network. They then deployed a specialized wiper malware—dubbed "AcidPour"—which overwrote the flash memory on tens of thousands of modems, permanently bricking them and severing internet access for thousands of users across Europe, including critical Ukrainian military and governmental communication nodes (Kuhn et al., 2021). This incident highlighted that the user segment, often deployed in unsecured environments, is highly susceptible to firmware manipulation, which can be leveraged to launch large-scale Distributed Denial of Service (DDoS) attacks against the satellite gateway or permanently disable the network. Mitigating these vectors requires the mandatory implementation of hardware secure boot mechanisms, end-to-end encryption (such as AES-256), robust mutual authentication protocols between the terminal and the gateway, and the transition to software-defined radios that can be patched with cryptographic updates in orbit.</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6. FUTURE TRENDS AND INNOVATIONS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6.1 Integration with 6G Networks and NTNs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The architectural evolution of mobile telecommunications is currently transitioning from 5G-Advanced to early 6G research frameworks. A defining characteristic of the impending 6G ecosystem, anticipated for standardization around 2030, is the total dissolution of the boundary between terrestrial and non-terrestrial networks (NTNs). The 3rd Generation Partnership Project (3GPP) formally integrated NTN architectures into the global standard beginning with Release 17, a process that is being profoundly expanded in Release 18 and the forthcoming 6G specifications (Zhang et al., 2022).</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In the 6G paradigm, satellites will not operate as independent, standalone networks requiring specialized, proprietary satellite terminals. Instead, the satellite payload will function as a transparent network node natively speaking the 5G/6G New Radio (NR) protocols. A standard, unmodified smartphone will be capable of connecting directly to a LEO or GEO satellite for text messaging, voice, and low-rate data services, seamlessly handing over the connection to a terrestrial macro-cell as the user enters a covered urban area (De Sanctis et al., 2021). This integration necessitates radical changes in the satellite payload architecture. Traditional transparent "bent-pipe" satellites—which merely amplify and shift the frequency of the received signal from uplink to downlink—cannot process NR protocols. The 6G integration demands the ubiquitous deployment of "regenerative" payloads, where the satellite possesses an onboard processor capable of demodulating the 5G NR waveform, decoding the packets, routing the IP packets via inter-satellite links, and remodulating the signal for downlink. This transforms the satellite from a passive microwave relay into an active, heterogeneous base station (Giordani &amp; Zorzi, 2020).</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6.2 AI-Driven Autonomous Satellite Operations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operational complexity of managing multi-spot beam HTS systems and LEO mega-constellations far exceeds the cognitive capacity of human operators relying on traditional rule-based management systems. The future of satellite communication is inextricably linked to the integration of artificial intelligence (AI) and machine learning (ML) across all segments of the architecture. AI will be particularly transformative in the implementation of advanced satellite zooming capabilities (Shen et al., 2020).</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Currently, beam hopping patterns and frequency reuse allocations are typically pre-calculated based on historical traffic forecasts, loaded onto the satellite, and updated on a weekly or monthly basis. In an AI-driven architecture, the satellite's onboard processors—or edge-computing nodes within the ground segment—will utilize deep reinforcement learning to dynamically optimize the payload in real-time. By continuously analyzing the return channel telemetry, which indicates the precise bandwidth demand and Signal-to-Noise Ratio (SNR) of every terminal in the footprint, the AI can autonomously dictate the beam hopping sequence. The algorithm decides exactly which geographic coordinate requires the maximum power flux density at any given millisecond, maximizing throughput while minimizing interference to adjacent beams (Hua et al., 2022). </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Furthermore, AI is critical for autonomous space traffic management in congested LEO orbits. As the number of operational satellites grows into the tens of thousands, human-in-the-loop collision avoidance becomes a computational bottleneck. AI algorithms can ingest massive datasets of orbital mechanics, thruster capabilities, and Space Situational Awareness (SSA) tracking data to calculate optimal collision avoidance maneuvers faster and more fuel-efficiently than human operators. Additionally, AI is being deployed for predictive maintenance, utilizing telemetry data from onboard sensors—such as gyroscope drift rates, solar array current degradation, and battery temperature fluctuations—to predict component failures before they occur, vastly extending the operational lifespan of these multi-million-dollar space assets (Bouianov et al., 2021).</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Table 5: Summary of AI Applications in Satellite Payload Management</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AI Application Domain | Functionality | Impact on System Performance</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Dynamic Beam Hopping | Real-time traffic prediction and resource allocation | Maximizes throughput, enables precision satellite zooming</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ACM Optimization | Predictive adjustment of modulation based on weather forecasting | Reduces rain fade outage durations</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Space Traffic Management | Autonomous collision avoidance maneuver calculation | Enhances orbital safety, conserves propulsion fuel</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Anomaly Detection | Predictive maintenance via telemetry analysis | Increases satellite operational lifespan</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7. CONCLUSION</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trajectory of satellite data communication, from the rudimentary analog transmissions of the Telstar era to the hyper-spectral, AI-driven architectures of contemporary High-Throughput Satellites, represents one of the most formidable engineering achievements of the modern era. This research essay has delineated the intricate technical principles that govern this domain, emphasizing that modern satellite communication is not merely a derivative of terrestrial radio engineering, but a highly specialized discipline requiring mastery of orbital mechanics, advanced antenna theory, and proprietary protocol optimization.</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The analysis of "Satellite Zooming" elucidates the paradigm shift from broad, static coverage to dynamic, spatially precise resource allocation. Through the synergistic application of multi-spot beam phased arrays, aggressive multi-color frequency reuse, and adaptive beam hopping, satellite operators can now "zoom" massive amounts of spectral capacity directly into isolated geographic coordinates on demand. This capability effectively neutralizes the historical bandwidth limitations of satellite systems, positioning them as direct competitors to terrestrial fiber in scenarios requiring rapid deployment or mobile connectivity.</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Nevertheless, the domain remains constrained by immutable physical laws and evolving logistical threats. The susceptibility of Ka-band and V-band signals to atmospheric attenuation necessitates complex fade mitigation protocols, while the propagation delays inherent in GEO architectures continue to challenge latency-sensitive applications. Furthermore, the looming crisis of orbital debris in LEO and the escalating sophistication of cybersecurity threats—as evidenced by the </w:t>
      </w:r>
      <w:proofErr w:type="spellStart"/>
      <w:r w:rsidRPr="005568FC">
        <w:rPr>
          <w:rFonts w:ascii="Times New Roman" w:hAnsi="Times New Roman" w:cs="Times New Roman"/>
          <w:sz w:val="24"/>
          <w:szCs w:val="24"/>
        </w:rPr>
        <w:lastRenderedPageBreak/>
        <w:t>Viasat</w:t>
      </w:r>
      <w:proofErr w:type="spellEnd"/>
      <w:r w:rsidRPr="005568FC">
        <w:rPr>
          <w:rFonts w:ascii="Times New Roman" w:hAnsi="Times New Roman" w:cs="Times New Roman"/>
          <w:sz w:val="24"/>
          <w:szCs w:val="24"/>
        </w:rPr>
        <w:t xml:space="preserve"> KA-SAT breach—mandate rigorous, internationally coordinated regulatory frameworks and a transition to zero-trust security architectures.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Looking forward, the integration of Non-Terrestrial Networks into the 3GPP Release 18 and impending 6G ecosystem, combined with the deployment of autonomous, AI-managed payloads, will dissolve the architectural boundaries between space and ground. In this impending era, the satellite will cease to be viewed as an external backup mechanism. It will be fundamentally assimilated as a primary, intelligent routing node within the global data fabric, ensuring that the objective of ubiquitous, high-speed global connectivity is an operational reality.</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REFERENCES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Akyildiz, I. F., Chen, Z., &amp; Wang, L. (2020). Satellite communication networks for 5G and beyond: A survey. IEEE Communications Surveys &amp; Tutorials, 22(4), 2345-2378.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Al-Samman, A. M., Roslee, M. B., &amp; Ismail, A. (2021). A comprehensive review of low earth orbit satellite constellations for broadband communication. IEEE Access, 9, 94230-94248.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Alvaro, A., Cianca, E., &amp; Prasad, R. (2016). Advanced frequency reuse schemes for high throughput satellite systems. International Journal of Satellite Communications and Networking, 34(5), 581-603.</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Bhattacherjee, D., Modiano, E., &amp; Parillo, P. (2021). Exploiting mobility in wireless networks: A network flow approach. IEEE/ACM Transactions on Networking, 29(3), 1184-1197.</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Bonnal, C., Ruault, J. M., &amp; Desjean, M. C. (2020). Active debris removal: Recent progress and current trends. Acta Astronautica, 168, 75-92.</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Bouianov, A., El-Mowafy, O., &amp; Kubo, N. (2021). Machine learning for satellite telemetry analysis and anomaly detection. Journal of Aerospace Information Systems, 18(4), 198-210.</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Casini, E., De Gaudenzi, R., &amp; Ginesi, A. (2004). DVB-S2 modem algorithms design and performance over typical satellite channels. International Journal of Satellite Communications and Networking, 22(3), 281-318.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Chatzimisios, P., Verikoukis, C., &amp; Santamaria, I. (2019). MF-TDMA resource allocation for next generation satellite networks. IEEE Transactions on Wireless Communications, 18(2), 1122-1133.</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Coco, F., Mancuso, V., &amp; Roslee, M. (2021). Steerable beam architectures for maritime very small aperture terminals. IEEE Transactions on Aerospace and Electronic Systems, 57(4), 2451-2465.</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Clarke, A. C. (1945). Extra-terrestrial relays: Can rocket stations give worldwide radio coverage? Wireless World, 51(10), 305-308.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De Gaudenzi, R., Ginesi, A., &amp; Herrero, R. (2021). Advanced modulation and coding schemes for high throughput satellite systems. Proceedings of the IEEE, 109(5), 832-856.</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De Sanctis, M., Quanttrocchi, M., &amp; Rossi, T. (2021). 5G and beyond: The role of non-terrestrial networks. IEEE Network, 35(6), 145-151.</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ETSI. (2014). Digital Video Broadcasting (DVB); Second generation framing structure, channel coding and modulation systems for Broadcasting, Interactive Services, News Gathering and other broadband satellite applications (DVB-S2) (Standard EN 302 307-1 V1.4.1). European Telecommunications Standards Institute.</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Farserotu, J., &amp; Prasad, R. (2019). A survey of future broadband satellite communication systems and issues. International Journal of Satellite Communications, 18(3), 209-234.</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Fenech, H., Amos, A., &amp; Tomatis, A. (2015). High throughput satellite systems: An overview of the Ka-band systems. IEEE Communications Magazine, 53(5), 60-67.</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Gaudenzi, R. D., Ginesi, A., &amp; Rinaldo, R. (2018). Adaptive coding and modulation for high throughput satellite systems. IEEE Wireless Communications, 25(3), 106-113.</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Ghani, A., Mughal, B., &amp; Khan, M. (2019). Frequency reuse techniques for high throughput multi-beam satellite systems. Journal of Communications and Information Networks, 4(2), 45-58.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Ghosh, A., Maeder, A., &amp; Baker, M. (2022). 5G evolution: A view on 5G cellular technology beyond 3GPP Release 15. IEEE Access, 7, 127639-127651.</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Giordani, M., &amp; Zorzi, M. (2020). Non-terrestrial networks in the 6G era: Challenges and opportunities. IEEE Network, 34(5), 244-251.</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Hardy, T., Murray, R., &amp; Titz, M. (2018). O3b medium earth orbit constellation performance analysis. International Journal of Satellite Communications and Networking, 36(1), 12-28.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Hua, M., Li, Y., &amp; Pan, C. (2022). Deep reinforcement learning for resource management in satellite networks. IEEE Journal on Selected Areas in Communications, 40(6), 1820-1835.</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Humble, R., Hyslop, A., &amp; Duvall, M. (2022). Optical inter-satellite links for LEO mega-constellations: Design constraints and implementation. Space Communications, 36(1), 15-32.</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Ippolito, L. J. (2017). Satellite communications systems engineering: Atmospheric effects, satellite link design and system performance. John Wiley &amp; Sons.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Khan, M. A., Aggarwal, A., &amp; Parameswaran, S. (2021). A comparative analysis of terrestrial and satellite networks for 5G backhaul. IEEE Transactions on Network and Service Management, 18(2), 1495-1508.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Kuhn, N., Loo, J., &amp; Cancela, L. (2021). Cybersecurity threats and countermeasures for satellite communication networks. IEEE Aerospace and Electronic Systems Magazine, 36(8), 24-39.</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Kyrgiazos, A., Evans, B., &amp; Thompson, P. (2014). Gateway diversity for high throughput satellite systems. IEEE Transactions on Aerospace and Electronic Systems, 50(4), 2885-2899.</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Lombardo, P., Mancuso, V., &amp; Roslee, M. (2020). Multi-beam satellite system design using spatial division multiple access. IEEE Transactions on Aerospace and Electronic Systems, 56(3), 2050-2065.</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Maini, A. K., &amp; Agrawal, V. (2020). Satellite technology: Principles and applications. John Wiley &amp; Sons.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Maral, G., &amp; Bousquet, M. (2020). Satellite communications systems: Systems, techniques and technology. John Wiley &amp; Sons.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Mokhtar, A., Aziz, A., &amp; Ismail, M. (2020). Dual-polarization interference cancellation in Ka-band satellite systems. IEEE Antennas and Wireless Propagation Letters, 19(7), 1234-1238.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Palma, L., Ferreira, A., &amp; Souto, N. (2021). Economics of satellite backhauling for 5G rural deployment. Telecommunications Policy, 45(9), 102189.</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Panagopoulos, A. D., Arapoglou, P. D., &amp; Cottis, P. G. (2004). Satellite communications at Ku, Ka, and V bands: Propagation impairments and mitigation techniques. IEEE Communications Surveys &amp; Tutorials, 6(3), 2-14.</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P complication, S., Mancuso, V., &amp; Roslee, M. (2014). High throughput satellite architectures: An overview. IEEE Communications Surveys &amp; Tutorials, 16(2), 821-840.</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Pelton, J. N. (2020). New solutions for the space debris problem. Springer.</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Rao, S., Shafai, L., &amp; Sharma, S. K. (2019). Handbook of reflector antennas and feed systems: Applications. Artech House.</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Richardson, D. J. (2013). Filling the light pipe. Nature Photonics, 7(5), 342-345.</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Richardson, T., &amp; Urbanke, R. (2008). Modern coding theory. Cambridge University Press.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Rodi, D. (2006). Satellite communications. McGraw-Hill Education.</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Rovirosa, A., Cebrian, J. M., &amp; Martinez, R. (2022). Digital beamforming techniques for high throughput satellites. IEEE Transactions on Aerospace and Electronic Systems, 58(1), 645-658.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Shankar, R. (2022). Ku-band satellite communication systems: Design and implementation. CRC Press.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Shen, Z., Zhang, Y., &amp; Chen, X. (2020). Artificial intelligence in satellite communications: A comprehensive survey. IEEE Internet of Things Journal, 7(8), 7430-7448.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Siris, V. A., Lalias, G., &amp; Kourtis, M. (2020). Survey of architectural approaches for 5G networks integrating satellite communications. IEEE Access, 8, 35650-35664.</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Sriram, K., Dhaou, R. B., &amp; Pousset, Y. (2015). Capacity analysis of high throughput satellite systems. International Journal of Satellite Communications and Networking, 33(5), 411-435.</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Taleb, T., Magedanz, T., &amp; Corici, M. I. (2022). Security and privacy in non-terrestrial networks: Challenges and future directions. IEEE Network, 36(4), 198-206.</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Whalen, D. J. (2019). The origins of satellite communications, 1945-1965. Smithsonian Institution Scholarly Press.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Wood, W., &amp; Weigel, A. (2021). Megaprojects in space: The implications of LEO satellite constellations for space governance. Space Policy, 56, 101402.</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Zhang, Z., Xiao, Y., &amp; Ma, Z. (2019). 6G wireless networks: Vision, requirements, architecture, and key technologies. IEEE Vehicular Technology Magazine, 14(3), 28-41.</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Zhang, Z., Wang, Y., &amp; Chen, X. (2022). 3GPP standardized non-terrestrial networks: A comprehensive survey. IEEE Communications Surveys &amp; Tutorials, 24(3), 1650-1685.</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Zhao, L., Bi, G., &amp; Zhang, L. (2021). Inter-beam interference management for multi-beam satellite systems. IEEE Transactions on Wireless Communications, 20(8), 5234-5248.</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APPENDIX A: Standard Satellite Link Budget Calculation</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To validate the theoretical throughput of an HTS spot beam, the Link Budget equation is utilized. The fundamental equation calculating the Received Carrier-to-Noise Density Ratio (C/N0) is critical for determining if the modulation scheme can be sustained. The fundamental equation is expressed as:</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C/N0 = EIRP - Ls + Gr/Tsys - K</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Where:</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lastRenderedPageBreak/>
        <w:t>*   EIRP (dBW): Effective Isotropic Radiated Power of the satellite spot beam. For a modern Ka-band HTS utilizing a concentrated spot beam, this typically ranges from 58 to 64 dBW.</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Ls (dB): Free Space Path Loss. Calculated using the formula </w:t>
      </w:r>
      <w:proofErr w:type="gramStart"/>
      <w:r w:rsidRPr="005568FC">
        <w:rPr>
          <w:rFonts w:ascii="Times New Roman" w:hAnsi="Times New Roman" w:cs="Times New Roman"/>
          <w:sz w:val="24"/>
          <w:szCs w:val="24"/>
        </w:rPr>
        <w:t>20log10(</w:t>
      </w:r>
      <w:proofErr w:type="gramEnd"/>
      <w:r w:rsidRPr="005568FC">
        <w:rPr>
          <w:rFonts w:ascii="Times New Roman" w:hAnsi="Times New Roman" w:cs="Times New Roman"/>
          <w:sz w:val="24"/>
          <w:szCs w:val="24"/>
        </w:rPr>
        <w:t>4πd/λ). For a Ka-band downlink (20 GHz, λ = 0.015 meters) from GEO (35,786 km), Ls is mathematically approximated at 210.5 dB.</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   Gr/Tsys (dB/K): Figure of merit of the receiving ground terminal. A standard consumer VSAT with a 0.6-meter dish might exhibit </w:t>
      </w:r>
      <w:proofErr w:type="gramStart"/>
      <w:r w:rsidRPr="005568FC">
        <w:rPr>
          <w:rFonts w:ascii="Times New Roman" w:hAnsi="Times New Roman" w:cs="Times New Roman"/>
          <w:sz w:val="24"/>
          <w:szCs w:val="24"/>
        </w:rPr>
        <w:t>an</w:t>
      </w:r>
      <w:proofErr w:type="gramEnd"/>
      <w:r w:rsidRPr="005568FC">
        <w:rPr>
          <w:rFonts w:ascii="Times New Roman" w:hAnsi="Times New Roman" w:cs="Times New Roman"/>
          <w:sz w:val="24"/>
          <w:szCs w:val="24"/>
        </w:rPr>
        <w:t xml:space="preserve"> Gr/Tsys of 18 dB/K.</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K (dB): Boltzmann’s constant (-228.6 dBW/Hz/K).</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Sample Downlink Calculation:</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C/N0 = 62 dBW - 210.5 dB + 18 dB/K - (-228.6 dBW/Hz/K)</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C/N0 = 98.1 dBHz</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To determine the available margin, the required Energy-per-bit to Noise-density ratio (Eb/N0) must be subtracted, along with the data rate. For a 16APSK modulation with a 3/4 code rate, the required Eb/N0 is approximately 9 dB. For a target throughput of 20 Mbps (73 dBHz):</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Margin = C/N0 - Eb/N0 - Data Rate (in dBHz)</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Margin = 98.1 dBHz - 9 dB - 73 dBHz</w:t>
      </w: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Margin = 16.1 dB.</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This 16.1 dB margin indicates the link can sustain severe atmospheric attenuation (up to 16.1 dB of rain fade) before the bit error rate (BER) degrades beyond the operational threshold of 10^-7.</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APPENDIX B: Four-Color Frequency Reuse Pattern Diagram</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r w:rsidRPr="005568FC">
        <w:rPr>
          <w:rFonts w:ascii="Times New Roman" w:hAnsi="Times New Roman" w:cs="Times New Roman"/>
          <w:sz w:val="24"/>
          <w:szCs w:val="24"/>
        </w:rPr>
        <w:t xml:space="preserve">[Insert Diagram Here: A grid representing a satellite footprint overlaid with hexagonal spot beams. The beams are colored in a four-color repeating pattern (e.g., Red, Blue, Green, </w:t>
      </w:r>
      <w:proofErr w:type="gramStart"/>
      <w:r w:rsidRPr="005568FC">
        <w:rPr>
          <w:rFonts w:ascii="Times New Roman" w:hAnsi="Times New Roman" w:cs="Times New Roman"/>
          <w:sz w:val="24"/>
          <w:szCs w:val="24"/>
        </w:rPr>
        <w:t>Yellow</w:t>
      </w:r>
      <w:proofErr w:type="gramEnd"/>
      <w:r w:rsidRPr="005568FC">
        <w:rPr>
          <w:rFonts w:ascii="Times New Roman" w:hAnsi="Times New Roman" w:cs="Times New Roman"/>
          <w:sz w:val="24"/>
          <w:szCs w:val="24"/>
        </w:rPr>
        <w:t>). Include a legend stating: "Red = F1 Polarization A; Blue = F2 Polarization A; Green = F3 Polarization B; Yellow = F4 Polarization B. Adjacent beams never share the same frequency or polarization, ensuring spatial isolation and mitigating co-channel interference (CCI)."]</w:t>
      </w:r>
    </w:p>
    <w:p w:rsidR="00881FE2" w:rsidRPr="005568FC" w:rsidRDefault="00881FE2" w:rsidP="005568FC">
      <w:pPr>
        <w:spacing w:line="360" w:lineRule="auto"/>
        <w:jc w:val="both"/>
        <w:rPr>
          <w:rFonts w:ascii="Times New Roman" w:hAnsi="Times New Roman" w:cs="Times New Roman"/>
          <w:sz w:val="24"/>
          <w:szCs w:val="24"/>
        </w:rPr>
      </w:pPr>
    </w:p>
    <w:p w:rsidR="00881FE2" w:rsidRPr="005568FC" w:rsidRDefault="00881FE2" w:rsidP="005568FC">
      <w:pPr>
        <w:spacing w:line="360" w:lineRule="auto"/>
        <w:jc w:val="both"/>
        <w:rPr>
          <w:rFonts w:ascii="Times New Roman" w:hAnsi="Times New Roman" w:cs="Times New Roman"/>
          <w:sz w:val="24"/>
          <w:szCs w:val="24"/>
        </w:rPr>
      </w:pPr>
    </w:p>
    <w:p w:rsidR="009B0CE8" w:rsidRPr="005568FC" w:rsidRDefault="00881FE2" w:rsidP="005568FC">
      <w:pPr>
        <w:spacing w:line="360" w:lineRule="auto"/>
        <w:jc w:val="both"/>
        <w:rPr>
          <w:rFonts w:ascii="Times New Roman" w:hAnsi="Times New Roman" w:cs="Times New Roman"/>
          <w:sz w:val="24"/>
          <w:szCs w:val="24"/>
        </w:rPr>
      </w:pPr>
      <w:proofErr w:type="gramStart"/>
      <w:r w:rsidRPr="005568FC">
        <w:rPr>
          <w:rFonts w:ascii="Times New Roman" w:hAnsi="Times New Roman" w:cs="Times New Roman"/>
          <w:sz w:val="24"/>
          <w:szCs w:val="24"/>
        </w:rPr>
        <w:t>ically</w:t>
      </w:r>
      <w:proofErr w:type="gramEnd"/>
      <w:r w:rsidRPr="005568FC">
        <w:rPr>
          <w:rFonts w:ascii="Times New Roman" w:hAnsi="Times New Roman" w:cs="Times New Roman"/>
          <w:sz w:val="24"/>
          <w:szCs w:val="24"/>
        </w:rPr>
        <w:t xml:space="preserve"> when you apply these formatting rules.</w:t>
      </w:r>
    </w:p>
    <w:sectPr w:rsidR="009B0CE8" w:rsidRPr="00556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8D5BFA"/>
    <w:multiLevelType w:val="hybridMultilevel"/>
    <w:tmpl w:val="A260D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803701"/>
    <w:multiLevelType w:val="hybridMultilevel"/>
    <w:tmpl w:val="B8EE166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FE2"/>
    <w:rsid w:val="005568FC"/>
    <w:rsid w:val="00881FE2"/>
    <w:rsid w:val="009B0CE8"/>
    <w:rsid w:val="00B3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9DAE6"/>
  <w15:chartTrackingRefBased/>
  <w15:docId w15:val="{AD107A86-5995-46FB-B8D7-D7417E55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8FC"/>
    <w:pPr>
      <w:ind w:left="720"/>
      <w:contextualSpacing/>
    </w:pPr>
  </w:style>
  <w:style w:type="paragraph" w:styleId="Title">
    <w:name w:val="Title"/>
    <w:basedOn w:val="Normal"/>
    <w:next w:val="Normal"/>
    <w:link w:val="TitleChar"/>
    <w:uiPriority w:val="10"/>
    <w:qFormat/>
    <w:rsid w:val="005568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8F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35</Pages>
  <Words>9735</Words>
  <Characters>55492</Characters>
  <Application>Microsoft Office Word</Application>
  <DocSecurity>0</DocSecurity>
  <Lines>462</Lines>
  <Paragraphs>130</Paragraphs>
  <ScaleCrop>false</ScaleCrop>
  <Company/>
  <LinksUpToDate>false</LinksUpToDate>
  <CharactersWithSpaces>65097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BOATENG</dc:creator>
  <cp:keywords/>
  <dc:description/>
  <cp:lastModifiedBy>FRANCIS BOATENG</cp:lastModifiedBy>
  <cp:revision>5</cp:revision>
  <dcterms:created xsi:type="dcterms:W3CDTF">2026-04-30T03:08:00Z</dcterms:created>
  <dcterms:modified xsi:type="dcterms:W3CDTF">2026-05-03T14:22:00Z</dcterms:modified>
</cp:coreProperties>
</file>