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877C" w14:textId="77777777" w:rsidR="000C28D7" w:rsidRDefault="00000000">
      <w:pPr>
        <w:pStyle w:val="Title"/>
      </w:pPr>
      <w:r>
        <w:t>Thermodynamic characterization of the marine boundary layer during fog and dew events in the hyperarid coastal climate of the Atacama Desert</w:t>
      </w:r>
    </w:p>
    <w:p w14:paraId="09ED7026" w14:textId="77777777" w:rsidR="000C28D7" w:rsidRPr="00A8732F" w:rsidRDefault="00000000">
      <w:pPr>
        <w:pStyle w:val="Author"/>
        <w:rPr>
          <w:lang w:val="es-ES"/>
        </w:rPr>
      </w:pPr>
      <w:r w:rsidRPr="00A8732F">
        <w:rPr>
          <w:lang w:val="es-ES"/>
        </w:rPr>
        <w:t>F.M. Narbona, S. Acevedo, C. Del Río, A. Siegmund, F. Lobos-Roco</w:t>
      </w:r>
    </w:p>
    <w:p w14:paraId="74F41BF2" w14:textId="77777777" w:rsidR="000C28D7" w:rsidRDefault="00000000">
      <w:pPr>
        <w:pStyle w:val="Date"/>
      </w:pPr>
      <w:r>
        <w:t>2026-09-25</w:t>
      </w:r>
    </w:p>
    <w:p w14:paraId="53E11151" w14:textId="77777777" w:rsidR="000C28D7" w:rsidRDefault="00000000">
      <w:pPr>
        <w:pStyle w:val="Heading1"/>
      </w:pPr>
      <w:bookmarkStart w:id="0" w:name="introduction"/>
      <w:r>
        <w:t>Introduction</w:t>
      </w:r>
    </w:p>
    <w:p w14:paraId="7C623ABF" w14:textId="77777777" w:rsidR="000C28D7"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w:t>
      </w:r>
      <w:commentRangeStart w:id="1"/>
      <w:r>
        <w:t xml:space="preserve">congeneric </w:t>
      </w:r>
      <w:r>
        <w:rPr>
          <w:i/>
          <w:iCs/>
        </w:rPr>
        <w:t>Tillandsia</w:t>
      </w:r>
      <w:r>
        <w:t xml:space="preserve"> </w:t>
      </w:r>
      <w:commentRangeEnd w:id="1"/>
      <w:r w:rsidR="00A8732F">
        <w:rPr>
          <w:rStyle w:val="CommentReference"/>
          <w:sz w:val="24"/>
          <w:szCs w:val="24"/>
        </w:rPr>
        <w:commentReference w:id="1"/>
      </w:r>
      <w:r>
        <w:t xml:space="preserve">(Pinto et al., 2006) and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5F74A7EC" w14:textId="77777777" w:rsidR="000C28D7" w:rsidRDefault="00000000">
      <w:pPr>
        <w:pStyle w:val="BodyText"/>
      </w:pPr>
      <w: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14:paraId="195AF037" w14:textId="77777777" w:rsidR="000C28D7" w:rsidRDefault="00000000">
      <w:pPr>
        <w:pStyle w:val="BodyText"/>
      </w:pPr>
      <w:r>
        <w:lastRenderedPageBreak/>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(Jacobs et al., 2006;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50BE1B89" w14:textId="77777777" w:rsidR="000C28D7"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28334165" w14:textId="77777777" w:rsidR="000C28D7"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51608560" w14:textId="77777777" w:rsidR="000C28D7"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w:t>
      </w:r>
      <w:r>
        <w:lastRenderedPageBreak/>
        <w:t>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7EE98ADD" w14:textId="77777777" w:rsidR="000C28D7" w:rsidRDefault="00000000">
      <w:pPr>
        <w:pStyle w:val="Heading1"/>
      </w:pPr>
      <w:bookmarkStart w:id="2" w:name="outline-methods"/>
      <w:bookmarkEnd w:id="0"/>
      <w:r>
        <w:t>Outline methods</w:t>
      </w:r>
    </w:p>
    <w:p w14:paraId="60813C11" w14:textId="77777777" w:rsidR="000C28D7" w:rsidRDefault="00000000">
      <w:pPr>
        <w:pStyle w:val="Heading2"/>
      </w:pPr>
      <w:bookmarkStart w:id="3" w:name="study-area-cerro-oyarbide"/>
      <w:r>
        <w:t>Study area: Cerro Oyarbide</w:t>
      </w:r>
    </w:p>
    <w:p w14:paraId="58EA34B6" w14:textId="77777777" w:rsidR="000C28D7" w:rsidRDefault="00000000">
      <w:pPr>
        <w:pStyle w:val="FirstParagraph"/>
      </w:pPr>
      <w:r>
        <w:t>The meteorological observations used in this study are located over topographic transect placed at Cerro Oyarbide (~20.61°S, 70.07°W). This site is located in the Atacama coastal mountain range about 11 km inland from the coastline (</w:t>
      </w:r>
      <w:hyperlink w:anchor="fig-oyarbide">
        <w:r>
          <w:rPr>
            <w:rStyle w:val="Hyperlink"/>
          </w:rPr>
          <w:t>Figure 1</w:t>
        </w:r>
      </w:hyperlink>
      <w:r>
        <w:t xml:space="preserve">, B and D). The climate is hyper-arid, where no rain occurs and the sole water inputs to the surface comes from dew and fog. Such conditions only allow the development of </w:t>
      </w:r>
      <w:r>
        <w:rPr>
          <w:i/>
          <w:iCs/>
        </w:rPr>
        <w:t>Tillandsia landbeckii</w:t>
      </w:r>
      <w:r>
        <w:t xml:space="preserve"> species, a rootless plant that locates between 900 and 1200 m above sea level.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Pr>
            <w:rStyle w:val="Hyperlink"/>
          </w:rPr>
          <w:t>Figure 1</w:t>
        </w:r>
      </w:hyperlink>
      <w:r>
        <w:t>, A). This band ranges from a cloud base as low as ~753 m a.s.l. to a cloud top as high as ~1400 m a.s.l. (Del Río et al. (2021)). Within this gradient, our main station named OYA1211 located on the upper border of Tillandsia landbeckii fields (</w:t>
      </w:r>
      <w:hyperlink w:anchor="fig-oyarbide">
        <w:r>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360"/>
      </w:tblGrid>
      <w:tr w:rsidR="000C28D7" w14:paraId="69DA9CFA" w14:textId="77777777">
        <w:tc>
          <w:tcPr>
            <w:tcW w:w="7920" w:type="dxa"/>
          </w:tcPr>
          <w:p w14:paraId="2BF51079" w14:textId="77777777" w:rsidR="000C28D7" w:rsidRDefault="00000000">
            <w:pPr>
              <w:pStyle w:val="Compact"/>
              <w:jc w:val="center"/>
            </w:pPr>
            <w:bookmarkStart w:id="4" w:name="fig-oyarbide"/>
            <w:commentRangeStart w:id="5"/>
            <w:commentRangeStart w:id="6"/>
            <w:r>
              <w:rPr>
                <w:noProof/>
              </w:rPr>
              <w:lastRenderedPageBreak/>
              <w:drawing>
                <wp:inline distT="0" distB="0" distL="0" distR="0" wp14:anchorId="6D6BF210" wp14:editId="17F48334">
                  <wp:extent cx="5753658" cy="3630168"/>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_v06.png"/>
                          <pic:cNvPicPr>
                            <a:picLocks noChangeAspect="1" noChangeArrowheads="1"/>
                          </pic:cNvPicPr>
                        </pic:nvPicPr>
                        <pic:blipFill>
                          <a:blip r:embed="rId9"/>
                          <a:stretch>
                            <a:fillRect/>
                          </a:stretch>
                        </pic:blipFill>
                        <pic:spPr bwMode="auto">
                          <a:xfrm>
                            <a:off x="0" y="0"/>
                            <a:ext cx="5805367" cy="3662793"/>
                          </a:xfrm>
                          <a:prstGeom prst="rect">
                            <a:avLst/>
                          </a:prstGeom>
                          <a:noFill/>
                          <a:ln w="9525">
                            <a:noFill/>
                            <a:headEnd/>
                            <a:tailEnd/>
                          </a:ln>
                        </pic:spPr>
                      </pic:pic>
                    </a:graphicData>
                  </a:graphic>
                </wp:inline>
              </w:drawing>
            </w:r>
            <w:commentRangeEnd w:id="5"/>
            <w:r w:rsidR="00A8732F">
              <w:rPr>
                <w:rStyle w:val="CommentReference"/>
                <w:sz w:val="24"/>
                <w:szCs w:val="24"/>
              </w:rPr>
              <w:commentReference w:id="5"/>
            </w:r>
            <w:commentRangeEnd w:id="6"/>
            <w:r w:rsidR="00A8732F">
              <w:rPr>
                <w:rStyle w:val="CommentReference"/>
                <w:sz w:val="24"/>
                <w:szCs w:val="24"/>
              </w:rPr>
              <w:commentReference w:id="6"/>
            </w:r>
          </w:p>
          <w:p w14:paraId="7385AA13" w14:textId="77777777" w:rsidR="000C28D7" w:rsidRDefault="00000000">
            <w:pPr>
              <w:pStyle w:val="ImageCaption"/>
              <w:spacing w:before="200"/>
            </w:pPr>
            <w:r>
              <w:t>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(D) Location of the study area within the South American continent, with the red marker indicating the region of interest along the northern Chilean coast.</w:t>
            </w:r>
          </w:p>
        </w:tc>
        <w:bookmarkEnd w:id="4"/>
      </w:tr>
    </w:tbl>
    <w:p w14:paraId="02C50940" w14:textId="77777777" w:rsidR="000C28D7" w:rsidRDefault="00000000">
      <w:pPr>
        <w:pStyle w:val="Heading2"/>
      </w:pPr>
      <w:bookmarkStart w:id="7" w:name="data-and-instrumentation"/>
      <w:bookmarkEnd w:id="3"/>
      <w:r>
        <w:t>Data and instrumentation</w:t>
      </w:r>
    </w:p>
    <w:p w14:paraId="5C009B57" w14:textId="77777777" w:rsidR="000C28D7" w:rsidRDefault="00000000">
      <w:pPr>
        <w:pStyle w:val="FirstParagraph"/>
      </w:pPr>
      <w:r>
        <w:t>The dataset used in this study spans the full year 2024 at a 10-minute interval, includes air temperature (°C), relative humidity (%), wind speed (m/s) and direction (°), horizontal visibility (m), air pressure (Pa), and fog and dew collection (mL/m²). Data availability varies by station and sensor (</w:t>
      </w:r>
      <w:hyperlink w:anchor="tbl-availability">
        <w:r>
          <w:rPr>
            <w:rStyle w:val="Hyperlink"/>
          </w:rPr>
          <w:t>Table 1</w:t>
        </w:r>
      </w:hyperlink>
      <w:r>
        <w:t xml:space="preserve">),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w:t>
      </w:r>
      <w:r>
        <w:lastRenderedPageBreak/>
        <w:t>fully equipped of the entire transect and including, the standard dew collector (SDC), the standard fog collector (SFC), and the horizontal visibility sensor (</w:t>
      </w:r>
      <w:hyperlink w:anchor="fig-oyarbide">
        <w:r>
          <w:rPr>
            <w:rStyle w:val="Hyperlink"/>
          </w:rPr>
          <w:t>Figure 1</w:t>
        </w:r>
      </w:hyperlink>
      <w:r>
        <w:t>, C).</w:t>
      </w:r>
    </w:p>
    <w:p w14:paraId="1E543034" w14:textId="77777777" w:rsidR="000C28D7" w:rsidRDefault="00000000">
      <w:pPr>
        <w:pStyle w:val="BodyText"/>
      </w:pPr>
      <w:r>
        <w:t xml:space="preserve">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the SDC captures vertical condensation toward the surface, and the visibility sensor is aligned perpendicular to the SFC for undisturbed optical measurements. </w:t>
      </w:r>
      <w:r>
        <w:rPr>
          <w:i/>
          <w:iCs/>
        </w:rPr>
        <w:t>Tillandsia landbeckii</w:t>
      </w:r>
      <w:r>
        <w:t xml:space="preserve"> patches surround the instrumentation in the foreground (</w:t>
      </w:r>
      <w:hyperlink w:anchor="fig-oyarbide">
        <w:r>
          <w:rPr>
            <w:rStyle w:val="Hyperlink"/>
          </w:rPr>
          <w:t>Figure 1</w:t>
        </w:r>
      </w:hyperlink>
      <w:r>
        <w:t>, C).</w:t>
      </w:r>
    </w:p>
    <w:p w14:paraId="1EC9EBF9" w14:textId="77777777" w:rsidR="000C28D7"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event classification criteria.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360"/>
      </w:tblGrid>
      <w:tr w:rsidR="000C28D7" w14:paraId="045C21BA" w14:textId="77777777">
        <w:tc>
          <w:tcPr>
            <w:tcW w:w="7920" w:type="dxa"/>
          </w:tcPr>
          <w:p w14:paraId="436E61F5" w14:textId="77777777" w:rsidR="000C28D7" w:rsidRDefault="00000000">
            <w:pPr>
              <w:pStyle w:val="ImageCaption"/>
              <w:spacing w:before="200"/>
            </w:pPr>
            <w:bookmarkStart w:id="8" w:name="tbl-availability"/>
            <w: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4778" w:type="pct"/>
              <w:tblLayout w:type="fixed"/>
              <w:tblLook w:val="0020" w:firstRow="1" w:lastRow="0" w:firstColumn="0" w:lastColumn="0" w:noHBand="0" w:noVBand="0"/>
            </w:tblPr>
            <w:tblGrid>
              <w:gridCol w:w="1117"/>
              <w:gridCol w:w="831"/>
              <w:gridCol w:w="832"/>
              <w:gridCol w:w="832"/>
              <w:gridCol w:w="831"/>
              <w:gridCol w:w="832"/>
              <w:gridCol w:w="831"/>
              <w:gridCol w:w="832"/>
              <w:gridCol w:w="967"/>
              <w:gridCol w:w="833"/>
            </w:tblGrid>
            <w:tr w:rsidR="00A8732F" w:rsidRPr="00A8732F" w14:paraId="591DBFFF" w14:textId="77777777" w:rsidTr="00A8732F">
              <w:trPr>
                <w:cnfStyle w:val="100000000000" w:firstRow="1" w:lastRow="0" w:firstColumn="0" w:lastColumn="0" w:oddVBand="0" w:evenVBand="0" w:oddHBand="0" w:evenHBand="0" w:firstRowFirstColumn="0" w:firstRowLastColumn="0" w:lastRowFirstColumn="0" w:lastRowLastColumn="0"/>
                <w:tblHeader/>
              </w:trPr>
              <w:tc>
                <w:tcPr>
                  <w:tcW w:w="1147" w:type="dxa"/>
                </w:tcPr>
                <w:p w14:paraId="7CB0DE2D" w14:textId="77777777" w:rsidR="00A8732F" w:rsidRPr="00A8732F" w:rsidRDefault="00A8732F">
                  <w:pPr>
                    <w:pStyle w:val="Compact"/>
                    <w:jc w:val="center"/>
                    <w:rPr>
                      <w:sz w:val="21"/>
                      <w:szCs w:val="21"/>
                    </w:rPr>
                  </w:pPr>
                  <w:r w:rsidRPr="00A8732F">
                    <w:rPr>
                      <w:sz w:val="21"/>
                      <w:szCs w:val="21"/>
                    </w:rPr>
                    <w:t>Station</w:t>
                  </w:r>
                </w:p>
              </w:tc>
              <w:tc>
                <w:tcPr>
                  <w:tcW w:w="851" w:type="dxa"/>
                </w:tcPr>
                <w:p w14:paraId="28484CF3" w14:textId="77777777" w:rsidR="00A8732F" w:rsidRPr="00A8732F" w:rsidRDefault="00A8732F">
                  <w:pPr>
                    <w:pStyle w:val="Compact"/>
                    <w:jc w:val="center"/>
                    <w:rPr>
                      <w:sz w:val="21"/>
                      <w:szCs w:val="21"/>
                    </w:rPr>
                  </w:pPr>
                  <w:r w:rsidRPr="00A8732F">
                    <w:rPr>
                      <w:sz w:val="21"/>
                      <w:szCs w:val="21"/>
                    </w:rPr>
                    <w:t>Dist (km)</w:t>
                  </w:r>
                </w:p>
              </w:tc>
              <w:tc>
                <w:tcPr>
                  <w:tcW w:w="851" w:type="dxa"/>
                </w:tcPr>
                <w:p w14:paraId="78BCCFA1" w14:textId="77777777" w:rsidR="00A8732F" w:rsidRPr="00A8732F" w:rsidRDefault="00A8732F">
                  <w:pPr>
                    <w:pStyle w:val="Compact"/>
                    <w:jc w:val="center"/>
                    <w:rPr>
                      <w:sz w:val="21"/>
                      <w:szCs w:val="21"/>
                    </w:rPr>
                  </w:pPr>
                  <w:r w:rsidRPr="00A8732F">
                    <w:rPr>
                      <w:sz w:val="21"/>
                      <w:szCs w:val="21"/>
                    </w:rPr>
                    <w:t>Temp (°C)</w:t>
                  </w:r>
                </w:p>
              </w:tc>
              <w:tc>
                <w:tcPr>
                  <w:tcW w:w="851" w:type="dxa"/>
                </w:tcPr>
                <w:p w14:paraId="7E764D05" w14:textId="77777777" w:rsidR="00A8732F" w:rsidRPr="00A8732F" w:rsidRDefault="00A8732F">
                  <w:pPr>
                    <w:pStyle w:val="Compact"/>
                    <w:jc w:val="center"/>
                    <w:rPr>
                      <w:sz w:val="21"/>
                      <w:szCs w:val="21"/>
                    </w:rPr>
                  </w:pPr>
                  <w:r w:rsidRPr="00A8732F">
                    <w:rPr>
                      <w:sz w:val="21"/>
                      <w:szCs w:val="21"/>
                    </w:rPr>
                    <w:t>HR (%)</w:t>
                  </w:r>
                </w:p>
              </w:tc>
              <w:tc>
                <w:tcPr>
                  <w:tcW w:w="850" w:type="dxa"/>
                </w:tcPr>
                <w:p w14:paraId="1B75AA7C" w14:textId="77777777" w:rsidR="00A8732F" w:rsidRPr="00A8732F" w:rsidRDefault="00A8732F">
                  <w:pPr>
                    <w:pStyle w:val="Compact"/>
                    <w:jc w:val="center"/>
                    <w:rPr>
                      <w:sz w:val="21"/>
                      <w:szCs w:val="21"/>
                    </w:rPr>
                  </w:pPr>
                  <w:r w:rsidRPr="00A8732F">
                    <w:rPr>
                      <w:sz w:val="21"/>
                      <w:szCs w:val="21"/>
                    </w:rPr>
                    <w:t>U (m/s)</w:t>
                  </w:r>
                </w:p>
              </w:tc>
              <w:tc>
                <w:tcPr>
                  <w:tcW w:w="851" w:type="dxa"/>
                </w:tcPr>
                <w:p w14:paraId="0C1A1FA8" w14:textId="77777777" w:rsidR="00A8732F" w:rsidRPr="00A8732F" w:rsidRDefault="00A8732F">
                  <w:pPr>
                    <w:pStyle w:val="Compact"/>
                    <w:jc w:val="center"/>
                    <w:rPr>
                      <w:sz w:val="21"/>
                      <w:szCs w:val="21"/>
                    </w:rPr>
                  </w:pPr>
                  <w:r w:rsidRPr="00A8732F">
                    <w:rPr>
                      <w:sz w:val="21"/>
                      <w:szCs w:val="21"/>
                    </w:rPr>
                    <w:t>DV (°)</w:t>
                  </w:r>
                </w:p>
              </w:tc>
              <w:tc>
                <w:tcPr>
                  <w:tcW w:w="850" w:type="dxa"/>
                </w:tcPr>
                <w:p w14:paraId="613D23E1" w14:textId="77777777" w:rsidR="00A8732F" w:rsidRPr="00A8732F" w:rsidRDefault="00A8732F">
                  <w:pPr>
                    <w:pStyle w:val="Compact"/>
                    <w:jc w:val="center"/>
                    <w:rPr>
                      <w:sz w:val="21"/>
                      <w:szCs w:val="21"/>
                    </w:rPr>
                  </w:pPr>
                  <w:r w:rsidRPr="00A8732F">
                    <w:rPr>
                      <w:sz w:val="21"/>
                      <w:szCs w:val="21"/>
                    </w:rPr>
                    <w:t>Fog (mm)</w:t>
                  </w:r>
                </w:p>
              </w:tc>
              <w:tc>
                <w:tcPr>
                  <w:tcW w:w="851" w:type="dxa"/>
                </w:tcPr>
                <w:p w14:paraId="01966342" w14:textId="77777777" w:rsidR="00A8732F" w:rsidRPr="00A8732F" w:rsidRDefault="00A8732F">
                  <w:pPr>
                    <w:pStyle w:val="Compact"/>
                    <w:jc w:val="center"/>
                    <w:rPr>
                      <w:sz w:val="21"/>
                      <w:szCs w:val="21"/>
                    </w:rPr>
                  </w:pPr>
                  <w:r w:rsidRPr="00A8732F">
                    <w:rPr>
                      <w:sz w:val="21"/>
                      <w:szCs w:val="21"/>
                    </w:rPr>
                    <w:t>Pres (hPa)</w:t>
                  </w:r>
                </w:p>
              </w:tc>
              <w:tc>
                <w:tcPr>
                  <w:tcW w:w="991" w:type="dxa"/>
                </w:tcPr>
                <w:p w14:paraId="016A7967" w14:textId="77777777" w:rsidR="00A8732F" w:rsidRPr="00A8732F" w:rsidRDefault="00A8732F">
                  <w:pPr>
                    <w:pStyle w:val="Compact"/>
                    <w:jc w:val="center"/>
                    <w:rPr>
                      <w:sz w:val="21"/>
                      <w:szCs w:val="21"/>
                    </w:rPr>
                  </w:pPr>
                  <w:r w:rsidRPr="00A8732F">
                    <w:rPr>
                      <w:sz w:val="21"/>
                      <w:szCs w:val="21"/>
                    </w:rPr>
                    <w:t>Vis (m)</w:t>
                  </w:r>
                </w:p>
              </w:tc>
              <w:tc>
                <w:tcPr>
                  <w:tcW w:w="852" w:type="dxa"/>
                </w:tcPr>
                <w:p w14:paraId="6CC00E27" w14:textId="77777777" w:rsidR="00A8732F" w:rsidRPr="00A8732F" w:rsidRDefault="00A8732F">
                  <w:pPr>
                    <w:pStyle w:val="Compact"/>
                    <w:jc w:val="center"/>
                    <w:rPr>
                      <w:sz w:val="21"/>
                      <w:szCs w:val="21"/>
                    </w:rPr>
                  </w:pPr>
                  <w:r w:rsidRPr="00A8732F">
                    <w:rPr>
                      <w:sz w:val="21"/>
                      <w:szCs w:val="21"/>
                    </w:rPr>
                    <w:t>Dew (mm)</w:t>
                  </w:r>
                </w:p>
              </w:tc>
            </w:tr>
            <w:tr w:rsidR="00000000" w:rsidRPr="00A8732F" w14:paraId="1B178B3C" w14:textId="77777777" w:rsidTr="00A8732F">
              <w:tc>
                <w:tcPr>
                  <w:tcW w:w="1147" w:type="dxa"/>
                </w:tcPr>
                <w:p w14:paraId="655B76B2" w14:textId="77777777" w:rsidR="00A8732F" w:rsidRPr="00A8732F" w:rsidRDefault="00A8732F">
                  <w:pPr>
                    <w:pStyle w:val="Compact"/>
                    <w:jc w:val="center"/>
                    <w:rPr>
                      <w:sz w:val="21"/>
                      <w:szCs w:val="21"/>
                    </w:rPr>
                  </w:pPr>
                  <w:r w:rsidRPr="00A8732F">
                    <w:rPr>
                      <w:b/>
                      <w:bCs/>
                      <w:sz w:val="21"/>
                      <w:szCs w:val="21"/>
                    </w:rPr>
                    <w:t>AEROP.</w:t>
                  </w:r>
                </w:p>
              </w:tc>
              <w:tc>
                <w:tcPr>
                  <w:tcW w:w="851" w:type="dxa"/>
                </w:tcPr>
                <w:p w14:paraId="00E57B6F" w14:textId="77777777" w:rsidR="00A8732F" w:rsidRPr="00A8732F" w:rsidRDefault="00A8732F">
                  <w:pPr>
                    <w:pStyle w:val="Compact"/>
                    <w:jc w:val="center"/>
                    <w:rPr>
                      <w:sz w:val="21"/>
                      <w:szCs w:val="21"/>
                    </w:rPr>
                  </w:pPr>
                  <w:r w:rsidRPr="00A8732F">
                    <w:rPr>
                      <w:sz w:val="21"/>
                      <w:szCs w:val="21"/>
                    </w:rPr>
                    <w:t>0.86</w:t>
                  </w:r>
                </w:p>
              </w:tc>
              <w:tc>
                <w:tcPr>
                  <w:tcW w:w="851" w:type="dxa"/>
                </w:tcPr>
                <w:p w14:paraId="7EBD12F5" w14:textId="77777777" w:rsidR="00A8732F" w:rsidRPr="00A8732F" w:rsidRDefault="00A8732F">
                  <w:pPr>
                    <w:pStyle w:val="Compact"/>
                    <w:jc w:val="center"/>
                    <w:rPr>
                      <w:sz w:val="21"/>
                      <w:szCs w:val="21"/>
                    </w:rPr>
                  </w:pPr>
                  <w:r w:rsidRPr="00A8732F">
                    <w:rPr>
                      <w:sz w:val="21"/>
                      <w:szCs w:val="21"/>
                    </w:rPr>
                    <w:t>100%</w:t>
                  </w:r>
                </w:p>
              </w:tc>
              <w:tc>
                <w:tcPr>
                  <w:tcW w:w="851" w:type="dxa"/>
                </w:tcPr>
                <w:p w14:paraId="368D45B4" w14:textId="77777777" w:rsidR="00A8732F" w:rsidRPr="00A8732F" w:rsidRDefault="00A8732F">
                  <w:pPr>
                    <w:pStyle w:val="Compact"/>
                    <w:jc w:val="center"/>
                    <w:rPr>
                      <w:sz w:val="21"/>
                      <w:szCs w:val="21"/>
                    </w:rPr>
                  </w:pPr>
                  <w:r w:rsidRPr="00A8732F">
                    <w:rPr>
                      <w:sz w:val="21"/>
                      <w:szCs w:val="21"/>
                    </w:rPr>
                    <w:t>100%</w:t>
                  </w:r>
                </w:p>
              </w:tc>
              <w:tc>
                <w:tcPr>
                  <w:tcW w:w="850" w:type="dxa"/>
                </w:tcPr>
                <w:p w14:paraId="64B7E3A1" w14:textId="77777777" w:rsidR="00A8732F" w:rsidRPr="00A8732F" w:rsidRDefault="00A8732F">
                  <w:pPr>
                    <w:pStyle w:val="Compact"/>
                    <w:jc w:val="center"/>
                    <w:rPr>
                      <w:sz w:val="21"/>
                      <w:szCs w:val="21"/>
                    </w:rPr>
                  </w:pPr>
                  <w:r w:rsidRPr="00A8732F">
                    <w:rPr>
                      <w:sz w:val="21"/>
                      <w:szCs w:val="21"/>
                    </w:rPr>
                    <w:t>100%</w:t>
                  </w:r>
                </w:p>
              </w:tc>
              <w:tc>
                <w:tcPr>
                  <w:tcW w:w="851" w:type="dxa"/>
                </w:tcPr>
                <w:p w14:paraId="7DA47E23" w14:textId="77777777" w:rsidR="00A8732F" w:rsidRPr="00A8732F" w:rsidRDefault="00A8732F">
                  <w:pPr>
                    <w:pStyle w:val="Compact"/>
                    <w:jc w:val="center"/>
                    <w:rPr>
                      <w:sz w:val="21"/>
                      <w:szCs w:val="21"/>
                    </w:rPr>
                  </w:pPr>
                  <w:r w:rsidRPr="00A8732F">
                    <w:rPr>
                      <w:sz w:val="21"/>
                      <w:szCs w:val="21"/>
                    </w:rPr>
                    <w:t>100%</w:t>
                  </w:r>
                </w:p>
              </w:tc>
              <w:tc>
                <w:tcPr>
                  <w:tcW w:w="850" w:type="dxa"/>
                </w:tcPr>
                <w:p w14:paraId="2A87FF13" w14:textId="77777777" w:rsidR="00A8732F" w:rsidRPr="00A8732F" w:rsidRDefault="00A8732F">
                  <w:pPr>
                    <w:pStyle w:val="Compact"/>
                    <w:jc w:val="center"/>
                    <w:rPr>
                      <w:sz w:val="21"/>
                      <w:szCs w:val="21"/>
                    </w:rPr>
                  </w:pPr>
                  <w:r w:rsidRPr="00A8732F">
                    <w:rPr>
                      <w:sz w:val="21"/>
                      <w:szCs w:val="21"/>
                    </w:rPr>
                    <w:t>–</w:t>
                  </w:r>
                </w:p>
              </w:tc>
              <w:tc>
                <w:tcPr>
                  <w:tcW w:w="851" w:type="dxa"/>
                </w:tcPr>
                <w:p w14:paraId="3E514735" w14:textId="77777777" w:rsidR="00A8732F" w:rsidRPr="00A8732F" w:rsidRDefault="00A8732F">
                  <w:pPr>
                    <w:pStyle w:val="Compact"/>
                    <w:jc w:val="center"/>
                    <w:rPr>
                      <w:sz w:val="21"/>
                      <w:szCs w:val="21"/>
                    </w:rPr>
                  </w:pPr>
                  <w:r w:rsidRPr="00A8732F">
                    <w:rPr>
                      <w:sz w:val="21"/>
                      <w:szCs w:val="21"/>
                    </w:rPr>
                    <w:t>100%</w:t>
                  </w:r>
                </w:p>
              </w:tc>
              <w:tc>
                <w:tcPr>
                  <w:tcW w:w="991" w:type="dxa"/>
                </w:tcPr>
                <w:p w14:paraId="4F2584C9" w14:textId="77777777" w:rsidR="00A8732F" w:rsidRPr="00A8732F" w:rsidRDefault="00A8732F">
                  <w:pPr>
                    <w:pStyle w:val="Compact"/>
                    <w:jc w:val="center"/>
                    <w:rPr>
                      <w:sz w:val="21"/>
                      <w:szCs w:val="21"/>
                    </w:rPr>
                  </w:pPr>
                  <w:r w:rsidRPr="00A8732F">
                    <w:rPr>
                      <w:sz w:val="21"/>
                      <w:szCs w:val="21"/>
                    </w:rPr>
                    <w:t>0%</w:t>
                  </w:r>
                </w:p>
              </w:tc>
              <w:tc>
                <w:tcPr>
                  <w:tcW w:w="852" w:type="dxa"/>
                </w:tcPr>
                <w:p w14:paraId="6D63E643" w14:textId="77777777" w:rsidR="00A8732F" w:rsidRPr="00A8732F" w:rsidRDefault="00A8732F">
                  <w:pPr>
                    <w:pStyle w:val="Compact"/>
                    <w:jc w:val="center"/>
                    <w:rPr>
                      <w:sz w:val="21"/>
                      <w:szCs w:val="21"/>
                    </w:rPr>
                  </w:pPr>
                  <w:r w:rsidRPr="00A8732F">
                    <w:rPr>
                      <w:sz w:val="21"/>
                      <w:szCs w:val="21"/>
                    </w:rPr>
                    <w:t>–</w:t>
                  </w:r>
                </w:p>
              </w:tc>
            </w:tr>
            <w:tr w:rsidR="00000000" w:rsidRPr="00A8732F" w14:paraId="2ABD4E9D" w14:textId="77777777" w:rsidTr="00A8732F">
              <w:tc>
                <w:tcPr>
                  <w:tcW w:w="1147" w:type="dxa"/>
                </w:tcPr>
                <w:p w14:paraId="71452A0D" w14:textId="77777777" w:rsidR="00A8732F" w:rsidRPr="00A8732F" w:rsidRDefault="00A8732F">
                  <w:pPr>
                    <w:pStyle w:val="Compact"/>
                    <w:jc w:val="center"/>
                    <w:rPr>
                      <w:sz w:val="21"/>
                      <w:szCs w:val="21"/>
                    </w:rPr>
                  </w:pPr>
                  <w:r w:rsidRPr="00A8732F">
                    <w:rPr>
                      <w:b/>
                      <w:bCs/>
                      <w:sz w:val="21"/>
                      <w:szCs w:val="21"/>
                    </w:rPr>
                    <w:t>OYA518</w:t>
                  </w:r>
                </w:p>
              </w:tc>
              <w:tc>
                <w:tcPr>
                  <w:tcW w:w="851" w:type="dxa"/>
                </w:tcPr>
                <w:p w14:paraId="056B29D7" w14:textId="77777777" w:rsidR="00A8732F" w:rsidRPr="00A8732F" w:rsidRDefault="00A8732F">
                  <w:pPr>
                    <w:pStyle w:val="Compact"/>
                    <w:jc w:val="center"/>
                    <w:rPr>
                      <w:sz w:val="21"/>
                      <w:szCs w:val="21"/>
                    </w:rPr>
                  </w:pPr>
                  <w:r w:rsidRPr="00A8732F">
                    <w:rPr>
                      <w:sz w:val="21"/>
                      <w:szCs w:val="21"/>
                    </w:rPr>
                    <w:t>4.18</w:t>
                  </w:r>
                </w:p>
              </w:tc>
              <w:tc>
                <w:tcPr>
                  <w:tcW w:w="851" w:type="dxa"/>
                </w:tcPr>
                <w:p w14:paraId="7B30CCFB" w14:textId="77777777" w:rsidR="00A8732F" w:rsidRPr="00A8732F" w:rsidRDefault="00A8732F">
                  <w:pPr>
                    <w:pStyle w:val="Compact"/>
                    <w:jc w:val="center"/>
                    <w:rPr>
                      <w:sz w:val="21"/>
                      <w:szCs w:val="21"/>
                    </w:rPr>
                  </w:pPr>
                  <w:r w:rsidRPr="00A8732F">
                    <w:rPr>
                      <w:sz w:val="21"/>
                      <w:szCs w:val="21"/>
                    </w:rPr>
                    <w:t>99%</w:t>
                  </w:r>
                </w:p>
              </w:tc>
              <w:tc>
                <w:tcPr>
                  <w:tcW w:w="851" w:type="dxa"/>
                </w:tcPr>
                <w:p w14:paraId="1A34BC03" w14:textId="77777777" w:rsidR="00A8732F" w:rsidRPr="00A8732F" w:rsidRDefault="00A8732F">
                  <w:pPr>
                    <w:pStyle w:val="Compact"/>
                    <w:jc w:val="center"/>
                    <w:rPr>
                      <w:sz w:val="21"/>
                      <w:szCs w:val="21"/>
                    </w:rPr>
                  </w:pPr>
                  <w:r w:rsidRPr="00A8732F">
                    <w:rPr>
                      <w:sz w:val="21"/>
                      <w:szCs w:val="21"/>
                    </w:rPr>
                    <w:t>99%</w:t>
                  </w:r>
                </w:p>
              </w:tc>
              <w:tc>
                <w:tcPr>
                  <w:tcW w:w="850" w:type="dxa"/>
                </w:tcPr>
                <w:p w14:paraId="741D781C" w14:textId="77777777" w:rsidR="00A8732F" w:rsidRPr="00A8732F" w:rsidRDefault="00A8732F">
                  <w:pPr>
                    <w:pStyle w:val="Compact"/>
                    <w:jc w:val="center"/>
                    <w:rPr>
                      <w:sz w:val="21"/>
                      <w:szCs w:val="21"/>
                    </w:rPr>
                  </w:pPr>
                  <w:r w:rsidRPr="00A8732F">
                    <w:rPr>
                      <w:sz w:val="21"/>
                      <w:szCs w:val="21"/>
                    </w:rPr>
                    <w:t>97%</w:t>
                  </w:r>
                </w:p>
              </w:tc>
              <w:tc>
                <w:tcPr>
                  <w:tcW w:w="851" w:type="dxa"/>
                </w:tcPr>
                <w:p w14:paraId="2995ACC7" w14:textId="77777777" w:rsidR="00A8732F" w:rsidRPr="00A8732F" w:rsidRDefault="00A8732F">
                  <w:pPr>
                    <w:pStyle w:val="Compact"/>
                    <w:jc w:val="center"/>
                    <w:rPr>
                      <w:sz w:val="21"/>
                      <w:szCs w:val="21"/>
                    </w:rPr>
                  </w:pPr>
                  <w:r w:rsidRPr="00A8732F">
                    <w:rPr>
                      <w:sz w:val="21"/>
                      <w:szCs w:val="21"/>
                    </w:rPr>
                    <w:t>99%</w:t>
                  </w:r>
                </w:p>
              </w:tc>
              <w:tc>
                <w:tcPr>
                  <w:tcW w:w="850" w:type="dxa"/>
                </w:tcPr>
                <w:p w14:paraId="6E1229A1" w14:textId="77777777" w:rsidR="00A8732F" w:rsidRPr="00A8732F" w:rsidRDefault="00A8732F">
                  <w:pPr>
                    <w:pStyle w:val="Compact"/>
                    <w:jc w:val="center"/>
                    <w:rPr>
                      <w:sz w:val="21"/>
                      <w:szCs w:val="21"/>
                    </w:rPr>
                  </w:pPr>
                  <w:r w:rsidRPr="00A8732F">
                    <w:rPr>
                      <w:sz w:val="21"/>
                      <w:szCs w:val="21"/>
                    </w:rPr>
                    <w:t>99%</w:t>
                  </w:r>
                </w:p>
              </w:tc>
              <w:tc>
                <w:tcPr>
                  <w:tcW w:w="851" w:type="dxa"/>
                </w:tcPr>
                <w:p w14:paraId="49D3EF70" w14:textId="77777777" w:rsidR="00A8732F" w:rsidRPr="00A8732F" w:rsidRDefault="00A8732F">
                  <w:pPr>
                    <w:pStyle w:val="Compact"/>
                    <w:jc w:val="center"/>
                    <w:rPr>
                      <w:sz w:val="21"/>
                      <w:szCs w:val="21"/>
                    </w:rPr>
                  </w:pPr>
                  <w:r w:rsidRPr="00A8732F">
                    <w:rPr>
                      <w:sz w:val="21"/>
                      <w:szCs w:val="21"/>
                    </w:rPr>
                    <w:t>99%</w:t>
                  </w:r>
                </w:p>
              </w:tc>
              <w:tc>
                <w:tcPr>
                  <w:tcW w:w="991" w:type="dxa"/>
                </w:tcPr>
                <w:p w14:paraId="62956F61" w14:textId="77777777" w:rsidR="00A8732F" w:rsidRPr="00A8732F" w:rsidRDefault="00A8732F">
                  <w:pPr>
                    <w:pStyle w:val="Compact"/>
                    <w:jc w:val="center"/>
                    <w:rPr>
                      <w:sz w:val="21"/>
                      <w:szCs w:val="21"/>
                    </w:rPr>
                  </w:pPr>
                  <w:r w:rsidRPr="00A8732F">
                    <w:rPr>
                      <w:sz w:val="21"/>
                      <w:szCs w:val="21"/>
                    </w:rPr>
                    <w:t>0%</w:t>
                  </w:r>
                </w:p>
              </w:tc>
              <w:tc>
                <w:tcPr>
                  <w:tcW w:w="852" w:type="dxa"/>
                </w:tcPr>
                <w:p w14:paraId="19DED852" w14:textId="77777777" w:rsidR="00A8732F" w:rsidRPr="00A8732F" w:rsidRDefault="00A8732F">
                  <w:pPr>
                    <w:pStyle w:val="Compact"/>
                    <w:jc w:val="center"/>
                    <w:rPr>
                      <w:sz w:val="21"/>
                      <w:szCs w:val="21"/>
                    </w:rPr>
                  </w:pPr>
                  <w:r w:rsidRPr="00A8732F">
                    <w:rPr>
                      <w:sz w:val="21"/>
                      <w:szCs w:val="21"/>
                    </w:rPr>
                    <w:t>–</w:t>
                  </w:r>
                </w:p>
              </w:tc>
            </w:tr>
            <w:tr w:rsidR="00000000" w:rsidRPr="00A8732F" w14:paraId="7D60CB4C" w14:textId="77777777" w:rsidTr="00A8732F">
              <w:tc>
                <w:tcPr>
                  <w:tcW w:w="1147" w:type="dxa"/>
                </w:tcPr>
                <w:p w14:paraId="3B7D96A8" w14:textId="77777777" w:rsidR="00A8732F" w:rsidRPr="00A8732F" w:rsidRDefault="00A8732F">
                  <w:pPr>
                    <w:pStyle w:val="Compact"/>
                    <w:jc w:val="center"/>
                    <w:rPr>
                      <w:sz w:val="21"/>
                      <w:szCs w:val="21"/>
                    </w:rPr>
                  </w:pPr>
                  <w:r w:rsidRPr="00A8732F">
                    <w:rPr>
                      <w:b/>
                      <w:bCs/>
                      <w:sz w:val="21"/>
                      <w:szCs w:val="21"/>
                    </w:rPr>
                    <w:t>OYA780</w:t>
                  </w:r>
                </w:p>
              </w:tc>
              <w:tc>
                <w:tcPr>
                  <w:tcW w:w="851" w:type="dxa"/>
                </w:tcPr>
                <w:p w14:paraId="5C0978A8" w14:textId="77777777" w:rsidR="00A8732F" w:rsidRPr="00A8732F" w:rsidRDefault="00A8732F">
                  <w:pPr>
                    <w:pStyle w:val="Compact"/>
                    <w:jc w:val="center"/>
                    <w:rPr>
                      <w:sz w:val="21"/>
                      <w:szCs w:val="21"/>
                    </w:rPr>
                  </w:pPr>
                  <w:r w:rsidRPr="00A8732F">
                    <w:rPr>
                      <w:sz w:val="21"/>
                      <w:szCs w:val="21"/>
                    </w:rPr>
                    <w:t>9.83</w:t>
                  </w:r>
                </w:p>
              </w:tc>
              <w:tc>
                <w:tcPr>
                  <w:tcW w:w="851" w:type="dxa"/>
                </w:tcPr>
                <w:p w14:paraId="7266A5C3" w14:textId="77777777" w:rsidR="00A8732F" w:rsidRPr="00A8732F" w:rsidRDefault="00A8732F">
                  <w:pPr>
                    <w:pStyle w:val="Compact"/>
                    <w:jc w:val="center"/>
                    <w:rPr>
                      <w:sz w:val="21"/>
                      <w:szCs w:val="21"/>
                    </w:rPr>
                  </w:pPr>
                  <w:r w:rsidRPr="00A8732F">
                    <w:rPr>
                      <w:sz w:val="21"/>
                      <w:szCs w:val="21"/>
                    </w:rPr>
                    <w:t>99%</w:t>
                  </w:r>
                </w:p>
              </w:tc>
              <w:tc>
                <w:tcPr>
                  <w:tcW w:w="851" w:type="dxa"/>
                </w:tcPr>
                <w:p w14:paraId="66F216C9" w14:textId="77777777" w:rsidR="00A8732F" w:rsidRPr="00A8732F" w:rsidRDefault="00A8732F">
                  <w:pPr>
                    <w:pStyle w:val="Compact"/>
                    <w:jc w:val="center"/>
                    <w:rPr>
                      <w:sz w:val="21"/>
                      <w:szCs w:val="21"/>
                    </w:rPr>
                  </w:pPr>
                  <w:r w:rsidRPr="00A8732F">
                    <w:rPr>
                      <w:sz w:val="21"/>
                      <w:szCs w:val="21"/>
                    </w:rPr>
                    <w:t>99%</w:t>
                  </w:r>
                </w:p>
              </w:tc>
              <w:tc>
                <w:tcPr>
                  <w:tcW w:w="850" w:type="dxa"/>
                </w:tcPr>
                <w:p w14:paraId="7060FAE7" w14:textId="77777777" w:rsidR="00A8732F" w:rsidRPr="00A8732F" w:rsidRDefault="00A8732F">
                  <w:pPr>
                    <w:pStyle w:val="Compact"/>
                    <w:jc w:val="center"/>
                    <w:rPr>
                      <w:sz w:val="21"/>
                      <w:szCs w:val="21"/>
                    </w:rPr>
                  </w:pPr>
                  <w:r w:rsidRPr="00A8732F">
                    <w:rPr>
                      <w:sz w:val="21"/>
                      <w:szCs w:val="21"/>
                    </w:rPr>
                    <w:t>98%</w:t>
                  </w:r>
                </w:p>
              </w:tc>
              <w:tc>
                <w:tcPr>
                  <w:tcW w:w="851" w:type="dxa"/>
                </w:tcPr>
                <w:p w14:paraId="5386609C" w14:textId="77777777" w:rsidR="00A8732F" w:rsidRPr="00A8732F" w:rsidRDefault="00A8732F">
                  <w:pPr>
                    <w:pStyle w:val="Compact"/>
                    <w:jc w:val="center"/>
                    <w:rPr>
                      <w:sz w:val="21"/>
                      <w:szCs w:val="21"/>
                    </w:rPr>
                  </w:pPr>
                  <w:r w:rsidRPr="00A8732F">
                    <w:rPr>
                      <w:sz w:val="21"/>
                      <w:szCs w:val="21"/>
                    </w:rPr>
                    <w:t>99%</w:t>
                  </w:r>
                </w:p>
              </w:tc>
              <w:tc>
                <w:tcPr>
                  <w:tcW w:w="850" w:type="dxa"/>
                </w:tcPr>
                <w:p w14:paraId="653521B4" w14:textId="77777777" w:rsidR="00A8732F" w:rsidRPr="00A8732F" w:rsidRDefault="00A8732F">
                  <w:pPr>
                    <w:pStyle w:val="Compact"/>
                    <w:jc w:val="center"/>
                    <w:rPr>
                      <w:sz w:val="21"/>
                      <w:szCs w:val="21"/>
                    </w:rPr>
                  </w:pPr>
                  <w:r w:rsidRPr="00A8732F">
                    <w:rPr>
                      <w:sz w:val="21"/>
                      <w:szCs w:val="21"/>
                    </w:rPr>
                    <w:t>99%</w:t>
                  </w:r>
                </w:p>
              </w:tc>
              <w:tc>
                <w:tcPr>
                  <w:tcW w:w="851" w:type="dxa"/>
                </w:tcPr>
                <w:p w14:paraId="425AD8D9" w14:textId="77777777" w:rsidR="00A8732F" w:rsidRPr="00A8732F" w:rsidRDefault="00A8732F">
                  <w:pPr>
                    <w:pStyle w:val="Compact"/>
                    <w:jc w:val="center"/>
                    <w:rPr>
                      <w:sz w:val="21"/>
                      <w:szCs w:val="21"/>
                    </w:rPr>
                  </w:pPr>
                  <w:r w:rsidRPr="00A8732F">
                    <w:rPr>
                      <w:sz w:val="21"/>
                      <w:szCs w:val="21"/>
                    </w:rPr>
                    <w:t>99%</w:t>
                  </w:r>
                </w:p>
              </w:tc>
              <w:tc>
                <w:tcPr>
                  <w:tcW w:w="991" w:type="dxa"/>
                </w:tcPr>
                <w:p w14:paraId="323DCA3C" w14:textId="77777777" w:rsidR="00A8732F" w:rsidRPr="00A8732F" w:rsidRDefault="00A8732F">
                  <w:pPr>
                    <w:pStyle w:val="Compact"/>
                    <w:jc w:val="center"/>
                    <w:rPr>
                      <w:sz w:val="21"/>
                      <w:szCs w:val="21"/>
                    </w:rPr>
                  </w:pPr>
                  <w:r w:rsidRPr="00A8732F">
                    <w:rPr>
                      <w:sz w:val="21"/>
                      <w:szCs w:val="21"/>
                    </w:rPr>
                    <w:t>0%</w:t>
                  </w:r>
                </w:p>
              </w:tc>
              <w:tc>
                <w:tcPr>
                  <w:tcW w:w="852" w:type="dxa"/>
                </w:tcPr>
                <w:p w14:paraId="07842BA1" w14:textId="77777777" w:rsidR="00A8732F" w:rsidRPr="00A8732F" w:rsidRDefault="00A8732F">
                  <w:pPr>
                    <w:pStyle w:val="Compact"/>
                    <w:jc w:val="center"/>
                    <w:rPr>
                      <w:sz w:val="21"/>
                      <w:szCs w:val="21"/>
                    </w:rPr>
                  </w:pPr>
                  <w:r w:rsidRPr="00A8732F">
                    <w:rPr>
                      <w:sz w:val="21"/>
                      <w:szCs w:val="21"/>
                    </w:rPr>
                    <w:t>–</w:t>
                  </w:r>
                </w:p>
              </w:tc>
            </w:tr>
            <w:tr w:rsidR="00000000" w:rsidRPr="00A8732F" w14:paraId="415C7DAF" w14:textId="77777777" w:rsidTr="00A8732F">
              <w:tc>
                <w:tcPr>
                  <w:tcW w:w="1147" w:type="dxa"/>
                </w:tcPr>
                <w:p w14:paraId="05641DDF" w14:textId="77777777" w:rsidR="00A8732F" w:rsidRPr="00A8732F" w:rsidRDefault="00A8732F">
                  <w:pPr>
                    <w:pStyle w:val="Compact"/>
                    <w:jc w:val="center"/>
                    <w:rPr>
                      <w:sz w:val="21"/>
                      <w:szCs w:val="21"/>
                    </w:rPr>
                  </w:pPr>
                  <w:r w:rsidRPr="00A8732F">
                    <w:rPr>
                      <w:b/>
                      <w:bCs/>
                      <w:sz w:val="21"/>
                      <w:szCs w:val="21"/>
                    </w:rPr>
                    <w:t>OYA862</w:t>
                  </w:r>
                </w:p>
              </w:tc>
              <w:tc>
                <w:tcPr>
                  <w:tcW w:w="851" w:type="dxa"/>
                </w:tcPr>
                <w:p w14:paraId="6CDA9FD8" w14:textId="77777777" w:rsidR="00A8732F" w:rsidRPr="00A8732F" w:rsidRDefault="00A8732F">
                  <w:pPr>
                    <w:pStyle w:val="Compact"/>
                    <w:jc w:val="center"/>
                    <w:rPr>
                      <w:sz w:val="21"/>
                      <w:szCs w:val="21"/>
                    </w:rPr>
                  </w:pPr>
                  <w:r w:rsidRPr="00A8732F">
                    <w:rPr>
                      <w:sz w:val="21"/>
                      <w:szCs w:val="21"/>
                    </w:rPr>
                    <w:t>8.67</w:t>
                  </w:r>
                </w:p>
              </w:tc>
              <w:tc>
                <w:tcPr>
                  <w:tcW w:w="851" w:type="dxa"/>
                </w:tcPr>
                <w:p w14:paraId="1A330547" w14:textId="77777777" w:rsidR="00A8732F" w:rsidRPr="00A8732F" w:rsidRDefault="00A8732F">
                  <w:pPr>
                    <w:pStyle w:val="Compact"/>
                    <w:jc w:val="center"/>
                    <w:rPr>
                      <w:sz w:val="21"/>
                      <w:szCs w:val="21"/>
                    </w:rPr>
                  </w:pPr>
                  <w:r w:rsidRPr="00A8732F">
                    <w:rPr>
                      <w:sz w:val="21"/>
                      <w:szCs w:val="21"/>
                    </w:rPr>
                    <w:t>86%</w:t>
                  </w:r>
                </w:p>
              </w:tc>
              <w:tc>
                <w:tcPr>
                  <w:tcW w:w="851" w:type="dxa"/>
                </w:tcPr>
                <w:p w14:paraId="325E262C" w14:textId="77777777" w:rsidR="00A8732F" w:rsidRPr="00A8732F" w:rsidRDefault="00A8732F">
                  <w:pPr>
                    <w:pStyle w:val="Compact"/>
                    <w:jc w:val="center"/>
                    <w:rPr>
                      <w:sz w:val="21"/>
                      <w:szCs w:val="21"/>
                    </w:rPr>
                  </w:pPr>
                  <w:r w:rsidRPr="00A8732F">
                    <w:rPr>
                      <w:sz w:val="21"/>
                      <w:szCs w:val="21"/>
                    </w:rPr>
                    <w:t>91%</w:t>
                  </w:r>
                </w:p>
              </w:tc>
              <w:tc>
                <w:tcPr>
                  <w:tcW w:w="850" w:type="dxa"/>
                </w:tcPr>
                <w:p w14:paraId="60EB345C" w14:textId="77777777" w:rsidR="00A8732F" w:rsidRPr="00A8732F" w:rsidRDefault="00A8732F">
                  <w:pPr>
                    <w:pStyle w:val="Compact"/>
                    <w:jc w:val="center"/>
                    <w:rPr>
                      <w:sz w:val="21"/>
                      <w:szCs w:val="21"/>
                    </w:rPr>
                  </w:pPr>
                  <w:r w:rsidRPr="00A8732F">
                    <w:rPr>
                      <w:sz w:val="21"/>
                      <w:szCs w:val="21"/>
                    </w:rPr>
                    <w:t>86%</w:t>
                  </w:r>
                </w:p>
              </w:tc>
              <w:tc>
                <w:tcPr>
                  <w:tcW w:w="851" w:type="dxa"/>
                </w:tcPr>
                <w:p w14:paraId="3A44871D" w14:textId="77777777" w:rsidR="00A8732F" w:rsidRPr="00A8732F" w:rsidRDefault="00A8732F">
                  <w:pPr>
                    <w:pStyle w:val="Compact"/>
                    <w:jc w:val="center"/>
                    <w:rPr>
                      <w:sz w:val="21"/>
                      <w:szCs w:val="21"/>
                    </w:rPr>
                  </w:pPr>
                  <w:r w:rsidRPr="00A8732F">
                    <w:rPr>
                      <w:sz w:val="21"/>
                      <w:szCs w:val="21"/>
                    </w:rPr>
                    <w:t>91%</w:t>
                  </w:r>
                </w:p>
              </w:tc>
              <w:tc>
                <w:tcPr>
                  <w:tcW w:w="850" w:type="dxa"/>
                </w:tcPr>
                <w:p w14:paraId="72002745" w14:textId="77777777" w:rsidR="00A8732F" w:rsidRPr="00A8732F" w:rsidRDefault="00A8732F">
                  <w:pPr>
                    <w:pStyle w:val="Compact"/>
                    <w:jc w:val="center"/>
                    <w:rPr>
                      <w:sz w:val="21"/>
                      <w:szCs w:val="21"/>
                    </w:rPr>
                  </w:pPr>
                  <w:r w:rsidRPr="00A8732F">
                    <w:rPr>
                      <w:sz w:val="21"/>
                      <w:szCs w:val="21"/>
                    </w:rPr>
                    <w:t>9%</w:t>
                  </w:r>
                </w:p>
              </w:tc>
              <w:tc>
                <w:tcPr>
                  <w:tcW w:w="851" w:type="dxa"/>
                </w:tcPr>
                <w:p w14:paraId="0AEF63B4" w14:textId="77777777" w:rsidR="00A8732F" w:rsidRPr="00A8732F" w:rsidRDefault="00A8732F">
                  <w:pPr>
                    <w:pStyle w:val="Compact"/>
                    <w:jc w:val="center"/>
                    <w:rPr>
                      <w:sz w:val="21"/>
                      <w:szCs w:val="21"/>
                    </w:rPr>
                  </w:pPr>
                  <w:r w:rsidRPr="00A8732F">
                    <w:rPr>
                      <w:sz w:val="21"/>
                      <w:szCs w:val="21"/>
                    </w:rPr>
                    <w:t>0%</w:t>
                  </w:r>
                </w:p>
              </w:tc>
              <w:tc>
                <w:tcPr>
                  <w:tcW w:w="991" w:type="dxa"/>
                </w:tcPr>
                <w:p w14:paraId="1CD09795" w14:textId="77777777" w:rsidR="00A8732F" w:rsidRPr="00A8732F" w:rsidRDefault="00A8732F">
                  <w:pPr>
                    <w:pStyle w:val="Compact"/>
                    <w:jc w:val="center"/>
                    <w:rPr>
                      <w:sz w:val="21"/>
                      <w:szCs w:val="21"/>
                    </w:rPr>
                  </w:pPr>
                  <w:r w:rsidRPr="00A8732F">
                    <w:rPr>
                      <w:sz w:val="21"/>
                      <w:szCs w:val="21"/>
                    </w:rPr>
                    <w:t>0%</w:t>
                  </w:r>
                </w:p>
              </w:tc>
              <w:tc>
                <w:tcPr>
                  <w:tcW w:w="852" w:type="dxa"/>
                </w:tcPr>
                <w:p w14:paraId="0953E289" w14:textId="77777777" w:rsidR="00A8732F" w:rsidRPr="00A8732F" w:rsidRDefault="00A8732F">
                  <w:pPr>
                    <w:pStyle w:val="Compact"/>
                    <w:jc w:val="center"/>
                    <w:rPr>
                      <w:sz w:val="21"/>
                      <w:szCs w:val="21"/>
                    </w:rPr>
                  </w:pPr>
                  <w:r w:rsidRPr="00A8732F">
                    <w:rPr>
                      <w:sz w:val="21"/>
                      <w:szCs w:val="21"/>
                    </w:rPr>
                    <w:t>–</w:t>
                  </w:r>
                </w:p>
              </w:tc>
            </w:tr>
            <w:tr w:rsidR="00000000" w:rsidRPr="00A8732F" w14:paraId="529F3698" w14:textId="77777777" w:rsidTr="00A8732F">
              <w:tc>
                <w:tcPr>
                  <w:tcW w:w="1147" w:type="dxa"/>
                </w:tcPr>
                <w:p w14:paraId="144E706D" w14:textId="77777777" w:rsidR="00A8732F" w:rsidRPr="00A8732F" w:rsidRDefault="00A8732F">
                  <w:pPr>
                    <w:pStyle w:val="Compact"/>
                    <w:jc w:val="center"/>
                    <w:rPr>
                      <w:sz w:val="21"/>
                      <w:szCs w:val="21"/>
                    </w:rPr>
                  </w:pPr>
                  <w:r w:rsidRPr="00A8732F">
                    <w:rPr>
                      <w:b/>
                      <w:bCs/>
                      <w:sz w:val="21"/>
                      <w:szCs w:val="21"/>
                    </w:rPr>
                    <w:t>OYA1069</w:t>
                  </w:r>
                </w:p>
              </w:tc>
              <w:tc>
                <w:tcPr>
                  <w:tcW w:w="851" w:type="dxa"/>
                </w:tcPr>
                <w:p w14:paraId="203BD4E0" w14:textId="77777777" w:rsidR="00A8732F" w:rsidRPr="00A8732F" w:rsidRDefault="00A8732F">
                  <w:pPr>
                    <w:pStyle w:val="Compact"/>
                    <w:jc w:val="center"/>
                    <w:rPr>
                      <w:sz w:val="21"/>
                      <w:szCs w:val="21"/>
                    </w:rPr>
                  </w:pPr>
                  <w:r w:rsidRPr="00A8732F">
                    <w:rPr>
                      <w:sz w:val="21"/>
                      <w:szCs w:val="21"/>
                    </w:rPr>
                    <w:t>10.75</w:t>
                  </w:r>
                </w:p>
              </w:tc>
              <w:tc>
                <w:tcPr>
                  <w:tcW w:w="851" w:type="dxa"/>
                </w:tcPr>
                <w:p w14:paraId="32624F98" w14:textId="77777777" w:rsidR="00A8732F" w:rsidRPr="00A8732F" w:rsidRDefault="00A8732F">
                  <w:pPr>
                    <w:pStyle w:val="Compact"/>
                    <w:jc w:val="center"/>
                    <w:rPr>
                      <w:sz w:val="21"/>
                      <w:szCs w:val="21"/>
                    </w:rPr>
                  </w:pPr>
                  <w:r w:rsidRPr="00A8732F">
                    <w:rPr>
                      <w:sz w:val="21"/>
                      <w:szCs w:val="21"/>
                    </w:rPr>
                    <w:t>0%</w:t>
                  </w:r>
                </w:p>
              </w:tc>
              <w:tc>
                <w:tcPr>
                  <w:tcW w:w="851" w:type="dxa"/>
                </w:tcPr>
                <w:p w14:paraId="0094593B" w14:textId="77777777" w:rsidR="00A8732F" w:rsidRPr="00A8732F" w:rsidRDefault="00A8732F">
                  <w:pPr>
                    <w:pStyle w:val="Compact"/>
                    <w:jc w:val="center"/>
                    <w:rPr>
                      <w:sz w:val="21"/>
                      <w:szCs w:val="21"/>
                    </w:rPr>
                  </w:pPr>
                  <w:r w:rsidRPr="00A8732F">
                    <w:rPr>
                      <w:sz w:val="21"/>
                      <w:szCs w:val="21"/>
                    </w:rPr>
                    <w:t>17%</w:t>
                  </w:r>
                </w:p>
              </w:tc>
              <w:tc>
                <w:tcPr>
                  <w:tcW w:w="850" w:type="dxa"/>
                </w:tcPr>
                <w:p w14:paraId="562FEC32" w14:textId="77777777" w:rsidR="00A8732F" w:rsidRPr="00A8732F" w:rsidRDefault="00A8732F">
                  <w:pPr>
                    <w:pStyle w:val="Compact"/>
                    <w:jc w:val="center"/>
                    <w:rPr>
                      <w:sz w:val="21"/>
                      <w:szCs w:val="21"/>
                    </w:rPr>
                  </w:pPr>
                  <w:r w:rsidRPr="00A8732F">
                    <w:rPr>
                      <w:sz w:val="21"/>
                      <w:szCs w:val="21"/>
                    </w:rPr>
                    <w:t>0%</w:t>
                  </w:r>
                </w:p>
              </w:tc>
              <w:tc>
                <w:tcPr>
                  <w:tcW w:w="851" w:type="dxa"/>
                </w:tcPr>
                <w:p w14:paraId="07852A1D" w14:textId="77777777" w:rsidR="00A8732F" w:rsidRPr="00A8732F" w:rsidRDefault="00A8732F">
                  <w:pPr>
                    <w:pStyle w:val="Compact"/>
                    <w:jc w:val="center"/>
                    <w:rPr>
                      <w:sz w:val="21"/>
                      <w:szCs w:val="21"/>
                    </w:rPr>
                  </w:pPr>
                  <w:r w:rsidRPr="00A8732F">
                    <w:rPr>
                      <w:sz w:val="21"/>
                      <w:szCs w:val="21"/>
                    </w:rPr>
                    <w:t>17%</w:t>
                  </w:r>
                </w:p>
              </w:tc>
              <w:tc>
                <w:tcPr>
                  <w:tcW w:w="850" w:type="dxa"/>
                </w:tcPr>
                <w:p w14:paraId="1AAD415A" w14:textId="77777777" w:rsidR="00A8732F" w:rsidRPr="00A8732F" w:rsidRDefault="00A8732F">
                  <w:pPr>
                    <w:pStyle w:val="Compact"/>
                    <w:jc w:val="center"/>
                    <w:rPr>
                      <w:sz w:val="21"/>
                      <w:szCs w:val="21"/>
                    </w:rPr>
                  </w:pPr>
                  <w:r w:rsidRPr="00A8732F">
                    <w:rPr>
                      <w:sz w:val="21"/>
                      <w:szCs w:val="21"/>
                    </w:rPr>
                    <w:t>17%</w:t>
                  </w:r>
                </w:p>
              </w:tc>
              <w:tc>
                <w:tcPr>
                  <w:tcW w:w="851" w:type="dxa"/>
                </w:tcPr>
                <w:p w14:paraId="03B0D09F" w14:textId="77777777" w:rsidR="00A8732F" w:rsidRPr="00A8732F" w:rsidRDefault="00A8732F">
                  <w:pPr>
                    <w:pStyle w:val="Compact"/>
                    <w:jc w:val="center"/>
                    <w:rPr>
                      <w:sz w:val="21"/>
                      <w:szCs w:val="21"/>
                    </w:rPr>
                  </w:pPr>
                  <w:r w:rsidRPr="00A8732F">
                    <w:rPr>
                      <w:sz w:val="21"/>
                      <w:szCs w:val="21"/>
                    </w:rPr>
                    <w:t>0%</w:t>
                  </w:r>
                </w:p>
              </w:tc>
              <w:tc>
                <w:tcPr>
                  <w:tcW w:w="991" w:type="dxa"/>
                </w:tcPr>
                <w:p w14:paraId="31401CB5" w14:textId="77777777" w:rsidR="00A8732F" w:rsidRPr="00A8732F" w:rsidRDefault="00A8732F">
                  <w:pPr>
                    <w:pStyle w:val="Compact"/>
                    <w:jc w:val="center"/>
                    <w:rPr>
                      <w:sz w:val="21"/>
                      <w:szCs w:val="21"/>
                    </w:rPr>
                  </w:pPr>
                  <w:r w:rsidRPr="00A8732F">
                    <w:rPr>
                      <w:sz w:val="21"/>
                      <w:szCs w:val="21"/>
                    </w:rPr>
                    <w:t>0%</w:t>
                  </w:r>
                </w:p>
              </w:tc>
              <w:tc>
                <w:tcPr>
                  <w:tcW w:w="852" w:type="dxa"/>
                </w:tcPr>
                <w:p w14:paraId="039A2765" w14:textId="77777777" w:rsidR="00A8732F" w:rsidRPr="00A8732F" w:rsidRDefault="00A8732F">
                  <w:pPr>
                    <w:pStyle w:val="Compact"/>
                    <w:jc w:val="center"/>
                    <w:rPr>
                      <w:sz w:val="21"/>
                      <w:szCs w:val="21"/>
                    </w:rPr>
                  </w:pPr>
                  <w:r w:rsidRPr="00A8732F">
                    <w:rPr>
                      <w:sz w:val="21"/>
                      <w:szCs w:val="21"/>
                    </w:rPr>
                    <w:t>–</w:t>
                  </w:r>
                </w:p>
              </w:tc>
            </w:tr>
            <w:tr w:rsidR="00000000" w:rsidRPr="00A8732F" w14:paraId="02668F9F" w14:textId="77777777" w:rsidTr="00A8732F">
              <w:tc>
                <w:tcPr>
                  <w:tcW w:w="1147" w:type="dxa"/>
                </w:tcPr>
                <w:p w14:paraId="40FE3C70" w14:textId="77777777" w:rsidR="00A8732F" w:rsidRPr="00A8732F" w:rsidRDefault="00A8732F">
                  <w:pPr>
                    <w:pStyle w:val="Compact"/>
                    <w:jc w:val="center"/>
                    <w:rPr>
                      <w:sz w:val="21"/>
                      <w:szCs w:val="21"/>
                    </w:rPr>
                  </w:pPr>
                  <w:r w:rsidRPr="00A8732F">
                    <w:rPr>
                      <w:b/>
                      <w:bCs/>
                      <w:sz w:val="21"/>
                      <w:szCs w:val="21"/>
                    </w:rPr>
                    <w:t>OYA1128</w:t>
                  </w:r>
                </w:p>
              </w:tc>
              <w:tc>
                <w:tcPr>
                  <w:tcW w:w="851" w:type="dxa"/>
                </w:tcPr>
                <w:p w14:paraId="746158A5" w14:textId="77777777" w:rsidR="00A8732F" w:rsidRPr="00A8732F" w:rsidRDefault="00A8732F">
                  <w:pPr>
                    <w:pStyle w:val="Compact"/>
                    <w:jc w:val="center"/>
                    <w:rPr>
                      <w:sz w:val="21"/>
                      <w:szCs w:val="21"/>
                    </w:rPr>
                  </w:pPr>
                  <w:r w:rsidRPr="00A8732F">
                    <w:rPr>
                      <w:sz w:val="21"/>
                      <w:szCs w:val="21"/>
                    </w:rPr>
                    <w:t>12.92</w:t>
                  </w:r>
                </w:p>
              </w:tc>
              <w:tc>
                <w:tcPr>
                  <w:tcW w:w="851" w:type="dxa"/>
                </w:tcPr>
                <w:p w14:paraId="5592A87A" w14:textId="77777777" w:rsidR="00A8732F" w:rsidRPr="00A8732F" w:rsidRDefault="00A8732F">
                  <w:pPr>
                    <w:pStyle w:val="Compact"/>
                    <w:jc w:val="center"/>
                    <w:rPr>
                      <w:sz w:val="21"/>
                      <w:szCs w:val="21"/>
                    </w:rPr>
                  </w:pPr>
                  <w:r w:rsidRPr="00A8732F">
                    <w:rPr>
                      <w:sz w:val="21"/>
                      <w:szCs w:val="21"/>
                    </w:rPr>
                    <w:t>100%</w:t>
                  </w:r>
                </w:p>
              </w:tc>
              <w:tc>
                <w:tcPr>
                  <w:tcW w:w="851" w:type="dxa"/>
                </w:tcPr>
                <w:p w14:paraId="765637CB" w14:textId="77777777" w:rsidR="00A8732F" w:rsidRPr="00A8732F" w:rsidRDefault="00A8732F">
                  <w:pPr>
                    <w:pStyle w:val="Compact"/>
                    <w:jc w:val="center"/>
                    <w:rPr>
                      <w:sz w:val="21"/>
                      <w:szCs w:val="21"/>
                    </w:rPr>
                  </w:pPr>
                  <w:r w:rsidRPr="00A8732F">
                    <w:rPr>
                      <w:sz w:val="21"/>
                      <w:szCs w:val="21"/>
                    </w:rPr>
                    <w:t>100%</w:t>
                  </w:r>
                </w:p>
              </w:tc>
              <w:tc>
                <w:tcPr>
                  <w:tcW w:w="850" w:type="dxa"/>
                </w:tcPr>
                <w:p w14:paraId="64A76107" w14:textId="77777777" w:rsidR="00A8732F" w:rsidRPr="00A8732F" w:rsidRDefault="00A8732F">
                  <w:pPr>
                    <w:pStyle w:val="Compact"/>
                    <w:jc w:val="center"/>
                    <w:rPr>
                      <w:sz w:val="21"/>
                      <w:szCs w:val="21"/>
                    </w:rPr>
                  </w:pPr>
                  <w:r w:rsidRPr="00A8732F">
                    <w:rPr>
                      <w:sz w:val="21"/>
                      <w:szCs w:val="21"/>
                    </w:rPr>
                    <w:t>100%</w:t>
                  </w:r>
                </w:p>
              </w:tc>
              <w:tc>
                <w:tcPr>
                  <w:tcW w:w="851" w:type="dxa"/>
                </w:tcPr>
                <w:p w14:paraId="0442342B" w14:textId="77777777" w:rsidR="00A8732F" w:rsidRPr="00A8732F" w:rsidRDefault="00A8732F">
                  <w:pPr>
                    <w:pStyle w:val="Compact"/>
                    <w:jc w:val="center"/>
                    <w:rPr>
                      <w:sz w:val="21"/>
                      <w:szCs w:val="21"/>
                    </w:rPr>
                  </w:pPr>
                  <w:r w:rsidRPr="00A8732F">
                    <w:rPr>
                      <w:sz w:val="21"/>
                      <w:szCs w:val="21"/>
                    </w:rPr>
                    <w:t>100%</w:t>
                  </w:r>
                </w:p>
              </w:tc>
              <w:tc>
                <w:tcPr>
                  <w:tcW w:w="850" w:type="dxa"/>
                </w:tcPr>
                <w:p w14:paraId="7AD81B4D" w14:textId="77777777" w:rsidR="00A8732F" w:rsidRPr="00A8732F" w:rsidRDefault="00A8732F">
                  <w:pPr>
                    <w:pStyle w:val="Compact"/>
                    <w:jc w:val="center"/>
                    <w:rPr>
                      <w:sz w:val="21"/>
                      <w:szCs w:val="21"/>
                    </w:rPr>
                  </w:pPr>
                  <w:r w:rsidRPr="00A8732F">
                    <w:rPr>
                      <w:sz w:val="21"/>
                      <w:szCs w:val="21"/>
                    </w:rPr>
                    <w:t>100%</w:t>
                  </w:r>
                </w:p>
              </w:tc>
              <w:tc>
                <w:tcPr>
                  <w:tcW w:w="851" w:type="dxa"/>
                </w:tcPr>
                <w:p w14:paraId="4F9C5654" w14:textId="77777777" w:rsidR="00A8732F" w:rsidRPr="00A8732F" w:rsidRDefault="00A8732F">
                  <w:pPr>
                    <w:pStyle w:val="Compact"/>
                    <w:jc w:val="center"/>
                    <w:rPr>
                      <w:sz w:val="21"/>
                      <w:szCs w:val="21"/>
                    </w:rPr>
                  </w:pPr>
                  <w:r w:rsidRPr="00A8732F">
                    <w:rPr>
                      <w:sz w:val="21"/>
                      <w:szCs w:val="21"/>
                    </w:rPr>
                    <w:t>0%</w:t>
                  </w:r>
                </w:p>
              </w:tc>
              <w:tc>
                <w:tcPr>
                  <w:tcW w:w="991" w:type="dxa"/>
                </w:tcPr>
                <w:p w14:paraId="3BA8AA02" w14:textId="77777777" w:rsidR="00A8732F" w:rsidRPr="00A8732F" w:rsidRDefault="00A8732F">
                  <w:pPr>
                    <w:pStyle w:val="Compact"/>
                    <w:jc w:val="center"/>
                    <w:rPr>
                      <w:sz w:val="21"/>
                      <w:szCs w:val="21"/>
                    </w:rPr>
                  </w:pPr>
                  <w:r w:rsidRPr="00A8732F">
                    <w:rPr>
                      <w:sz w:val="21"/>
                      <w:szCs w:val="21"/>
                    </w:rPr>
                    <w:t>0%</w:t>
                  </w:r>
                </w:p>
              </w:tc>
              <w:tc>
                <w:tcPr>
                  <w:tcW w:w="852" w:type="dxa"/>
                </w:tcPr>
                <w:p w14:paraId="508EF23B" w14:textId="77777777" w:rsidR="00A8732F" w:rsidRPr="00A8732F" w:rsidRDefault="00A8732F">
                  <w:pPr>
                    <w:pStyle w:val="Compact"/>
                    <w:jc w:val="center"/>
                    <w:rPr>
                      <w:sz w:val="21"/>
                      <w:szCs w:val="21"/>
                    </w:rPr>
                  </w:pPr>
                  <w:r w:rsidRPr="00A8732F">
                    <w:rPr>
                      <w:sz w:val="21"/>
                      <w:szCs w:val="21"/>
                    </w:rPr>
                    <w:t>–</w:t>
                  </w:r>
                </w:p>
              </w:tc>
            </w:tr>
            <w:tr w:rsidR="00000000" w:rsidRPr="00A8732F" w14:paraId="2910EE24" w14:textId="77777777" w:rsidTr="00A8732F">
              <w:tc>
                <w:tcPr>
                  <w:tcW w:w="1147" w:type="dxa"/>
                </w:tcPr>
                <w:p w14:paraId="33A07897" w14:textId="77777777" w:rsidR="00A8732F" w:rsidRPr="00A8732F" w:rsidRDefault="00A8732F">
                  <w:pPr>
                    <w:pStyle w:val="Compact"/>
                    <w:jc w:val="center"/>
                    <w:rPr>
                      <w:sz w:val="21"/>
                      <w:szCs w:val="21"/>
                    </w:rPr>
                  </w:pPr>
                  <w:r w:rsidRPr="00A8732F">
                    <w:rPr>
                      <w:b/>
                      <w:bCs/>
                      <w:sz w:val="21"/>
                      <w:szCs w:val="21"/>
                    </w:rPr>
                    <w:t>OYA1193</w:t>
                  </w:r>
                </w:p>
              </w:tc>
              <w:tc>
                <w:tcPr>
                  <w:tcW w:w="851" w:type="dxa"/>
                </w:tcPr>
                <w:p w14:paraId="2E3F0AAE" w14:textId="77777777" w:rsidR="00A8732F" w:rsidRPr="00A8732F" w:rsidRDefault="00A8732F">
                  <w:pPr>
                    <w:pStyle w:val="Compact"/>
                    <w:jc w:val="center"/>
                    <w:rPr>
                      <w:sz w:val="21"/>
                      <w:szCs w:val="21"/>
                    </w:rPr>
                  </w:pPr>
                  <w:r w:rsidRPr="00A8732F">
                    <w:rPr>
                      <w:sz w:val="21"/>
                      <w:szCs w:val="21"/>
                    </w:rPr>
                    <w:t>13.12</w:t>
                  </w:r>
                </w:p>
              </w:tc>
              <w:tc>
                <w:tcPr>
                  <w:tcW w:w="851" w:type="dxa"/>
                </w:tcPr>
                <w:p w14:paraId="43898D2D" w14:textId="77777777" w:rsidR="00A8732F" w:rsidRPr="00A8732F" w:rsidRDefault="00A8732F">
                  <w:pPr>
                    <w:pStyle w:val="Compact"/>
                    <w:jc w:val="center"/>
                    <w:rPr>
                      <w:sz w:val="21"/>
                      <w:szCs w:val="21"/>
                    </w:rPr>
                  </w:pPr>
                  <w:r w:rsidRPr="00A8732F">
                    <w:rPr>
                      <w:sz w:val="21"/>
                      <w:szCs w:val="21"/>
                    </w:rPr>
                    <w:t>90%</w:t>
                  </w:r>
                </w:p>
              </w:tc>
              <w:tc>
                <w:tcPr>
                  <w:tcW w:w="851" w:type="dxa"/>
                </w:tcPr>
                <w:p w14:paraId="0EF9DAA2" w14:textId="77777777" w:rsidR="00A8732F" w:rsidRPr="00A8732F" w:rsidRDefault="00A8732F">
                  <w:pPr>
                    <w:pStyle w:val="Compact"/>
                    <w:jc w:val="center"/>
                    <w:rPr>
                      <w:sz w:val="21"/>
                      <w:szCs w:val="21"/>
                    </w:rPr>
                  </w:pPr>
                  <w:r w:rsidRPr="00A8732F">
                    <w:rPr>
                      <w:sz w:val="21"/>
                      <w:szCs w:val="21"/>
                    </w:rPr>
                    <w:t>92%</w:t>
                  </w:r>
                </w:p>
              </w:tc>
              <w:tc>
                <w:tcPr>
                  <w:tcW w:w="850" w:type="dxa"/>
                </w:tcPr>
                <w:p w14:paraId="22451FD1" w14:textId="77777777" w:rsidR="00A8732F" w:rsidRPr="00A8732F" w:rsidRDefault="00A8732F">
                  <w:pPr>
                    <w:pStyle w:val="Compact"/>
                    <w:jc w:val="center"/>
                    <w:rPr>
                      <w:sz w:val="21"/>
                      <w:szCs w:val="21"/>
                    </w:rPr>
                  </w:pPr>
                  <w:r w:rsidRPr="00A8732F">
                    <w:rPr>
                      <w:sz w:val="21"/>
                      <w:szCs w:val="21"/>
                    </w:rPr>
                    <w:t>90%</w:t>
                  </w:r>
                </w:p>
              </w:tc>
              <w:tc>
                <w:tcPr>
                  <w:tcW w:w="851" w:type="dxa"/>
                </w:tcPr>
                <w:p w14:paraId="50E259C9" w14:textId="77777777" w:rsidR="00A8732F" w:rsidRPr="00A8732F" w:rsidRDefault="00A8732F">
                  <w:pPr>
                    <w:pStyle w:val="Compact"/>
                    <w:jc w:val="center"/>
                    <w:rPr>
                      <w:sz w:val="21"/>
                      <w:szCs w:val="21"/>
                    </w:rPr>
                  </w:pPr>
                  <w:r w:rsidRPr="00A8732F">
                    <w:rPr>
                      <w:sz w:val="21"/>
                      <w:szCs w:val="21"/>
                    </w:rPr>
                    <w:t>92%</w:t>
                  </w:r>
                </w:p>
              </w:tc>
              <w:tc>
                <w:tcPr>
                  <w:tcW w:w="850" w:type="dxa"/>
                </w:tcPr>
                <w:p w14:paraId="169B4B17" w14:textId="77777777" w:rsidR="00A8732F" w:rsidRPr="00A8732F" w:rsidRDefault="00A8732F">
                  <w:pPr>
                    <w:pStyle w:val="Compact"/>
                    <w:jc w:val="center"/>
                    <w:rPr>
                      <w:sz w:val="21"/>
                      <w:szCs w:val="21"/>
                    </w:rPr>
                  </w:pPr>
                  <w:r w:rsidRPr="00A8732F">
                    <w:rPr>
                      <w:sz w:val="21"/>
                      <w:szCs w:val="21"/>
                    </w:rPr>
                    <w:t>92%</w:t>
                  </w:r>
                </w:p>
              </w:tc>
              <w:tc>
                <w:tcPr>
                  <w:tcW w:w="851" w:type="dxa"/>
                </w:tcPr>
                <w:p w14:paraId="5E9C6761" w14:textId="77777777" w:rsidR="00A8732F" w:rsidRPr="00A8732F" w:rsidRDefault="00A8732F">
                  <w:pPr>
                    <w:pStyle w:val="Compact"/>
                    <w:jc w:val="center"/>
                    <w:rPr>
                      <w:sz w:val="21"/>
                      <w:szCs w:val="21"/>
                    </w:rPr>
                  </w:pPr>
                  <w:r w:rsidRPr="00A8732F">
                    <w:rPr>
                      <w:sz w:val="21"/>
                      <w:szCs w:val="21"/>
                    </w:rPr>
                    <w:t>0%</w:t>
                  </w:r>
                </w:p>
              </w:tc>
              <w:tc>
                <w:tcPr>
                  <w:tcW w:w="991" w:type="dxa"/>
                </w:tcPr>
                <w:p w14:paraId="3136CCA8" w14:textId="77777777" w:rsidR="00A8732F" w:rsidRPr="00A8732F" w:rsidRDefault="00A8732F">
                  <w:pPr>
                    <w:pStyle w:val="Compact"/>
                    <w:jc w:val="center"/>
                    <w:rPr>
                      <w:sz w:val="21"/>
                      <w:szCs w:val="21"/>
                    </w:rPr>
                  </w:pPr>
                  <w:r w:rsidRPr="00A8732F">
                    <w:rPr>
                      <w:sz w:val="21"/>
                      <w:szCs w:val="21"/>
                    </w:rPr>
                    <w:t>0%</w:t>
                  </w:r>
                </w:p>
              </w:tc>
              <w:tc>
                <w:tcPr>
                  <w:tcW w:w="852" w:type="dxa"/>
                </w:tcPr>
                <w:p w14:paraId="1E560966" w14:textId="77777777" w:rsidR="00A8732F" w:rsidRPr="00A8732F" w:rsidRDefault="00A8732F">
                  <w:pPr>
                    <w:pStyle w:val="Compact"/>
                    <w:jc w:val="center"/>
                    <w:rPr>
                      <w:sz w:val="21"/>
                      <w:szCs w:val="21"/>
                    </w:rPr>
                  </w:pPr>
                  <w:r w:rsidRPr="00A8732F">
                    <w:rPr>
                      <w:sz w:val="21"/>
                      <w:szCs w:val="21"/>
                    </w:rPr>
                    <w:t>–</w:t>
                  </w:r>
                </w:p>
              </w:tc>
            </w:tr>
            <w:tr w:rsidR="00000000" w:rsidRPr="00A8732F" w14:paraId="3C3DA61C" w14:textId="77777777" w:rsidTr="00A8732F">
              <w:tc>
                <w:tcPr>
                  <w:tcW w:w="1147" w:type="dxa"/>
                </w:tcPr>
                <w:p w14:paraId="098C9D05" w14:textId="77777777" w:rsidR="00A8732F" w:rsidRPr="00A8732F" w:rsidRDefault="00A8732F">
                  <w:pPr>
                    <w:pStyle w:val="Compact"/>
                    <w:jc w:val="center"/>
                    <w:rPr>
                      <w:sz w:val="21"/>
                      <w:szCs w:val="21"/>
                    </w:rPr>
                  </w:pPr>
                  <w:r w:rsidRPr="00A8732F">
                    <w:rPr>
                      <w:b/>
                      <w:bCs/>
                      <w:sz w:val="21"/>
                      <w:szCs w:val="21"/>
                    </w:rPr>
                    <w:t>OYA1211</w:t>
                  </w:r>
                </w:p>
              </w:tc>
              <w:tc>
                <w:tcPr>
                  <w:tcW w:w="851" w:type="dxa"/>
                </w:tcPr>
                <w:p w14:paraId="7270764C" w14:textId="77777777" w:rsidR="00A8732F" w:rsidRPr="00A8732F" w:rsidRDefault="00A8732F">
                  <w:pPr>
                    <w:pStyle w:val="Compact"/>
                    <w:jc w:val="center"/>
                    <w:rPr>
                      <w:sz w:val="21"/>
                      <w:szCs w:val="21"/>
                    </w:rPr>
                  </w:pPr>
                  <w:r w:rsidRPr="00A8732F">
                    <w:rPr>
                      <w:sz w:val="21"/>
                      <w:szCs w:val="21"/>
                    </w:rPr>
                    <w:t>13.11</w:t>
                  </w:r>
                </w:p>
              </w:tc>
              <w:tc>
                <w:tcPr>
                  <w:tcW w:w="851" w:type="dxa"/>
                </w:tcPr>
                <w:p w14:paraId="5F772543" w14:textId="77777777" w:rsidR="00A8732F" w:rsidRPr="00A8732F" w:rsidRDefault="00A8732F">
                  <w:pPr>
                    <w:pStyle w:val="Compact"/>
                    <w:jc w:val="center"/>
                    <w:rPr>
                      <w:sz w:val="21"/>
                      <w:szCs w:val="21"/>
                    </w:rPr>
                  </w:pPr>
                  <w:r w:rsidRPr="00A8732F">
                    <w:rPr>
                      <w:sz w:val="21"/>
                      <w:szCs w:val="21"/>
                    </w:rPr>
                    <w:t>100%</w:t>
                  </w:r>
                </w:p>
              </w:tc>
              <w:tc>
                <w:tcPr>
                  <w:tcW w:w="851" w:type="dxa"/>
                </w:tcPr>
                <w:p w14:paraId="78DD6B81" w14:textId="77777777" w:rsidR="00A8732F" w:rsidRPr="00A8732F" w:rsidRDefault="00A8732F">
                  <w:pPr>
                    <w:pStyle w:val="Compact"/>
                    <w:jc w:val="center"/>
                    <w:rPr>
                      <w:sz w:val="21"/>
                      <w:szCs w:val="21"/>
                    </w:rPr>
                  </w:pPr>
                  <w:r w:rsidRPr="00A8732F">
                    <w:rPr>
                      <w:sz w:val="21"/>
                      <w:szCs w:val="21"/>
                    </w:rPr>
                    <w:t>100%</w:t>
                  </w:r>
                </w:p>
              </w:tc>
              <w:tc>
                <w:tcPr>
                  <w:tcW w:w="850" w:type="dxa"/>
                </w:tcPr>
                <w:p w14:paraId="617230D8" w14:textId="77777777" w:rsidR="00A8732F" w:rsidRPr="00A8732F" w:rsidRDefault="00A8732F">
                  <w:pPr>
                    <w:pStyle w:val="Compact"/>
                    <w:jc w:val="center"/>
                    <w:rPr>
                      <w:sz w:val="21"/>
                      <w:szCs w:val="21"/>
                    </w:rPr>
                  </w:pPr>
                  <w:r w:rsidRPr="00A8732F">
                    <w:rPr>
                      <w:sz w:val="21"/>
                      <w:szCs w:val="21"/>
                    </w:rPr>
                    <w:t>100%</w:t>
                  </w:r>
                </w:p>
              </w:tc>
              <w:tc>
                <w:tcPr>
                  <w:tcW w:w="851" w:type="dxa"/>
                </w:tcPr>
                <w:p w14:paraId="74C8A768" w14:textId="77777777" w:rsidR="00A8732F" w:rsidRPr="00A8732F" w:rsidRDefault="00A8732F">
                  <w:pPr>
                    <w:pStyle w:val="Compact"/>
                    <w:jc w:val="center"/>
                    <w:rPr>
                      <w:sz w:val="21"/>
                      <w:szCs w:val="21"/>
                    </w:rPr>
                  </w:pPr>
                  <w:r w:rsidRPr="00A8732F">
                    <w:rPr>
                      <w:sz w:val="21"/>
                      <w:szCs w:val="21"/>
                    </w:rPr>
                    <w:t>100%</w:t>
                  </w:r>
                </w:p>
              </w:tc>
              <w:tc>
                <w:tcPr>
                  <w:tcW w:w="850" w:type="dxa"/>
                </w:tcPr>
                <w:p w14:paraId="50CB31EC" w14:textId="77777777" w:rsidR="00A8732F" w:rsidRPr="00A8732F" w:rsidRDefault="00A8732F">
                  <w:pPr>
                    <w:pStyle w:val="Compact"/>
                    <w:jc w:val="center"/>
                    <w:rPr>
                      <w:sz w:val="21"/>
                      <w:szCs w:val="21"/>
                    </w:rPr>
                  </w:pPr>
                  <w:r w:rsidRPr="00A8732F">
                    <w:rPr>
                      <w:sz w:val="21"/>
                      <w:szCs w:val="21"/>
                    </w:rPr>
                    <w:t>100%</w:t>
                  </w:r>
                </w:p>
              </w:tc>
              <w:tc>
                <w:tcPr>
                  <w:tcW w:w="851" w:type="dxa"/>
                </w:tcPr>
                <w:p w14:paraId="1E470F37" w14:textId="77777777" w:rsidR="00A8732F" w:rsidRPr="00A8732F" w:rsidRDefault="00A8732F">
                  <w:pPr>
                    <w:pStyle w:val="Compact"/>
                    <w:jc w:val="center"/>
                    <w:rPr>
                      <w:sz w:val="21"/>
                      <w:szCs w:val="21"/>
                    </w:rPr>
                  </w:pPr>
                  <w:r w:rsidRPr="00A8732F">
                    <w:rPr>
                      <w:sz w:val="21"/>
                      <w:szCs w:val="21"/>
                    </w:rPr>
                    <w:t>100%</w:t>
                  </w:r>
                </w:p>
              </w:tc>
              <w:tc>
                <w:tcPr>
                  <w:tcW w:w="991" w:type="dxa"/>
                </w:tcPr>
                <w:p w14:paraId="271F7AB6" w14:textId="77777777" w:rsidR="00A8732F" w:rsidRPr="00A8732F" w:rsidRDefault="00A8732F">
                  <w:pPr>
                    <w:pStyle w:val="Compact"/>
                    <w:jc w:val="center"/>
                    <w:rPr>
                      <w:sz w:val="21"/>
                      <w:szCs w:val="21"/>
                    </w:rPr>
                  </w:pPr>
                  <w:r w:rsidRPr="00A8732F">
                    <w:rPr>
                      <w:sz w:val="21"/>
                      <w:szCs w:val="21"/>
                    </w:rPr>
                    <w:t>93%</w:t>
                  </w:r>
                </w:p>
              </w:tc>
              <w:tc>
                <w:tcPr>
                  <w:tcW w:w="852" w:type="dxa"/>
                </w:tcPr>
                <w:p w14:paraId="7DB367C3" w14:textId="77777777" w:rsidR="00A8732F" w:rsidRPr="00A8732F" w:rsidRDefault="00A8732F">
                  <w:pPr>
                    <w:pStyle w:val="Compact"/>
                    <w:jc w:val="center"/>
                    <w:rPr>
                      <w:sz w:val="21"/>
                      <w:szCs w:val="21"/>
                    </w:rPr>
                  </w:pPr>
                  <w:r w:rsidRPr="00A8732F">
                    <w:rPr>
                      <w:sz w:val="21"/>
                      <w:szCs w:val="21"/>
                    </w:rPr>
                    <w:t>100%</w:t>
                  </w:r>
                </w:p>
              </w:tc>
            </w:tr>
            <w:tr w:rsidR="00000000" w:rsidRPr="00A8732F" w14:paraId="262BD583" w14:textId="77777777" w:rsidTr="00A8732F">
              <w:tc>
                <w:tcPr>
                  <w:tcW w:w="1147" w:type="dxa"/>
                </w:tcPr>
                <w:p w14:paraId="241A41D0" w14:textId="77777777" w:rsidR="00A8732F" w:rsidRPr="00A8732F" w:rsidRDefault="00A8732F">
                  <w:pPr>
                    <w:pStyle w:val="Compact"/>
                    <w:jc w:val="center"/>
                    <w:rPr>
                      <w:sz w:val="21"/>
                      <w:szCs w:val="21"/>
                    </w:rPr>
                  </w:pPr>
                  <w:r w:rsidRPr="00A8732F">
                    <w:rPr>
                      <w:b/>
                      <w:bCs/>
                      <w:sz w:val="21"/>
                      <w:szCs w:val="21"/>
                    </w:rPr>
                    <w:t>OYA1354</w:t>
                  </w:r>
                </w:p>
              </w:tc>
              <w:tc>
                <w:tcPr>
                  <w:tcW w:w="851" w:type="dxa"/>
                </w:tcPr>
                <w:p w14:paraId="1E5B8089" w14:textId="77777777" w:rsidR="00A8732F" w:rsidRPr="00A8732F" w:rsidRDefault="00A8732F">
                  <w:pPr>
                    <w:pStyle w:val="Compact"/>
                    <w:jc w:val="center"/>
                    <w:rPr>
                      <w:sz w:val="21"/>
                      <w:szCs w:val="21"/>
                    </w:rPr>
                  </w:pPr>
                  <w:r w:rsidRPr="00A8732F">
                    <w:rPr>
                      <w:sz w:val="21"/>
                      <w:szCs w:val="21"/>
                    </w:rPr>
                    <w:t>11.41</w:t>
                  </w:r>
                </w:p>
              </w:tc>
              <w:tc>
                <w:tcPr>
                  <w:tcW w:w="851" w:type="dxa"/>
                </w:tcPr>
                <w:p w14:paraId="375ED58C" w14:textId="77777777" w:rsidR="00A8732F" w:rsidRPr="00A8732F" w:rsidRDefault="00A8732F">
                  <w:pPr>
                    <w:pStyle w:val="Compact"/>
                    <w:jc w:val="center"/>
                    <w:rPr>
                      <w:sz w:val="21"/>
                      <w:szCs w:val="21"/>
                    </w:rPr>
                  </w:pPr>
                  <w:r w:rsidRPr="00A8732F">
                    <w:rPr>
                      <w:sz w:val="21"/>
                      <w:szCs w:val="21"/>
                    </w:rPr>
                    <w:t>83%</w:t>
                  </w:r>
                </w:p>
              </w:tc>
              <w:tc>
                <w:tcPr>
                  <w:tcW w:w="851" w:type="dxa"/>
                </w:tcPr>
                <w:p w14:paraId="4C33242A" w14:textId="77777777" w:rsidR="00A8732F" w:rsidRPr="00A8732F" w:rsidRDefault="00A8732F">
                  <w:pPr>
                    <w:pStyle w:val="Compact"/>
                    <w:jc w:val="center"/>
                    <w:rPr>
                      <w:sz w:val="21"/>
                      <w:szCs w:val="21"/>
                    </w:rPr>
                  </w:pPr>
                  <w:r w:rsidRPr="00A8732F">
                    <w:rPr>
                      <w:sz w:val="21"/>
                      <w:szCs w:val="21"/>
                    </w:rPr>
                    <w:t>83%</w:t>
                  </w:r>
                </w:p>
              </w:tc>
              <w:tc>
                <w:tcPr>
                  <w:tcW w:w="850" w:type="dxa"/>
                </w:tcPr>
                <w:p w14:paraId="60FF43F6" w14:textId="77777777" w:rsidR="00A8732F" w:rsidRPr="00A8732F" w:rsidRDefault="00A8732F">
                  <w:pPr>
                    <w:pStyle w:val="Compact"/>
                    <w:jc w:val="center"/>
                    <w:rPr>
                      <w:sz w:val="21"/>
                      <w:szCs w:val="21"/>
                    </w:rPr>
                  </w:pPr>
                  <w:r w:rsidRPr="00A8732F">
                    <w:rPr>
                      <w:sz w:val="21"/>
                      <w:szCs w:val="21"/>
                    </w:rPr>
                    <w:t>83%</w:t>
                  </w:r>
                </w:p>
              </w:tc>
              <w:tc>
                <w:tcPr>
                  <w:tcW w:w="851" w:type="dxa"/>
                </w:tcPr>
                <w:p w14:paraId="3BDF1301" w14:textId="77777777" w:rsidR="00A8732F" w:rsidRPr="00A8732F" w:rsidRDefault="00A8732F">
                  <w:pPr>
                    <w:pStyle w:val="Compact"/>
                    <w:jc w:val="center"/>
                    <w:rPr>
                      <w:sz w:val="21"/>
                      <w:szCs w:val="21"/>
                    </w:rPr>
                  </w:pPr>
                  <w:r w:rsidRPr="00A8732F">
                    <w:rPr>
                      <w:sz w:val="21"/>
                      <w:szCs w:val="21"/>
                    </w:rPr>
                    <w:t>83%</w:t>
                  </w:r>
                </w:p>
              </w:tc>
              <w:tc>
                <w:tcPr>
                  <w:tcW w:w="850" w:type="dxa"/>
                </w:tcPr>
                <w:p w14:paraId="77E8D0A5" w14:textId="77777777" w:rsidR="00A8732F" w:rsidRPr="00A8732F" w:rsidRDefault="00A8732F">
                  <w:pPr>
                    <w:pStyle w:val="Compact"/>
                    <w:jc w:val="center"/>
                    <w:rPr>
                      <w:sz w:val="21"/>
                      <w:szCs w:val="21"/>
                    </w:rPr>
                  </w:pPr>
                  <w:r w:rsidRPr="00A8732F">
                    <w:rPr>
                      <w:sz w:val="21"/>
                      <w:szCs w:val="21"/>
                    </w:rPr>
                    <w:t>92%</w:t>
                  </w:r>
                </w:p>
              </w:tc>
              <w:tc>
                <w:tcPr>
                  <w:tcW w:w="851" w:type="dxa"/>
                </w:tcPr>
                <w:p w14:paraId="39994E7E" w14:textId="77777777" w:rsidR="00A8732F" w:rsidRPr="00A8732F" w:rsidRDefault="00A8732F">
                  <w:pPr>
                    <w:pStyle w:val="Compact"/>
                    <w:jc w:val="center"/>
                    <w:rPr>
                      <w:sz w:val="21"/>
                      <w:szCs w:val="21"/>
                    </w:rPr>
                  </w:pPr>
                  <w:r w:rsidRPr="00A8732F">
                    <w:rPr>
                      <w:sz w:val="21"/>
                      <w:szCs w:val="21"/>
                    </w:rPr>
                    <w:t>0%</w:t>
                  </w:r>
                </w:p>
              </w:tc>
              <w:tc>
                <w:tcPr>
                  <w:tcW w:w="991" w:type="dxa"/>
                </w:tcPr>
                <w:p w14:paraId="4964F7B0" w14:textId="77777777" w:rsidR="00A8732F" w:rsidRPr="00A8732F" w:rsidRDefault="00A8732F">
                  <w:pPr>
                    <w:pStyle w:val="Compact"/>
                    <w:jc w:val="center"/>
                    <w:rPr>
                      <w:sz w:val="21"/>
                      <w:szCs w:val="21"/>
                    </w:rPr>
                  </w:pPr>
                  <w:r w:rsidRPr="00A8732F">
                    <w:rPr>
                      <w:sz w:val="21"/>
                      <w:szCs w:val="21"/>
                    </w:rPr>
                    <w:t>0%</w:t>
                  </w:r>
                </w:p>
              </w:tc>
              <w:tc>
                <w:tcPr>
                  <w:tcW w:w="852" w:type="dxa"/>
                </w:tcPr>
                <w:p w14:paraId="417EF274" w14:textId="77777777" w:rsidR="00A8732F" w:rsidRPr="00A8732F" w:rsidRDefault="00A8732F">
                  <w:pPr>
                    <w:pStyle w:val="Compact"/>
                    <w:jc w:val="center"/>
                    <w:rPr>
                      <w:sz w:val="21"/>
                      <w:szCs w:val="21"/>
                    </w:rPr>
                  </w:pPr>
                  <w:r w:rsidRPr="00A8732F">
                    <w:rPr>
                      <w:sz w:val="21"/>
                      <w:szCs w:val="21"/>
                    </w:rPr>
                    <w:t>–</w:t>
                  </w:r>
                </w:p>
              </w:tc>
            </w:tr>
            <w:bookmarkEnd w:id="8"/>
          </w:tbl>
          <w:p w14:paraId="7AAAC533" w14:textId="77777777" w:rsidR="000C28D7" w:rsidRDefault="000C28D7"/>
        </w:tc>
      </w:tr>
    </w:tbl>
    <w:p w14:paraId="5D869B22" w14:textId="77777777" w:rsidR="000C28D7" w:rsidRDefault="00000000">
      <w:pPr>
        <w:pStyle w:val="Heading2"/>
      </w:pPr>
      <w:bookmarkStart w:id="9" w:name="data-processing"/>
      <w:bookmarkEnd w:id="7"/>
      <w:r>
        <w:lastRenderedPageBreak/>
        <w:t>Data Processing</w:t>
      </w:r>
    </w:p>
    <w:p w14:paraId="0FFA5AE5" w14:textId="77777777" w:rsidR="000C28D7" w:rsidRDefault="00000000">
      <w:pPr>
        <w:pStyle w:val="FirstParagraph"/>
      </w:pPr>
      <w:r>
        <w:t>The research strategy has been divided into three specific objectives, associated to each hypothesis: (1) characterize the temporal distribution of fog and dew events and their co-occurrence from visibility and GOES records; (2) evaluate the atmospheric stability under each event type through potential temperature, specific humidity, and wind speed vertical gradients reconstructed along the topographic station transect; (3) analyze the tendency of humidity, potential temperature and wind speed associated with each event through the temporal evolution of specific humidity, quantifying tendencies that distinguish their dynamic origin..</w:t>
      </w:r>
    </w:p>
    <w:p w14:paraId="127DBA1E" w14:textId="77777777" w:rsidR="000C28D7" w:rsidRDefault="00000000">
      <w:pPr>
        <w:pStyle w:val="Heading3"/>
      </w:pPr>
      <w:bookmarkStart w:id="10" w:name="X380d4756a9019223baf518e7cbe355334460b18"/>
      <w:r>
        <w:t>OE1: Hierarchical classification of fog and dew events</w:t>
      </w:r>
    </w:p>
    <w:p w14:paraId="7C59C9D7" w14:textId="77777777" w:rsidR="000C28D7" w:rsidRPr="00B83CC6" w:rsidRDefault="00000000">
      <w:pPr>
        <w:pStyle w:val="FirstParagraph"/>
        <w:rPr>
          <w:sz w:val="22"/>
          <w:szCs w:val="22"/>
        </w:rPr>
      </w:pPr>
      <w:r>
        <w:t>To achieve the first specific objective, we used two criteria based on visibility and FLC detection, where visibility was the priority. Regardless of whether water is collected by the SFC or the SDC, the event is classified as fog if visibility falls below 1000 m. The event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14:paraId="1BA13F1C" w14:textId="77777777" w:rsidR="000C28D7" w:rsidRDefault="00000000">
      <w:pPr>
        <w:pStyle w:val="BodyText"/>
      </w:pPr>
      <w:bookmarkStart w:id="11" w:name="eq-classification"/>
      <m:oMathPara>
        <m:oMathParaPr>
          <m:jc m:val="center"/>
        </m:oMathParaPr>
        <m:oMath>
          <m:r>
            <m:rPr>
              <m:nor/>
            </m:rPr>
            <w:rPr>
              <w:sz w:val="22"/>
              <w:szCs w:val="22"/>
            </w:rPr>
            <m:t>Event Type</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m:rPr>
                        <m:nor/>
                      </m:rPr>
                      <w:rPr>
                        <w:sz w:val="22"/>
                        <w:szCs w:val="22"/>
                      </w:rPr>
                      <m:t>fog</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&lt;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1</m:t>
                    </m:r>
                  </m:e>
                </m:mr>
                <m:mr>
                  <m:e>
                    <m:r>
                      <m:rPr>
                        <m:nor/>
                      </m:rPr>
                      <w:rPr>
                        <w:sz w:val="22"/>
                        <w:szCs w:val="22"/>
                      </w:rPr>
                      <m:t>dew</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0</m:t>
                    </m:r>
                  </m:e>
                </m:mr>
              </m:m>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bookmarkEnd w:id="11"/>
    </w:p>
    <w:p w14:paraId="13FECE58" w14:textId="77777777" w:rsidR="000C28D7" w:rsidRDefault="00000000">
      <w:pPr>
        <w:pStyle w:val="FirstParagraph"/>
      </w:pPr>
      <w:r>
        <w:t>In addition to the classification algorithm, a manual review is performed for each day of 2024. The automatic classification is compared against the visibility curve and the GOES signal. Isolated errors are corrected, and days of atypical behavior are documented. For example, an abrupt drop and recovery of visibility within a short period is likely caused by sensor len dew condensation, or debris rather than an actual fog event, and is reclassified as dew. Likewise, when a continuous event is interrupted by an isolated 10-minute segment classified differently, this segment is corrected to match the surrounding event.</w:t>
      </w:r>
    </w:p>
    <w:p w14:paraId="313ED026" w14:textId="77777777" w:rsidR="000C28D7" w:rsidRDefault="00000000">
      <w:pPr>
        <w:pStyle w:val="Heading3"/>
      </w:pPr>
      <w:bookmarkStart w:id="12" w:name="Xb6bc1beffb3397ffc24ca68bc6f665c5fea9262"/>
      <w:bookmarkEnd w:id="10"/>
      <w:r>
        <w:t>OE2: Calculation of thermodynamic gradients</w:t>
      </w:r>
    </w:p>
    <w:p w14:paraId="51C414E6" w14:textId="77777777" w:rsidR="000C28D7" w:rsidRDefault="00000000">
      <w:pPr>
        <w:pStyle w:val="FirstParagraph"/>
      </w:pPr>
      <w:r>
        <w:t>After reclassified fog and dew events using the satellite and visibility criteria, we analyse the atmospheric stability of fog and dew reclassified event. For analyzing the atmospheric stability we use two thermodynamic conserved variables of potential temperature (θ) and specific humidity (q). Potential temperature is calculated as follows:</w:t>
      </w:r>
    </w:p>
    <w:p w14:paraId="6A62A640" w14:textId="77777777" w:rsidR="000C28D7" w:rsidRDefault="00000000">
      <w:pPr>
        <w:pStyle w:val="BodyText"/>
      </w:pPr>
      <w:bookmarkStart w:id="13"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3"/>
    </w:p>
    <w:p w14:paraId="6590D843" w14:textId="77777777" w:rsidR="000C28D7" w:rsidRDefault="00000000">
      <w:pPr>
        <w:pStyle w:val="FirstParagraph"/>
      </w:pPr>
      <w:r>
        <w:t xml:space="preserve">where T is the absolute air temperature (K), P0 is the pressure (hPa) measured at the lowest station,P is the pressure level at every station (hPa), R is the constant gas of dry air (287.08 J kg⁻¹ K⁻¹) and cp is the specific heat of dry air (1004.67 J kg⁻¹ K⁻¹). Specific humidity (q) is approximated using the mixing ratio (r), since in the lower troposphere the </w:t>
      </w:r>
      <w:r>
        <w:lastRenderedPageBreak/>
        <w:t>water vapor mass is much smaller than the dry air mass and the total pressure greatly exceeds the vapor pressure, so that q ≈ r. ‘q’ is estimated using the following expression:</w:t>
      </w:r>
    </w:p>
    <w:p w14:paraId="00C57B94" w14:textId="77777777" w:rsidR="000C28D7" w:rsidRDefault="00000000">
      <w:pPr>
        <w:pStyle w:val="BodyText"/>
      </w:pPr>
      <w:bookmarkStart w:id="14" w:name="eq-q"/>
      <m:oMathPara>
        <m:oMathParaPr>
          <m:jc m:val="center"/>
        </m:oMathParaPr>
        <m:oMath>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4"/>
    </w:p>
    <w:p w14:paraId="33228C32" w14:textId="77777777" w:rsidR="000C28D7" w:rsidRDefault="00000000">
      <w:pPr>
        <w:pStyle w:val="FirstParagraph"/>
      </w:pPr>
      <w:r>
        <w:t>where ϵ is he ratio of the molecular weight of water vapor to that of dry air (ϵ=0.622 kg kg</w:t>
      </w:r>
      <w:r w:rsidRPr="00B83CC6">
        <w:rPr>
          <w:vertAlign w:val="superscript"/>
        </w:rPr>
        <w:t>-1</w:t>
      </w:r>
      <w:r>
        <w:t>), e is the water vapor pressure (hPa), obtained from relative humidity, and P (hPa) is the atmospheric pressure.</w:t>
      </w:r>
    </w:p>
    <w:p w14:paraId="4F69332E" w14:textId="77777777" w:rsidR="000C28D7" w:rsidRDefault="00000000">
      <w:pPr>
        <w:pStyle w:val="BodyText"/>
      </w:pPr>
      <w:r>
        <w:t>To calculate the vertical gradients that ae used as a proxy of atmospheric stability we used:</w:t>
      </w:r>
    </w:p>
    <w:bookmarkStart w:id="15" w:name="eq-dphi-dz"/>
    <w:p w14:paraId="11DD48F6" w14:textId="77777777" w:rsidR="000C28D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5"/>
    </w:p>
    <w:p w14:paraId="7144CE0C" w14:textId="77777777" w:rsidR="000C28D7" w:rsidRDefault="00000000">
      <w:pPr>
        <w:pStyle w:val="FirstParagraph"/>
      </w:pPr>
      <w:r>
        <w:t xml:space="preserve">where </w:t>
      </w:r>
      <m:oMath>
        <m:r>
          <w:rPr>
            <w:rFonts w:ascii="Cambria Math" w:hAnsi="Cambria Math"/>
          </w:rPr>
          <m:t>ϕ</m:t>
        </m:r>
      </m:oMath>
      <w:r>
        <w:t xml:space="preserve"> represents the conservative scalar of </w:t>
      </w:r>
      <m:oMath>
        <m:r>
          <w:rPr>
            <w:rFonts w:ascii="Cambria Math" w:hAnsi="Cambria Math"/>
          </w:rPr>
          <m:t>θ</m:t>
        </m:r>
      </m:oMath>
      <w: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Δφ/Δz are calculated along the 48–1354 m transect in relation to the coastal baseline, to determine the stability of the MBL, with φ ∈ {θ, q, U}, where subfix 1 correspond to the reference lowest station.</w:t>
      </w:r>
    </w:p>
    <w:p w14:paraId="77A1838A" w14:textId="77777777" w:rsidR="000C28D7" w:rsidRDefault="00000000">
      <w:pPr>
        <w:pStyle w:val="Heading3"/>
      </w:pPr>
      <w:bookmarkStart w:id="16" w:name="oe3-calculation-of-temporal-rates"/>
      <w:bookmarkEnd w:id="12"/>
      <w:r>
        <w:t>OE3: Calculation of temporal rates</w:t>
      </w:r>
    </w:p>
    <w:p w14:paraId="0A40359B" w14:textId="77777777" w:rsidR="000C28D7" w:rsidRDefault="00000000">
      <w:pPr>
        <w:pStyle w:val="FirstParagraph"/>
      </w:pPr>
      <w:r>
        <w:t>To achieve the third specific objective, we calculated temporal rates Δφ/Δt using forward finite differences, with φ ∈ {θ, q, U}. Fixed delays ranging from 10 min to 180 min are used to characterize the response to event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bookmarkStart w:id="17" w:name="eq-dphi-dt"/>
    <w:p w14:paraId="5C552125" w14:textId="77777777" w:rsidR="000C28D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7"/>
    </w:p>
    <w:p w14:paraId="48E57E3A" w14:textId="77777777" w:rsidR="000C28D7" w:rsidRDefault="00000000">
      <w:pPr>
        <w:pStyle w:val="Heading1"/>
      </w:pPr>
      <w:bookmarkStart w:id="18" w:name="outline-resultsdiscussion"/>
      <w:bookmarkEnd w:id="2"/>
      <w:bookmarkEnd w:id="9"/>
      <w:bookmarkEnd w:id="16"/>
      <w:r>
        <w:lastRenderedPageBreak/>
        <w:t>Outline results/discussion</w:t>
      </w:r>
    </w:p>
    <w:p w14:paraId="27286597" w14:textId="77777777" w:rsidR="000C28D7" w:rsidRDefault="00000000">
      <w:pPr>
        <w:pStyle w:val="Heading2"/>
      </w:pPr>
      <w:bookmarkStart w:id="19" w:name="event-classification"/>
      <w:r>
        <w:t>Event classification</w:t>
      </w:r>
    </w:p>
    <w:p w14:paraId="53CE289F" w14:textId="77777777" w:rsidR="000C28D7" w:rsidRDefault="00000000">
      <w:pPr>
        <w:pStyle w:val="FirstParagraph"/>
      </w:pPr>
      <w:commentRangeStart w:id="20"/>
      <w:r>
        <w:rPr>
          <w:noProof/>
        </w:rPr>
        <w:drawing>
          <wp:inline distT="0" distB="0" distL="0" distR="0" wp14:anchorId="60F8496D" wp14:editId="3025B3EA">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sultados/figuras/08_dias_seleccionados_clasificacion.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commentRangeEnd w:id="20"/>
      <w:r w:rsidR="00B83CC6">
        <w:rPr>
          <w:rStyle w:val="CommentReference"/>
          <w:sz w:val="24"/>
          <w:szCs w:val="24"/>
        </w:rPr>
        <w:commentReference w:id="20"/>
      </w:r>
    </w:p>
    <w:p w14:paraId="26F942A4" w14:textId="77777777" w:rsidR="000C28D7" w:rsidRDefault="000C28D7">
      <w:pPr>
        <w:pStyle w:val="BodyText"/>
      </w:pPr>
    </w:p>
    <w:p w14:paraId="437E501D" w14:textId="77777777" w:rsidR="000C28D7" w:rsidRDefault="00000000">
      <w:pPr>
        <w:pStyle w:val="Compact"/>
        <w:numPr>
          <w:ilvl w:val="0"/>
          <w:numId w:val="2"/>
        </w:numPr>
      </w:pPr>
      <w:r>
        <w:t>Fig. 4 shows daily examples of the mechanism that motivates this entire section. On two days of unambiguous fog and two of unambiguous dew, visibility, the GOES FLC band, and the final classification clearly agree; on a day without events, there is no signal at all; and in one particular case (17 May), erratic visibility alternates between fog and dew within the same day.</w:t>
      </w:r>
    </w:p>
    <w:p w14:paraId="5FD44DC3" w14:textId="77777777" w:rsidR="000C28D7" w:rsidRDefault="00000000">
      <w:pPr>
        <w:pStyle w:val="Compact"/>
        <w:numPr>
          <w:ilvl w:val="0"/>
          <w:numId w:val="2"/>
        </w:numPr>
      </w:pPr>
      <w:r>
        <w:t xml:space="preserve">Importantly, on several of these days, the SDC or the SFC records water on days that the independent classifier assigns to the </w:t>
      </w:r>
      <w:r>
        <w:rPr>
          <w:i/>
          <w:iCs/>
        </w:rPr>
        <w:t>opposite</w:t>
      </w:r>
      <w:r>
        <w:t xml:space="preserve"> phenomenon; this is the raw </w:t>
      </w:r>
      <w:r>
        <w:lastRenderedPageBreak/>
        <w:t>instrumental overlap, visible case by case before it is aggregated at the annual scale.</w:t>
      </w:r>
    </w:p>
    <w:p w14:paraId="6EB81AE3" w14:textId="77777777" w:rsidR="000C28D7" w:rsidRDefault="00000000">
      <w:pPr>
        <w:pStyle w:val="FirstParagraph"/>
      </w:pPr>
      <w:r>
        <w:rPr>
          <w:noProof/>
        </w:rPr>
        <w:drawing>
          <wp:inline distT="0" distB="0" distL="0" distR="0" wp14:anchorId="3173DF44" wp14:editId="45490394">
            <wp:extent cx="5334000" cy="296037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as/resultados_figura01.png"/>
                    <pic:cNvPicPr>
                      <a:picLocks noChangeAspect="1" noChangeArrowheads="1"/>
                    </pic:cNvPicPr>
                  </pic:nvPicPr>
                  <pic:blipFill>
                    <a:blip r:embed="rId11"/>
                    <a:stretch>
                      <a:fillRect/>
                    </a:stretch>
                  </pic:blipFill>
                  <pic:spPr bwMode="auto">
                    <a:xfrm>
                      <a:off x="0" y="0"/>
                      <a:ext cx="5334000" cy="2960370"/>
                    </a:xfrm>
                    <a:prstGeom prst="rect">
                      <a:avLst/>
                    </a:prstGeom>
                    <a:noFill/>
                    <a:ln w="9525">
                      <a:noFill/>
                      <a:headEnd/>
                      <a:tailEnd/>
                    </a:ln>
                  </pic:spPr>
                </pic:pic>
              </a:graphicData>
            </a:graphic>
          </wp:inline>
        </w:drawing>
      </w:r>
    </w:p>
    <w:p w14:paraId="27EC69A2" w14:textId="77777777" w:rsidR="000C28D7" w:rsidRDefault="00000000">
      <w:pPr>
        <w:pStyle w:val="Compact"/>
        <w:numPr>
          <w:ilvl w:val="0"/>
          <w:numId w:val="3"/>
        </w:numPr>
      </w:pPr>
      <w:r>
        <w:t>Fig. 5 (above) aggregates precisely this across the whole of 2024. Its top bar first places the problem in its true magnitude: the active window of atmospheric water occupies only 8.6% of the year (91.4% without events), so each misclassified interval weighs proportionally more than its duration suggests.</w:t>
      </w:r>
    </w:p>
    <w:p w14:paraId="339D265F" w14:textId="77777777" w:rsidR="000C28D7" w:rsidRDefault="00000000">
      <w:pPr>
        <w:pStyle w:val="Compact"/>
        <w:numPr>
          <w:ilvl w:val="0"/>
          <w:numId w:val="3"/>
        </w:numPr>
      </w:pPr>
      <w:r>
        <w:t>Within this window, direct instrumental detection reports 49.2% fog, 46.8% mixed fog+dew, and only 4.0% pure dew; when this criterion is replaced by the Visibility+GOES classification (binary by design), the partition shifts to 53.3% fog and 46.7% pure dew.</w:t>
      </w:r>
    </w:p>
    <w:p w14:paraId="2ED5DF08" w14:textId="77777777" w:rsidR="000C28D7" w:rsidRDefault="00000000">
      <w:pPr>
        <w:pStyle w:val="Compact"/>
        <w:numPr>
          <w:ilvl w:val="0"/>
          <w:numId w:val="3"/>
        </w:numPr>
      </w:pPr>
      <w:r>
        <w:t>In other words, the instrumental overlap is not isolated noise: once corrected, the fraction of pure dew time increases more than tenfold (4.0% → 46.7%). H1 is thus supported, and this is the central quantitative result of the paper, from which all subsequent figures follow.</w:t>
      </w:r>
    </w:p>
    <w:p w14:paraId="5DDA0B8C" w14:textId="77777777" w:rsidR="000C28D7" w:rsidRDefault="00000000">
      <w:pPr>
        <w:pStyle w:val="Compact"/>
        <w:numPr>
          <w:ilvl w:val="0"/>
          <w:numId w:val="3"/>
        </w:numPr>
      </w:pPr>
      <w:r>
        <w:t>The result nonetheless has two limitations that should be acknowledged, although they do not invalidate it: the visibility sensor is itself affected by condensation during dew (a slight drop that never crosses the fog threshold, visible in the dew panels of Fig. 4), and the coarser resolution of GOES-16 means that a detected low-cloud pixel does not necessarily intersect the topography.</w:t>
      </w:r>
    </w:p>
    <w:p w14:paraId="10F9EB4E" w14:textId="77777777" w:rsidR="000C28D7" w:rsidRPr="00A8732F" w:rsidRDefault="00000000">
      <w:pPr>
        <w:pStyle w:val="Heading2"/>
        <w:rPr>
          <w:lang w:val="es-ES"/>
        </w:rPr>
      </w:pPr>
      <w:bookmarkStart w:id="21" w:name="X58ca69cff4fc6e83cfc73b1f200d28d0eccc611"/>
      <w:bookmarkEnd w:id="19"/>
      <w:r w:rsidRPr="00A8732F">
        <w:rPr>
          <w:lang w:val="es-ES"/>
        </w:rPr>
        <w:t>Distribución estacional y diurna de los eventos reclasificados</w:t>
      </w:r>
    </w:p>
    <w:p w14:paraId="5EC4C2F6" w14:textId="77777777" w:rsidR="000C28D7" w:rsidRPr="00A8732F" w:rsidRDefault="000C28D7">
      <w:pPr>
        <w:pStyle w:val="FirstParagraph"/>
        <w:rPr>
          <w:lang w:val="es-ES"/>
        </w:rPr>
      </w:pPr>
    </w:p>
    <w:p w14:paraId="3D7836FA" w14:textId="77777777" w:rsidR="000C28D7" w:rsidRDefault="00000000">
      <w:pPr>
        <w:pStyle w:val="BodyText"/>
      </w:pPr>
      <w:commentRangeStart w:id="22"/>
      <w:r>
        <w:rPr>
          <w:noProof/>
        </w:rPr>
        <w:lastRenderedPageBreak/>
        <w:drawing>
          <wp:inline distT="0" distB="0" distL="0" distR="0" wp14:anchorId="1D1B105F" wp14:editId="324FCA8E">
            <wp:extent cx="4800600" cy="234144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as/resultados_figura02.png"/>
                    <pic:cNvPicPr>
                      <a:picLocks noChangeAspect="1" noChangeArrowheads="1"/>
                    </pic:cNvPicPr>
                  </pic:nvPicPr>
                  <pic:blipFill>
                    <a:blip r:embed="rId12"/>
                    <a:stretch>
                      <a:fillRect/>
                    </a:stretch>
                  </pic:blipFill>
                  <pic:spPr bwMode="auto">
                    <a:xfrm>
                      <a:off x="0" y="0"/>
                      <a:ext cx="4800600" cy="2341444"/>
                    </a:xfrm>
                    <a:prstGeom prst="rect">
                      <a:avLst/>
                    </a:prstGeom>
                    <a:noFill/>
                    <a:ln w="9525">
                      <a:noFill/>
                      <a:headEnd/>
                      <a:tailEnd/>
                    </a:ln>
                  </pic:spPr>
                </pic:pic>
              </a:graphicData>
            </a:graphic>
          </wp:inline>
        </w:drawing>
      </w:r>
      <w:commentRangeEnd w:id="22"/>
      <w:r w:rsidR="00B83CC6">
        <w:rPr>
          <w:rStyle w:val="CommentReference"/>
          <w:sz w:val="24"/>
          <w:szCs w:val="24"/>
        </w:rPr>
        <w:commentReference w:id="22"/>
      </w:r>
    </w:p>
    <w:p w14:paraId="47E1E5F8" w14:textId="77777777" w:rsidR="000C28D7" w:rsidRDefault="00000000">
      <w:pPr>
        <w:pStyle w:val="Compact"/>
        <w:numPr>
          <w:ilvl w:val="0"/>
          <w:numId w:val="4"/>
        </w:numPr>
      </w:pPr>
      <w:r>
        <w:t>This figure shows that mean fog collection exceeds mean dew collection in all twelve months of the year, with August–October concentrating the maximum volumes of both phenomena.</w:t>
      </w:r>
    </w:p>
    <w:p w14:paraId="40402A12" w14:textId="77777777" w:rsidR="000C28D7" w:rsidRDefault="00000000">
      <w:pPr>
        <w:pStyle w:val="Compact"/>
        <w:numPr>
          <w:ilvl w:val="0"/>
          <w:numId w:val="4"/>
        </w:numPr>
      </w:pPr>
      <w:r>
        <w:t>However, magnitude and frequency do not always coincide: in June, fog dominates in frequency without yielding much per event, whereas in August–September dew is comparatively infrequent yet episodically intense, a first indication that counting events and summing the volume they yield are two distinct questions, to which we return below.</w:t>
      </w:r>
    </w:p>
    <w:p w14:paraId="789AB93F" w14:textId="77777777" w:rsidR="000C28D7" w:rsidRDefault="00000000">
      <w:pPr>
        <w:pStyle w:val="FirstParagraph"/>
      </w:pPr>
      <w:r>
        <w:rPr>
          <w:noProof/>
        </w:rPr>
        <w:drawing>
          <wp:inline distT="0" distB="0" distL="0" distR="0" wp14:anchorId="3A1A6C59" wp14:editId="22BB661B">
            <wp:extent cx="4800600" cy="234144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as/resultados_figura03.png"/>
                    <pic:cNvPicPr>
                      <a:picLocks noChangeAspect="1" noChangeArrowheads="1"/>
                    </pic:cNvPicPr>
                  </pic:nvPicPr>
                  <pic:blipFill>
                    <a:blip r:embed="rId13"/>
                    <a:stretch>
                      <a:fillRect/>
                    </a:stretch>
                  </pic:blipFill>
                  <pic:spPr bwMode="auto">
                    <a:xfrm>
                      <a:off x="0" y="0"/>
                      <a:ext cx="4800600" cy="2341444"/>
                    </a:xfrm>
                    <a:prstGeom prst="rect">
                      <a:avLst/>
                    </a:prstGeom>
                    <a:noFill/>
                    <a:ln w="9525">
                      <a:noFill/>
                      <a:headEnd/>
                      <a:tailEnd/>
                    </a:ln>
                  </pic:spPr>
                </pic:pic>
              </a:graphicData>
            </a:graphic>
          </wp:inline>
        </w:drawing>
      </w:r>
    </w:p>
    <w:p w14:paraId="62C19561" w14:textId="77777777" w:rsidR="000C28D7" w:rsidRDefault="00000000">
      <w:pPr>
        <w:pStyle w:val="Compact"/>
        <w:numPr>
          <w:ilvl w:val="0"/>
          <w:numId w:val="5"/>
        </w:numPr>
      </w:pPr>
      <w:r>
        <w:t>The same dissociation recurs at the daily scale in the figure: dew maintains its most stable regime between 21:00 and 09:00 local time (00:00–12:00 UTC), with a high and constant relative frequency that exceeds that of fog within this window.</w:t>
      </w:r>
    </w:p>
    <w:p w14:paraId="378C8EDE" w14:textId="77777777" w:rsidR="000C28D7" w:rsidRDefault="00000000">
      <w:pPr>
        <w:pStyle w:val="Compact"/>
        <w:numPr>
          <w:ilvl w:val="0"/>
          <w:numId w:val="5"/>
        </w:numPr>
      </w:pPr>
      <w:r>
        <w:t>Fog, in contrast, dominates between 09:00 and 20:00 local time in both frequency and collected volume, peaking near 20:00 UTC (~300 mL per 10-min interval), a day/night asymmetry consistent with advection versus radiative cooling mechanisms.</w:t>
      </w:r>
    </w:p>
    <w:p w14:paraId="2651B251" w14:textId="77777777" w:rsidR="000C28D7" w:rsidRDefault="00000000">
      <w:pPr>
        <w:pStyle w:val="Compact"/>
        <w:numPr>
          <w:ilvl w:val="0"/>
          <w:numId w:val="5"/>
        </w:numPr>
      </w:pPr>
      <w:r>
        <w:lastRenderedPageBreak/>
        <w:t>An isolated spike at 15:00 UTC (12:00 local time) reflects a low sample size in that interval rather than a genuine physical signal.</w:t>
      </w:r>
    </w:p>
    <w:p w14:paraId="273294D6" w14:textId="77777777" w:rsidR="000C28D7" w:rsidRPr="00A8732F" w:rsidRDefault="00000000">
      <w:pPr>
        <w:pStyle w:val="Heading2"/>
        <w:rPr>
          <w:lang w:val="es-ES"/>
        </w:rPr>
      </w:pPr>
      <w:bookmarkStart w:id="23" w:name="X376d336b347a91d1f0a9b1b2a51640f5b1b12c3"/>
      <w:bookmarkEnd w:id="21"/>
      <w:r w:rsidRPr="00A8732F">
        <w:rPr>
          <w:lang w:val="es-ES"/>
        </w:rPr>
        <w:t>Estructura termodinámica vertical de la capa límite</w:t>
      </w:r>
    </w:p>
    <w:p w14:paraId="5A848D30" w14:textId="77777777" w:rsidR="000C28D7" w:rsidRPr="00A8732F" w:rsidRDefault="000C28D7">
      <w:pPr>
        <w:pStyle w:val="FirstParagraph"/>
        <w:rPr>
          <w:lang w:val="es-ES"/>
        </w:rPr>
      </w:pPr>
    </w:p>
    <w:p w14:paraId="2A29542A" w14:textId="77777777" w:rsidR="000C28D7" w:rsidRDefault="00000000">
      <w:pPr>
        <w:pStyle w:val="BodyText"/>
      </w:pPr>
      <w:commentRangeStart w:id="24"/>
      <w:r>
        <w:rPr>
          <w:noProof/>
        </w:rPr>
        <w:drawing>
          <wp:inline distT="0" distB="0" distL="0" distR="0" wp14:anchorId="0A48D023" wp14:editId="26657647">
            <wp:extent cx="5334000" cy="320039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ados/figuras/09_perfiles_dias_seleccionados.png"/>
                    <pic:cNvPicPr>
                      <a:picLocks noChangeAspect="1" noChangeArrowheads="1"/>
                    </pic:cNvPicPr>
                  </pic:nvPicPr>
                  <pic:blipFill>
                    <a:blip r:embed="rId14"/>
                    <a:stretch>
                      <a:fillRect/>
                    </a:stretch>
                  </pic:blipFill>
                  <pic:spPr bwMode="auto">
                    <a:xfrm>
                      <a:off x="0" y="0"/>
                      <a:ext cx="5334000" cy="3200399"/>
                    </a:xfrm>
                    <a:prstGeom prst="rect">
                      <a:avLst/>
                    </a:prstGeom>
                    <a:noFill/>
                    <a:ln w="9525">
                      <a:noFill/>
                      <a:headEnd/>
                      <a:tailEnd/>
                    </a:ln>
                  </pic:spPr>
                </pic:pic>
              </a:graphicData>
            </a:graphic>
          </wp:inline>
        </w:drawing>
      </w:r>
      <w:commentRangeEnd w:id="24"/>
      <w:r w:rsidR="00B83CC6">
        <w:rPr>
          <w:rStyle w:val="CommentReference"/>
          <w:sz w:val="24"/>
          <w:szCs w:val="24"/>
        </w:rPr>
        <w:commentReference w:id="24"/>
      </w:r>
    </w:p>
    <w:p w14:paraId="0E8E8E0D" w14:textId="77777777" w:rsidR="000C28D7" w:rsidRDefault="00000000">
      <w:pPr>
        <w:pStyle w:val="Compact"/>
        <w:numPr>
          <w:ilvl w:val="0"/>
          <w:numId w:val="6"/>
        </w:numPr>
      </w:pPr>
      <w:r>
        <w:t>At the scale of a single day, the previous figure already reveals the pattern: 28 April (fog) exhibits a nearly uniform θ profile between 48 and 1354 m a.s.l. (the signature of a well-mixed layer), whereas 24 April (dew) shows a vertical gradient similar to that of the non-event hours of the same day. The q and U profiles, however, show no equivalent contrast between the two regimes.</w:t>
      </w:r>
    </w:p>
    <w:p w14:paraId="0DEC4472" w14:textId="77777777" w:rsidR="000C28D7" w:rsidRDefault="00000000">
      <w:pPr>
        <w:pStyle w:val="FirstParagraph"/>
      </w:pPr>
      <w:commentRangeStart w:id="25"/>
      <w:r>
        <w:rPr>
          <w:noProof/>
        </w:rPr>
        <w:lastRenderedPageBreak/>
        <w:drawing>
          <wp:inline distT="0" distB="0" distL="0" distR="0" wp14:anchorId="1D77580A" wp14:editId="06792DBC">
            <wp:extent cx="5334000" cy="40005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as/resultados_figura04.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commentRangeEnd w:id="25"/>
      <w:r w:rsidR="00B83CC6">
        <w:rPr>
          <w:rStyle w:val="CommentReference"/>
          <w:sz w:val="24"/>
          <w:szCs w:val="24"/>
        </w:rPr>
        <w:commentReference w:id="25"/>
      </w:r>
    </w:p>
    <w:p w14:paraId="3C0A73F9" w14:textId="77777777" w:rsidR="000C28D7" w:rsidRDefault="00000000">
      <w:pPr>
        <w:pStyle w:val="Compact"/>
        <w:numPr>
          <w:ilvl w:val="0"/>
          <w:numId w:val="7"/>
        </w:numPr>
      </w:pPr>
      <w:r>
        <w:t>The previous figure generalizes this pattern to the eight stations of the transect throughout 2024: fog is concentrated at Δθ/Δz &lt; 0.0026 K m⁻¹, dew at 0.0026–0.0034 K m⁻¹, and non-event conditions jump to ≈ 0.0094 K m⁻¹, yielding three distinct regimes.</w:t>
      </w:r>
    </w:p>
    <w:p w14:paraId="780FF7E3" w14:textId="77777777" w:rsidR="000C28D7" w:rsidRDefault="00000000">
      <w:pPr>
        <w:pStyle w:val="Compact"/>
        <w:numPr>
          <w:ilvl w:val="0"/>
          <w:numId w:val="7"/>
        </w:numPr>
      </w:pPr>
      <w:r>
        <w:t>Mann–Whitney/Kruskal–Wallis tests confirm that this contrast is robust for θ (r = 0.25, p &lt; 0.001), but not for q or U (r ≈ 0.04–0.13); H2 is therefore fully supported, including its negative prediction.</w:t>
      </w:r>
    </w:p>
    <w:p w14:paraId="17A5B6E7" w14:textId="77777777" w:rsidR="000C28D7" w:rsidRDefault="00000000">
      <w:pPr>
        <w:pStyle w:val="Compact"/>
        <w:numPr>
          <w:ilvl w:val="0"/>
          <w:numId w:val="7"/>
        </w:numPr>
      </w:pPr>
      <w:r>
        <w:t>This repositions the general threshold of Lobos-Roco et al. (2018), 0.0031 K m⁻¹: in this dataset, it falls within the dew range rather than at the boundary between dew and non-event conditions, as previously assumed. That value separated fog from “everything else” without distinguishing, within that remainder, a dew regime in its own right.</w:t>
      </w:r>
    </w:p>
    <w:p w14:paraId="4B6683EC" w14:textId="77777777" w:rsidR="000C28D7" w:rsidRDefault="00000000">
      <w:pPr>
        <w:pStyle w:val="Compact"/>
        <w:numPr>
          <w:ilvl w:val="0"/>
          <w:numId w:val="7"/>
        </w:numPr>
      </w:pPr>
      <w: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events from non-event conditions (−0.0004 g kg⁻¹ m⁻¹), which refines (without replacing) the primary θ-based criterion.</w:t>
      </w:r>
    </w:p>
    <w:p w14:paraId="36DFE3EE" w14:textId="77777777" w:rsidR="000C28D7" w:rsidRPr="00A8732F" w:rsidRDefault="00000000">
      <w:pPr>
        <w:pStyle w:val="Heading2"/>
        <w:rPr>
          <w:lang w:val="es-ES"/>
        </w:rPr>
      </w:pPr>
      <w:bookmarkStart w:id="26" w:name="X2c49e8fabc4db4aebd5f12340ee778171daabbe"/>
      <w:bookmarkEnd w:id="23"/>
      <w:r w:rsidRPr="00A8732F">
        <w:rPr>
          <w:lang w:val="es-ES"/>
        </w:rPr>
        <w:lastRenderedPageBreak/>
        <w:t>Evolución temporal y firmas de flujo de humedad/calor</w:t>
      </w:r>
    </w:p>
    <w:p w14:paraId="4637EA37" w14:textId="77777777" w:rsidR="000C28D7" w:rsidRDefault="00000000">
      <w:pPr>
        <w:pStyle w:val="FirstParagraph"/>
      </w:pPr>
      <w:r>
        <w:rPr>
          <w:noProof/>
        </w:rPr>
        <w:drawing>
          <wp:inline distT="0" distB="0" distL="0" distR="0" wp14:anchorId="71DC3E51" wp14:editId="294F8C08">
            <wp:extent cx="4800600" cy="357146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as/resultados_figura05.png"/>
                    <pic:cNvPicPr>
                      <a:picLocks noChangeAspect="1" noChangeArrowheads="1"/>
                    </pic:cNvPicPr>
                  </pic:nvPicPr>
                  <pic:blipFill>
                    <a:blip r:embed="rId16"/>
                    <a:stretch>
                      <a:fillRect/>
                    </a:stretch>
                  </pic:blipFill>
                  <pic:spPr bwMode="auto">
                    <a:xfrm>
                      <a:off x="0" y="0"/>
                      <a:ext cx="4800600" cy="3571460"/>
                    </a:xfrm>
                    <a:prstGeom prst="rect">
                      <a:avLst/>
                    </a:prstGeom>
                    <a:noFill/>
                    <a:ln w="9525">
                      <a:noFill/>
                      <a:headEnd/>
                      <a:tailEnd/>
                    </a:ln>
                  </pic:spPr>
                </pic:pic>
              </a:graphicData>
            </a:graphic>
          </wp:inline>
        </w:drawing>
      </w:r>
    </w:p>
    <w:p w14:paraId="6A212821" w14:textId="77777777" w:rsidR="000C28D7" w:rsidRDefault="00000000">
      <w:pPr>
        <w:pStyle w:val="Compact"/>
        <w:numPr>
          <w:ilvl w:val="0"/>
          <w:numId w:val="8"/>
        </w:numPr>
      </w:pPr>
      <w:r>
        <w:t>The previous figure answers this question with all three variables simultaneously. Specific humidity behaves in opposite ways in each regime: fog accumulates +0.48 g kg⁻¹ 180 minutes after event onset, a sustained increase consistent with continuous advection of marine moisture, whereas dew reaches only +0.06 g kg⁻¹, close to neutrality rather than the marked drying expected from an active sink.</w:t>
      </w:r>
    </w:p>
    <w:p w14:paraId="150D6643" w14:textId="77777777" w:rsidR="000C28D7" w:rsidRDefault="00000000">
      <w:pPr>
        <w:pStyle w:val="Compact"/>
        <w:numPr>
          <w:ilvl w:val="0"/>
          <w:numId w:val="8"/>
        </w:numPr>
      </w:pPr>
      <w:r>
        <w:t>Potential temperature also shows a strong contrast: dew exceeds fog at all times (+2.15 versus +1.89 K at 180 min), consistent with an episodic, radiatively forced mechanism rather than a steady advective one.</w:t>
      </w:r>
    </w:p>
    <w:p w14:paraId="3E18DDE0" w14:textId="77777777" w:rsidR="000C28D7" w:rsidRDefault="00000000">
      <w:pPr>
        <w:pStyle w:val="Compact"/>
        <w:numPr>
          <w:ilvl w:val="0"/>
          <w:numId w:val="8"/>
        </w:numPr>
      </w:pPr>
      <w:r>
        <w:t>Regarding wind, fog decelerates clearly (−0.30 m s⁻¹) as the cloud layer stabilizes the flow, whereas dew remains nearly neutral (−0.08 m s⁻¹), without reconfiguring the background wind field.</w:t>
      </w:r>
    </w:p>
    <w:p w14:paraId="5B04A36E" w14:textId="77777777" w:rsidR="000C28D7" w:rsidRDefault="00000000">
      <w:pPr>
        <w:pStyle w:val="Compact"/>
        <w:numPr>
          <w:ilvl w:val="0"/>
          <w:numId w:val="8"/>
        </w:numPr>
      </w:pPr>
      <w: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14:paraId="5BFE909F" w14:textId="77777777" w:rsidR="000C28D7" w:rsidRDefault="000C28D7">
      <w:pPr>
        <w:pStyle w:val="FirstParagraph"/>
      </w:pPr>
    </w:p>
    <w:p w14:paraId="4FFEFF8C" w14:textId="77777777" w:rsidR="000C28D7" w:rsidRDefault="00000000">
      <w:pPr>
        <w:pStyle w:val="BodyText"/>
      </w:pPr>
      <w:commentRangeStart w:id="27"/>
      <w:r>
        <w:rPr>
          <w:noProof/>
        </w:rPr>
        <w:lastRenderedPageBreak/>
        <w:drawing>
          <wp:inline distT="0" distB="0" distL="0" distR="0" wp14:anchorId="6BBBEA3E" wp14:editId="23163679">
            <wp:extent cx="3733800" cy="250269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as/resultados_figura06.png"/>
                    <pic:cNvPicPr>
                      <a:picLocks noChangeAspect="1" noChangeArrowheads="1"/>
                    </pic:cNvPicPr>
                  </pic:nvPicPr>
                  <pic:blipFill>
                    <a:blip r:embed="rId17"/>
                    <a:stretch>
                      <a:fillRect/>
                    </a:stretch>
                  </pic:blipFill>
                  <pic:spPr bwMode="auto">
                    <a:xfrm>
                      <a:off x="0" y="0"/>
                      <a:ext cx="3733800" cy="2502695"/>
                    </a:xfrm>
                    <a:prstGeom prst="rect">
                      <a:avLst/>
                    </a:prstGeom>
                    <a:noFill/>
                    <a:ln w="9525">
                      <a:noFill/>
                      <a:headEnd/>
                      <a:tailEnd/>
                    </a:ln>
                  </pic:spPr>
                </pic:pic>
              </a:graphicData>
            </a:graphic>
          </wp:inline>
        </w:drawing>
      </w:r>
      <w:commentRangeEnd w:id="27"/>
      <w:r w:rsidR="00B83CC6">
        <w:rPr>
          <w:rStyle w:val="CommentReference"/>
          <w:sz w:val="24"/>
          <w:szCs w:val="24"/>
        </w:rPr>
        <w:commentReference w:id="27"/>
      </w:r>
    </w:p>
    <w:p w14:paraId="049E8B42" w14:textId="77777777" w:rsidR="000C28D7" w:rsidRDefault="00000000">
      <w:pPr>
        <w:pStyle w:val="BodyText"/>
      </w:pPr>
      <w:r>
        <w:rPr>
          <w:noProof/>
        </w:rPr>
        <w:drawing>
          <wp:inline distT="0" distB="0" distL="0" distR="0" wp14:anchorId="263493A7" wp14:editId="4A114363">
            <wp:extent cx="3733800" cy="2397528"/>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as/resultados_figura07.png"/>
                    <pic:cNvPicPr>
                      <a:picLocks noChangeAspect="1" noChangeArrowheads="1"/>
                    </pic:cNvPicPr>
                  </pic:nvPicPr>
                  <pic:blipFill>
                    <a:blip r:embed="rId18"/>
                    <a:stretch>
                      <a:fillRect/>
                    </a:stretch>
                  </pic:blipFill>
                  <pic:spPr bwMode="auto">
                    <a:xfrm>
                      <a:off x="0" y="0"/>
                      <a:ext cx="3733800" cy="2397528"/>
                    </a:xfrm>
                    <a:prstGeom prst="rect">
                      <a:avLst/>
                    </a:prstGeom>
                    <a:noFill/>
                    <a:ln w="9525">
                      <a:noFill/>
                      <a:headEnd/>
                      <a:tailEnd/>
                    </a:ln>
                  </pic:spPr>
                </pic:pic>
              </a:graphicData>
            </a:graphic>
          </wp:inline>
        </w:drawing>
      </w:r>
    </w:p>
    <w:p w14:paraId="51511DF2" w14:textId="77777777" w:rsidR="000C28D7" w:rsidRDefault="00000000">
      <w:pPr>
        <w:pStyle w:val="Compact"/>
        <w:numPr>
          <w:ilvl w:val="0"/>
          <w:numId w:val="9"/>
        </w:numPr>
      </w:pPr>
      <w:r>
        <w:t>The dew moisture sink is weaker than expected and its θ variability is high, which points to a real but episodic and locally forced mechanism, consistent with the seasonal/diurnal decoupling already shown in the previous figures. ***duda</w:t>
      </w:r>
    </w:p>
    <w:p w14:paraId="2FF6A4E2" w14:textId="77777777" w:rsidR="000C28D7" w:rsidRDefault="00000000">
      <w:pPr>
        <w:pStyle w:val="Heading2"/>
      </w:pPr>
      <w:bookmarkStart w:id="28" w:name="extra"/>
      <w:bookmarkEnd w:id="26"/>
      <w:r>
        <w:t>Extra</w:t>
      </w:r>
    </w:p>
    <w:p w14:paraId="24202F05" w14:textId="77777777" w:rsidR="000C28D7" w:rsidRDefault="00000000">
      <w:pPr>
        <w:pStyle w:val="Compact"/>
        <w:numPr>
          <w:ilvl w:val="0"/>
          <w:numId w:val="10"/>
        </w:numPr>
      </w:pPr>
      <w:r>
        <w:t>All of these thresholds and rates were derived under the 2024 ENSO context (El Niño → neutral transition), so their interannual generalization to other phases remains an explicit open question rather than an implicit assumption.</w:t>
      </w:r>
    </w:p>
    <w:p w14:paraId="01B8A026" w14:textId="77777777" w:rsidR="000C28D7" w:rsidRDefault="00000000">
      <w:pPr>
        <w:pStyle w:val="Compact"/>
        <w:numPr>
          <w:ilvl w:val="0"/>
          <w:numId w:val="10"/>
        </w:numPr>
      </w:pPr>
      <w: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p w14:paraId="22E4704D" w14:textId="77777777" w:rsidR="000C28D7" w:rsidRPr="00A8732F" w:rsidRDefault="00000000">
      <w:pPr>
        <w:pStyle w:val="Heading1"/>
        <w:rPr>
          <w:lang w:val="es-ES"/>
        </w:rPr>
      </w:pPr>
      <w:bookmarkStart w:id="29" w:name="references"/>
      <w:bookmarkEnd w:id="18"/>
      <w:bookmarkEnd w:id="28"/>
      <w:r w:rsidRPr="00A8732F">
        <w:rPr>
          <w:lang w:val="es-ES"/>
        </w:rPr>
        <w:lastRenderedPageBreak/>
        <w:t>References</w:t>
      </w:r>
    </w:p>
    <w:p w14:paraId="30B5110B" w14:textId="77777777" w:rsidR="000C28D7" w:rsidRDefault="00000000">
      <w:pPr>
        <w:pStyle w:val="Bibliography"/>
      </w:pPr>
      <w:bookmarkStart w:id="30" w:name="ref-Albornoz2023"/>
      <w:bookmarkStart w:id="31" w:name="refs"/>
      <w:r w:rsidRPr="00A8732F">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9">
        <w:r>
          <w:rPr>
            <w:rStyle w:val="Hyperlink"/>
          </w:rPr>
          <w:t>https://doi.org/10.3390/su152215720</w:t>
        </w:r>
      </w:hyperlink>
    </w:p>
    <w:p w14:paraId="2D5BA006" w14:textId="77777777" w:rsidR="000C28D7" w:rsidRDefault="00000000">
      <w:pPr>
        <w:pStyle w:val="Bibliography"/>
      </w:pPr>
      <w:bookmarkStart w:id="32" w:name="ref-Cereceda2008"/>
      <w:bookmarkEnd w:id="30"/>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20">
        <w:r>
          <w:rPr>
            <w:rStyle w:val="Hyperlink"/>
          </w:rPr>
          <w:t>https://doi.org/10.1016/j.atmosres.2007.11.012</w:t>
        </w:r>
      </w:hyperlink>
    </w:p>
    <w:p w14:paraId="2F16D588" w14:textId="77777777" w:rsidR="000C28D7" w:rsidRPr="00A8732F" w:rsidRDefault="00000000">
      <w:pPr>
        <w:pStyle w:val="Bibliography"/>
        <w:rPr>
          <w:lang w:val="es-ES"/>
        </w:rPr>
      </w:pPr>
      <w:bookmarkStart w:id="33" w:name="ref-Cereceda2002"/>
      <w:bookmarkEnd w:id="32"/>
      <w:r>
        <w:t xml:space="preserve">Cereceda, P., Osses, P., Larrain, H., Farı́as, M., Lagos, M., Pinto, R., &amp; Schemenauer, R. S. (2002). Advective, orographic and radiation fog in the tarapacá region, chile. </w:t>
      </w:r>
      <w:r w:rsidRPr="00A8732F">
        <w:rPr>
          <w:i/>
          <w:iCs/>
          <w:lang w:val="es-ES"/>
        </w:rPr>
        <w:t>Atmospheric Research</w:t>
      </w:r>
      <w:r w:rsidRPr="00A8732F">
        <w:rPr>
          <w:lang w:val="es-ES"/>
        </w:rPr>
        <w:t xml:space="preserve">, </w:t>
      </w:r>
      <w:r w:rsidRPr="00A8732F">
        <w:rPr>
          <w:i/>
          <w:iCs/>
          <w:lang w:val="es-ES"/>
        </w:rPr>
        <w:t>64</w:t>
      </w:r>
      <w:r w:rsidRPr="00A8732F">
        <w:rPr>
          <w:lang w:val="es-ES"/>
        </w:rPr>
        <w:t xml:space="preserve">(1-4), 261–271. </w:t>
      </w:r>
      <w:hyperlink r:id="rId21">
        <w:r w:rsidRPr="00A8732F">
          <w:rPr>
            <w:rStyle w:val="Hyperlink"/>
            <w:lang w:val="es-ES"/>
          </w:rPr>
          <w:t>https://doi.org/10.1016/s0169-8095(02)00097-2</w:t>
        </w:r>
      </w:hyperlink>
    </w:p>
    <w:p w14:paraId="1A0A8399" w14:textId="77777777" w:rsidR="000C28D7" w:rsidRDefault="00000000">
      <w:pPr>
        <w:pStyle w:val="Bibliography"/>
      </w:pPr>
      <w:bookmarkStart w:id="34" w:name="ref-Chamizo2021"/>
      <w:bookmarkEnd w:id="33"/>
      <w:r w:rsidRPr="00A8732F">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22">
        <w:r>
          <w:rPr>
            <w:rStyle w:val="Hyperlink"/>
          </w:rPr>
          <w:t>https://doi.org/10.1016/j.scitotenv.2021.148299</w:t>
        </w:r>
      </w:hyperlink>
    </w:p>
    <w:p w14:paraId="2067391C" w14:textId="77777777" w:rsidR="000C28D7" w:rsidRDefault="00000000">
      <w:pPr>
        <w:pStyle w:val="Bibliography"/>
      </w:pPr>
      <w:bookmarkStart w:id="35" w:name="ref-delRo2021"/>
      <w:bookmarkEnd w:id="34"/>
      <w:r w:rsidRPr="00A8732F">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23">
        <w:r>
          <w:rPr>
            <w:rStyle w:val="Hyperlink"/>
          </w:rPr>
          <w:t>https://doi.org/10.1016/j.jhydrol.2021.126190</w:t>
        </w:r>
      </w:hyperlink>
    </w:p>
    <w:p w14:paraId="3306A750" w14:textId="77777777" w:rsidR="000C28D7" w:rsidRDefault="00000000">
      <w:pPr>
        <w:pStyle w:val="Bibliography"/>
      </w:pPr>
      <w:bookmarkStart w:id="36" w:name="ref-Espinoza2024"/>
      <w:bookmarkEnd w:id="35"/>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24">
        <w:r>
          <w:rPr>
            <w:rStyle w:val="Hyperlink"/>
          </w:rPr>
          <w:t>https://doi.org/10.1016/j.atmosres.2024.107533</w:t>
        </w:r>
      </w:hyperlink>
    </w:p>
    <w:p w14:paraId="214D6E1F" w14:textId="77777777" w:rsidR="000C28D7" w:rsidRPr="00A8732F" w:rsidRDefault="00000000">
      <w:pPr>
        <w:pStyle w:val="Bibliography"/>
        <w:rPr>
          <w:lang w:val="es-ES"/>
        </w:rPr>
      </w:pPr>
      <w:bookmarkStart w:id="37" w:name="ref-Fessehaye2014"/>
      <w:bookmarkEnd w:id="36"/>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25">
        <w:r w:rsidRPr="00A8732F">
          <w:rPr>
            <w:rStyle w:val="Hyperlink"/>
            <w:lang w:val="es-ES"/>
          </w:rPr>
          <w:t>https://doi.org/10.1016/j.rser.2013.08.063</w:t>
        </w:r>
      </w:hyperlink>
    </w:p>
    <w:p w14:paraId="32866EBC" w14:textId="77777777" w:rsidR="000C28D7" w:rsidRDefault="00000000">
      <w:pPr>
        <w:pStyle w:val="Bibliography"/>
      </w:pPr>
      <w:bookmarkStart w:id="38" w:name="ref-Garca2021"/>
      <w:bookmarkEnd w:id="37"/>
      <w:r w:rsidRPr="00A8732F">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26">
        <w:r>
          <w:rPr>
            <w:rStyle w:val="Hyperlink"/>
          </w:rPr>
          <w:t>https://doi.org/10.1007/s00606-021-01775-y</w:t>
        </w:r>
      </w:hyperlink>
    </w:p>
    <w:p w14:paraId="6A52E31C" w14:textId="77777777" w:rsidR="000C28D7" w:rsidRDefault="00000000">
      <w:pPr>
        <w:pStyle w:val="Bibliography"/>
      </w:pPr>
      <w:bookmarkStart w:id="39" w:name="ref-Gultepe2007"/>
      <w:bookmarkEnd w:id="38"/>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27">
        <w:r>
          <w:rPr>
            <w:rStyle w:val="Hyperlink"/>
          </w:rPr>
          <w:t>https://doi.org/10.1007/978-3-7643-8419-7_3</w:t>
        </w:r>
      </w:hyperlink>
    </w:p>
    <w:p w14:paraId="08DF8796" w14:textId="77777777" w:rsidR="000C28D7" w:rsidRDefault="00000000">
      <w:pPr>
        <w:pStyle w:val="Bibliography"/>
      </w:pPr>
      <w:bookmarkStart w:id="40" w:name="ref-Houston2006"/>
      <w:bookmarkEnd w:id="39"/>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8">
        <w:r>
          <w:rPr>
            <w:rStyle w:val="Hyperlink"/>
          </w:rPr>
          <w:t>https://doi.org/10.1002/joc.1359</w:t>
        </w:r>
      </w:hyperlink>
    </w:p>
    <w:p w14:paraId="026133E0" w14:textId="77777777" w:rsidR="000C28D7" w:rsidRDefault="00000000">
      <w:pPr>
        <w:pStyle w:val="Bibliography"/>
      </w:pPr>
      <w:bookmarkStart w:id="41" w:name="ref-Jabbusch2025"/>
      <w:bookmarkEnd w:id="40"/>
      <w:r>
        <w:lastRenderedPageBreak/>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9">
        <w:r>
          <w:rPr>
            <w:rStyle w:val="Hyperlink"/>
          </w:rPr>
          <w:t>https://doi.org/10.1016/j.ppees.2025.125846</w:t>
        </w:r>
      </w:hyperlink>
    </w:p>
    <w:p w14:paraId="660FDC8F" w14:textId="77777777" w:rsidR="000C28D7" w:rsidRDefault="00000000">
      <w:pPr>
        <w:pStyle w:val="Bibliography"/>
      </w:pPr>
      <w:bookmarkStart w:id="42" w:name="ref-Jacobs2006"/>
      <w:bookmarkEnd w:id="41"/>
      <w:r>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30">
        <w:r>
          <w:rPr>
            <w:rStyle w:val="Hyperlink"/>
          </w:rPr>
          <w:t>https://doi.org/10.1029/2005wr004055</w:t>
        </w:r>
      </w:hyperlink>
    </w:p>
    <w:p w14:paraId="098D3F09" w14:textId="77777777" w:rsidR="000C28D7" w:rsidRPr="00A8732F" w:rsidRDefault="00000000">
      <w:pPr>
        <w:pStyle w:val="Bibliography"/>
        <w:rPr>
          <w:lang w:val="es-ES"/>
        </w:rPr>
      </w:pPr>
      <w:bookmarkStart w:id="43" w:name="ref-Jung2019"/>
      <w:bookmarkEnd w:id="42"/>
      <w:r>
        <w:t xml:space="preserve">Jung, P., Emrich, D., Briegel‐Williams, L., Schermer, M., Weber, L., Baumann, K., Colesie, C., Clerc, P., Lehnert, L. W., Achilles, S., Bendix, J., &amp; Büdel, B. (2019). Ecophysiology and phylogeny of new terricolous and epiphytic chlorolichens in a fog oasis of the atacama desert. </w:t>
      </w:r>
      <w:r w:rsidRPr="00A8732F">
        <w:rPr>
          <w:i/>
          <w:iCs/>
          <w:lang w:val="es-ES"/>
        </w:rPr>
        <w:t>MicrobiologyOpen</w:t>
      </w:r>
      <w:r w:rsidRPr="00A8732F">
        <w:rPr>
          <w:lang w:val="es-ES"/>
        </w:rPr>
        <w:t xml:space="preserve">, </w:t>
      </w:r>
      <w:r w:rsidRPr="00A8732F">
        <w:rPr>
          <w:i/>
          <w:iCs/>
          <w:lang w:val="es-ES"/>
        </w:rPr>
        <w:t>8</w:t>
      </w:r>
      <w:r w:rsidRPr="00A8732F">
        <w:rPr>
          <w:lang w:val="es-ES"/>
        </w:rPr>
        <w:t xml:space="preserve">(10). </w:t>
      </w:r>
      <w:hyperlink r:id="rId31">
        <w:r w:rsidRPr="00A8732F">
          <w:rPr>
            <w:rStyle w:val="Hyperlink"/>
            <w:lang w:val="es-ES"/>
          </w:rPr>
          <w:t>https://doi.org/10.1002/mbo3.894</w:t>
        </w:r>
      </w:hyperlink>
    </w:p>
    <w:p w14:paraId="0AB7E1AA" w14:textId="77777777" w:rsidR="000C28D7" w:rsidRPr="00A8732F" w:rsidRDefault="00000000">
      <w:pPr>
        <w:pStyle w:val="Bibliography"/>
        <w:rPr>
          <w:lang w:val="es-ES"/>
        </w:rPr>
      </w:pPr>
      <w:bookmarkStart w:id="44" w:name="ref-Larrain2002"/>
      <w:bookmarkEnd w:id="43"/>
      <w:r w:rsidRPr="00A8732F">
        <w:rPr>
          <w:lang w:val="es-ES"/>
        </w:rPr>
        <w:t xml:space="preserve">Larrain, H., Velásquez, F., Cereceda, P., Espejo, R., Pinto, R., Osses, P., &amp; Schemenauer, R. S. (2002). </w:t>
      </w:r>
      <w:r>
        <w:t xml:space="preserve">Fog measurements at the site “falda verde” north of chañaral compared with other fog stations of chile. </w:t>
      </w:r>
      <w:r w:rsidRPr="00A8732F">
        <w:rPr>
          <w:i/>
          <w:iCs/>
          <w:lang w:val="es-ES"/>
        </w:rPr>
        <w:t>Atmospheric Research</w:t>
      </w:r>
      <w:r w:rsidRPr="00A8732F">
        <w:rPr>
          <w:lang w:val="es-ES"/>
        </w:rPr>
        <w:t xml:space="preserve">, </w:t>
      </w:r>
      <w:r w:rsidRPr="00A8732F">
        <w:rPr>
          <w:i/>
          <w:iCs/>
          <w:lang w:val="es-ES"/>
        </w:rPr>
        <w:t>64</w:t>
      </w:r>
      <w:r w:rsidRPr="00A8732F">
        <w:rPr>
          <w:lang w:val="es-ES"/>
        </w:rPr>
        <w:t xml:space="preserve">(1-4), 273–284. </w:t>
      </w:r>
      <w:hyperlink r:id="rId32">
        <w:r w:rsidRPr="00A8732F">
          <w:rPr>
            <w:rStyle w:val="Hyperlink"/>
            <w:lang w:val="es-ES"/>
          </w:rPr>
          <w:t>https://doi.org/10.1016/s0169-8095(02)00098-4</w:t>
        </w:r>
      </w:hyperlink>
    </w:p>
    <w:p w14:paraId="4B58DC5F" w14:textId="77777777" w:rsidR="000C28D7" w:rsidRDefault="00000000">
      <w:pPr>
        <w:pStyle w:val="Bibliography"/>
      </w:pPr>
      <w:bookmarkStart w:id="45" w:name="ref-Latorre2011"/>
      <w:bookmarkEnd w:id="44"/>
      <w:r w:rsidRPr="00A8732F">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33">
        <w:r>
          <w:rPr>
            <w:rStyle w:val="Hyperlink"/>
          </w:rPr>
          <w:t>https://doi.org/10.1029/2010jg001521</w:t>
        </w:r>
      </w:hyperlink>
    </w:p>
    <w:p w14:paraId="2B0B0965" w14:textId="77777777" w:rsidR="000C28D7" w:rsidRPr="00A8732F" w:rsidRDefault="00000000">
      <w:pPr>
        <w:pStyle w:val="Bibliography"/>
        <w:rPr>
          <w:lang w:val="es-ES"/>
        </w:rPr>
      </w:pPr>
      <w:bookmarkStart w:id="46" w:name="ref-Li2025"/>
      <w:bookmarkEnd w:id="45"/>
      <w:r>
        <w:t xml:space="preserve">Li, H., Han, C., Yang, Y., &amp; Chen, R. (2025). Advances and challenges in dew research on land surface: A review. </w:t>
      </w:r>
      <w:r w:rsidRPr="00A8732F">
        <w:rPr>
          <w:i/>
          <w:iCs/>
          <w:lang w:val="es-ES"/>
        </w:rPr>
        <w:t>Hydrology</w:t>
      </w:r>
      <w:r w:rsidRPr="00A8732F">
        <w:rPr>
          <w:lang w:val="es-ES"/>
        </w:rPr>
        <w:t xml:space="preserve">, </w:t>
      </w:r>
      <w:r w:rsidRPr="00A8732F">
        <w:rPr>
          <w:i/>
          <w:iCs/>
          <w:lang w:val="es-ES"/>
        </w:rPr>
        <w:t>12</w:t>
      </w:r>
      <w:r w:rsidRPr="00A8732F">
        <w:rPr>
          <w:lang w:val="es-ES"/>
        </w:rPr>
        <w:t xml:space="preserve">(12), 320. </w:t>
      </w:r>
      <w:hyperlink r:id="rId34">
        <w:r w:rsidRPr="00A8732F">
          <w:rPr>
            <w:rStyle w:val="Hyperlink"/>
            <w:lang w:val="es-ES"/>
          </w:rPr>
          <w:t>https://doi.org/10.3390/hydrology12120320</w:t>
        </w:r>
      </w:hyperlink>
    </w:p>
    <w:p w14:paraId="61743C35" w14:textId="77777777" w:rsidR="000C28D7" w:rsidRPr="00A8732F" w:rsidRDefault="00000000">
      <w:pPr>
        <w:pStyle w:val="Bibliography"/>
        <w:rPr>
          <w:lang w:val="es-ES"/>
        </w:rPr>
      </w:pPr>
      <w:bookmarkStart w:id="47" w:name="ref-LobosRoco2018"/>
      <w:bookmarkEnd w:id="46"/>
      <w:r w:rsidRPr="00A8732F">
        <w:rPr>
          <w:lang w:val="es-ES"/>
        </w:rPr>
        <w:t xml:space="preserve">Lobos Roco, F., Vilà-Guerau de Arellano, J., &amp; Pedruzo-Bagazgoitia, X. (2018). </w:t>
      </w:r>
      <w:r>
        <w:t xml:space="preserve">Characterizing the influence of the marine stratocumulus cloud on the land fog at the atacama desert. </w:t>
      </w:r>
      <w:r w:rsidRPr="00A8732F">
        <w:rPr>
          <w:i/>
          <w:iCs/>
          <w:lang w:val="es-ES"/>
        </w:rPr>
        <w:t>Atmospheric Research</w:t>
      </w:r>
      <w:r w:rsidRPr="00A8732F">
        <w:rPr>
          <w:lang w:val="es-ES"/>
        </w:rPr>
        <w:t xml:space="preserve">, </w:t>
      </w:r>
      <w:r w:rsidRPr="00A8732F">
        <w:rPr>
          <w:i/>
          <w:iCs/>
          <w:lang w:val="es-ES"/>
        </w:rPr>
        <w:t>214</w:t>
      </w:r>
      <w:r w:rsidRPr="00A8732F">
        <w:rPr>
          <w:lang w:val="es-ES"/>
        </w:rPr>
        <w:t xml:space="preserve">, 109–120. </w:t>
      </w:r>
      <w:hyperlink r:id="rId35">
        <w:r w:rsidRPr="00A8732F">
          <w:rPr>
            <w:rStyle w:val="Hyperlink"/>
            <w:lang w:val="es-ES"/>
          </w:rPr>
          <w:t>https://doi.org/10.1016/j.atmosres.2018.07.009</w:t>
        </w:r>
      </w:hyperlink>
    </w:p>
    <w:p w14:paraId="4336B943" w14:textId="77777777" w:rsidR="000C28D7" w:rsidRDefault="00000000">
      <w:pPr>
        <w:pStyle w:val="Bibliography"/>
      </w:pPr>
      <w:bookmarkStart w:id="48" w:name="ref-LobosRoco2024"/>
      <w:bookmarkEnd w:id="47"/>
      <w:r w:rsidRPr="00A8732F">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36">
        <w:r>
          <w:rPr>
            <w:rStyle w:val="Hyperlink"/>
          </w:rPr>
          <w:t>https://doi.org/10.1016/j.jaridenv.2024.105125</w:t>
        </w:r>
      </w:hyperlink>
    </w:p>
    <w:p w14:paraId="256E0A6C" w14:textId="77777777" w:rsidR="000C28D7" w:rsidRDefault="00000000">
      <w:pPr>
        <w:pStyle w:val="Bibliography"/>
      </w:pPr>
      <w:bookmarkStart w:id="49" w:name="ref-Malik2023"/>
      <w:bookmarkEnd w:id="48"/>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37">
        <w:r>
          <w:rPr>
            <w:rStyle w:val="Hyperlink"/>
          </w:rPr>
          <w:t>https://doi.org/10.3390/atmos14121736</w:t>
        </w:r>
      </w:hyperlink>
    </w:p>
    <w:p w14:paraId="099284DD" w14:textId="77777777" w:rsidR="000C28D7" w:rsidRPr="00A8732F" w:rsidRDefault="00000000">
      <w:pPr>
        <w:pStyle w:val="Bibliography"/>
        <w:rPr>
          <w:lang w:val="es-ES"/>
        </w:rPr>
      </w:pPr>
      <w:bookmarkStart w:id="50" w:name="ref-Monteith1957"/>
      <w:bookmarkEnd w:id="49"/>
      <w:r>
        <w:t xml:space="preserve">Monteith, J. L. (1957). Dew. </w:t>
      </w:r>
      <w:r>
        <w:rPr>
          <w:i/>
          <w:iCs/>
        </w:rPr>
        <w:t>Quarterly Journal of the Royal Meteorological Society</w:t>
      </w:r>
      <w:r>
        <w:t xml:space="preserve">, </w:t>
      </w:r>
      <w:r>
        <w:rPr>
          <w:i/>
          <w:iCs/>
        </w:rPr>
        <w:t>83</w:t>
      </w:r>
      <w:r>
        <w:t xml:space="preserve">(357), 322–341. </w:t>
      </w:r>
      <w:hyperlink r:id="rId38">
        <w:r w:rsidRPr="00A8732F">
          <w:rPr>
            <w:rStyle w:val="Hyperlink"/>
            <w:lang w:val="es-ES"/>
          </w:rPr>
          <w:t>https://doi.org/10.1002/qj.49708335706</w:t>
        </w:r>
      </w:hyperlink>
    </w:p>
    <w:p w14:paraId="54FFCB88" w14:textId="77777777" w:rsidR="000C28D7" w:rsidRDefault="00000000">
      <w:pPr>
        <w:pStyle w:val="Bibliography"/>
      </w:pPr>
      <w:bookmarkStart w:id="51" w:name="ref-MunozNarbona2026"/>
      <w:bookmarkEnd w:id="50"/>
      <w:r w:rsidRPr="00A8732F">
        <w:rPr>
          <w:lang w:val="es-ES"/>
        </w:rPr>
        <w:lastRenderedPageBreak/>
        <w:t xml:space="preserve">Muñoz-Narbona, F., Lobos-Roco, F., Del Río, C., &amp; Acevedo, S. (2026). </w:t>
      </w:r>
      <w:r>
        <w:rPr>
          <w:i/>
          <w:iCs/>
        </w:rPr>
        <w:t>Thermodynamic characterization of fog and dew in the Atacama coastal desert</w:t>
      </w:r>
      <w:r>
        <w:t xml:space="preserve"> (Version v1.0.0) [Computer software]. Zenodo. </w:t>
      </w:r>
      <w:hyperlink r:id="rId39">
        <w:r>
          <w:rPr>
            <w:rStyle w:val="Hyperlink"/>
          </w:rPr>
          <w:t>https://doi.org/10.5281/zenodo.21826557</w:t>
        </w:r>
      </w:hyperlink>
    </w:p>
    <w:p w14:paraId="742FF18D" w14:textId="77777777" w:rsidR="000C28D7" w:rsidRDefault="00000000">
      <w:pPr>
        <w:pStyle w:val="Bibliography"/>
      </w:pPr>
      <w:bookmarkStart w:id="52" w:name="ref-Muselli2002"/>
      <w:bookmarkEnd w:id="51"/>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40">
        <w:r>
          <w:rPr>
            <w:rStyle w:val="Hyperlink"/>
          </w:rPr>
          <w:t>https://doi.org/10.1016/s0169-8095(02)00100-x</w:t>
        </w:r>
      </w:hyperlink>
    </w:p>
    <w:p w14:paraId="6E52A38F" w14:textId="77777777" w:rsidR="000C28D7" w:rsidRDefault="00000000">
      <w:pPr>
        <w:pStyle w:val="Bibliography"/>
      </w:pPr>
      <w:bookmarkStart w:id="53" w:name="ref-Pinto2006"/>
      <w:bookmarkEnd w:id="52"/>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41">
        <w:r>
          <w:rPr>
            <w:rStyle w:val="Hyperlink"/>
          </w:rPr>
          <w:t>https://doi.org/10.1016/j.jaridenv.2005.08.015</w:t>
        </w:r>
      </w:hyperlink>
    </w:p>
    <w:p w14:paraId="73599005" w14:textId="77777777" w:rsidR="000C28D7" w:rsidRDefault="00000000">
      <w:pPr>
        <w:pStyle w:val="Bibliography"/>
      </w:pPr>
      <w:bookmarkStart w:id="54" w:name="ref-delRo2021b"/>
      <w:bookmarkEnd w:id="53"/>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42">
        <w:r>
          <w:rPr>
            <w:rStyle w:val="Hyperlink"/>
          </w:rPr>
          <w:t>https://doi.org/10.1007/s00606-021-01782-z</w:t>
        </w:r>
      </w:hyperlink>
    </w:p>
    <w:p w14:paraId="4DF6FF62" w14:textId="77777777" w:rsidR="000C28D7" w:rsidRPr="00A8732F" w:rsidRDefault="00000000">
      <w:pPr>
        <w:pStyle w:val="Bibliography"/>
        <w:rPr>
          <w:lang w:val="es-ES"/>
        </w:rPr>
      </w:pPr>
      <w:bookmarkStart w:id="55" w:name="ref-RUTLLANT2002"/>
      <w:bookmarkEnd w:id="54"/>
      <w:r>
        <w:t xml:space="preserve">Rutllant, J., &amp; Montecino, V. (2002). Multiscale upwelling forcing cycles and biological response off north-central chile. </w:t>
      </w:r>
      <w:r w:rsidRPr="00A8732F">
        <w:rPr>
          <w:i/>
          <w:iCs/>
          <w:lang w:val="es-ES"/>
        </w:rPr>
        <w:t>Revista Chilena de Historia Natural</w:t>
      </w:r>
      <w:r w:rsidRPr="00A8732F">
        <w:rPr>
          <w:lang w:val="es-ES"/>
        </w:rPr>
        <w:t xml:space="preserve">, </w:t>
      </w:r>
      <w:r w:rsidRPr="00A8732F">
        <w:rPr>
          <w:i/>
          <w:iCs/>
          <w:lang w:val="es-ES"/>
        </w:rPr>
        <w:t>75</w:t>
      </w:r>
      <w:r w:rsidRPr="00A8732F">
        <w:rPr>
          <w:lang w:val="es-ES"/>
        </w:rPr>
        <w:t xml:space="preserve">(1). </w:t>
      </w:r>
      <w:hyperlink r:id="rId43">
        <w:r w:rsidRPr="00A8732F">
          <w:rPr>
            <w:rStyle w:val="Hyperlink"/>
            <w:lang w:val="es-ES"/>
          </w:rPr>
          <w:t>https://doi.org/10.4067/s0716-078x2002000100020</w:t>
        </w:r>
      </w:hyperlink>
    </w:p>
    <w:p w14:paraId="17B03E47" w14:textId="77777777" w:rsidR="000C28D7" w:rsidRDefault="00000000">
      <w:pPr>
        <w:pStyle w:val="Bibliography"/>
      </w:pPr>
      <w:bookmarkStart w:id="56" w:name="ref-Schemenauer1994"/>
      <w:bookmarkEnd w:id="55"/>
      <w:r w:rsidRPr="00A8732F">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44">
        <w:r>
          <w:rPr>
            <w:rStyle w:val="Hyperlink"/>
          </w:rPr>
          <w:t>https://doi.org/10.1175/1520-0450(1994)033&lt;1313:apsfcf&gt;2.0.co;2</w:t>
        </w:r>
      </w:hyperlink>
    </w:p>
    <w:p w14:paraId="5F51DDF1" w14:textId="77777777" w:rsidR="000C28D7" w:rsidRDefault="00000000">
      <w:pPr>
        <w:pStyle w:val="Bibliography"/>
      </w:pPr>
      <w:bookmarkStart w:id="57" w:name="ref-Stull1988"/>
      <w:bookmarkEnd w:id="56"/>
      <w:r>
        <w:t xml:space="preserve">Stull, R. B. (1988). </w:t>
      </w:r>
      <w:r>
        <w:rPr>
          <w:i/>
          <w:iCs/>
        </w:rPr>
        <w:t>An introduction to boundary layer meteorology</w:t>
      </w:r>
      <w:r>
        <w:t xml:space="preserve">. Kluwer Academic Publishers. </w:t>
      </w:r>
      <w:hyperlink r:id="rId45">
        <w:r>
          <w:rPr>
            <w:rStyle w:val="Hyperlink"/>
          </w:rPr>
          <w:t>https://doi.org/10.1007/978-94-009-3027-8</w:t>
        </w:r>
      </w:hyperlink>
    </w:p>
    <w:p w14:paraId="62BC5093" w14:textId="77777777" w:rsidR="000C28D7" w:rsidRDefault="00000000">
      <w:pPr>
        <w:pStyle w:val="Bibliography"/>
      </w:pPr>
      <w:bookmarkStart w:id="58" w:name="ref-Wang2016"/>
      <w:bookmarkEnd w:id="57"/>
      <w:r>
        <w:t xml:space="preserve">Wang, L., Kaseke, K. F., &amp; Seely, M. K. (2016). Effects of non‐rainfall water inputs on ecosystem functions. </w:t>
      </w:r>
      <w:r>
        <w:rPr>
          <w:i/>
          <w:iCs/>
        </w:rPr>
        <w:t>WIREs Water</w:t>
      </w:r>
      <w:r>
        <w:t xml:space="preserve">, </w:t>
      </w:r>
      <w:r>
        <w:rPr>
          <w:i/>
          <w:iCs/>
        </w:rPr>
        <w:t>4</w:t>
      </w:r>
      <w:r>
        <w:t xml:space="preserve">(1). </w:t>
      </w:r>
      <w:hyperlink r:id="rId46">
        <w:r>
          <w:rPr>
            <w:rStyle w:val="Hyperlink"/>
          </w:rPr>
          <w:t>https://doi.org/10.1002/wat2.1179</w:t>
        </w:r>
      </w:hyperlink>
      <w:bookmarkEnd w:id="29"/>
      <w:bookmarkEnd w:id="31"/>
      <w:bookmarkEnd w:id="58"/>
    </w:p>
    <w:sectPr w:rsidR="000C28D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isca Muñoz Narbona" w:date="2026-09-25T17:28:00Z" w:initials="FMN">
    <w:p w14:paraId="04A19727" w14:textId="77777777" w:rsidR="00A8732F" w:rsidRDefault="00A8732F" w:rsidP="00A8732F">
      <w:r>
        <w:rPr>
          <w:rStyle w:val="CommentReference"/>
        </w:rPr>
        <w:annotationRef/>
      </w:r>
      <w:r>
        <w:rPr>
          <w:sz w:val="20"/>
          <w:szCs w:val="20"/>
        </w:rPr>
        <w:t xml:space="preserve">me refiero a las congénero de tillandsia, o sea no es solo tillandsia landbeckii tambien hay otras tillandsias, en ese paper se menciona Tillandsia marconae and Tillandsia virescens y otras, pero para no mencionarlas todas puse congénero. Igual si no se entiende lo cambio </w:t>
      </w:r>
    </w:p>
  </w:comment>
  <w:comment w:id="5" w:author="Francisca Muñoz Narbona" w:date="2026-09-25T17:29:00Z" w:initials="FMN">
    <w:p w14:paraId="1A5A12E5" w14:textId="77777777" w:rsidR="00A8732F" w:rsidRDefault="00A8732F" w:rsidP="00A8732F">
      <w:r>
        <w:rPr>
          <w:rStyle w:val="CommentReference"/>
        </w:rPr>
        <w:annotationRef/>
      </w:r>
      <w:r>
        <w:rPr>
          <w:sz w:val="20"/>
          <w:szCs w:val="20"/>
        </w:rPr>
        <w:t>siento que me quedó media desordenada y pucha creo que no se ve muy el nombre de las estaciones en A y B pero eso lo puedo arreglar bien después. Dime si te parece bien algo así y ahí afino esos detalles, si hay que cambiar otra cosa me avisas</w:t>
      </w:r>
    </w:p>
  </w:comment>
  <w:comment w:id="6" w:author="Francisca Muñoz Narbona" w:date="2026-09-25T17:29:00Z" w:initials="FMN">
    <w:p w14:paraId="4B1F4675" w14:textId="77777777" w:rsidR="00A8732F" w:rsidRDefault="00A8732F" w:rsidP="00A8732F">
      <w:r>
        <w:rPr>
          <w:rStyle w:val="CommentReference"/>
        </w:rPr>
        <w:annotationRef/>
      </w:r>
      <w:r>
        <w:rPr>
          <w:sz w:val="20"/>
          <w:szCs w:val="20"/>
        </w:rPr>
        <w:t>las coordenadas de D parece q tampoco se ven muy bien</w:t>
      </w:r>
    </w:p>
  </w:comment>
  <w:comment w:id="20" w:author="Francisca Muñoz Narbona" w:date="2026-09-25T17:32:00Z" w:initials="FMN">
    <w:p w14:paraId="034F33EB" w14:textId="77777777" w:rsidR="00B83CC6" w:rsidRDefault="00B83CC6" w:rsidP="00B83CC6">
      <w:r>
        <w:rPr>
          <w:rStyle w:val="CommentReference"/>
        </w:rPr>
        <w:annotationRef/>
      </w:r>
      <w:r>
        <w:rPr>
          <w:sz w:val="20"/>
          <w:szCs w:val="20"/>
        </w:rPr>
        <w:t>Esta figura actualizada en ppt, se le incorpora barrita horizontal de los captadores iniciales</w:t>
      </w:r>
    </w:p>
  </w:comment>
  <w:comment w:id="22" w:author="Francisca Muñoz Narbona" w:date="2026-09-25T17:34:00Z" w:initials="FMN">
    <w:p w14:paraId="2E391339" w14:textId="77777777" w:rsidR="00B83CC6" w:rsidRDefault="00B83CC6" w:rsidP="00B83CC6">
      <w:r>
        <w:rPr>
          <w:rStyle w:val="CommentReference"/>
        </w:rPr>
        <w:annotationRef/>
      </w:r>
      <w:r>
        <w:rPr>
          <w:sz w:val="20"/>
          <w:szCs w:val="20"/>
        </w:rPr>
        <w:t>figuras actualizadas ppt y separo frecuencia y cantidad. Hago graficos en donde se compara previo a la clasificación y post clasificación, una figura para cantidad agua y otra para frecuencia</w:t>
      </w:r>
    </w:p>
  </w:comment>
  <w:comment w:id="24" w:author="Francisca Muñoz Narbona" w:date="2026-09-25T17:34:00Z" w:initials="FMN">
    <w:p w14:paraId="6C069C60" w14:textId="77777777" w:rsidR="00B83CC6" w:rsidRDefault="00B83CC6" w:rsidP="00B83CC6">
      <w:r>
        <w:rPr>
          <w:rStyle w:val="CommentReference"/>
        </w:rPr>
        <w:annotationRef/>
      </w:r>
      <w:r>
        <w:rPr>
          <w:sz w:val="20"/>
          <w:szCs w:val="20"/>
        </w:rPr>
        <w:t>será necesario?</w:t>
      </w:r>
    </w:p>
  </w:comment>
  <w:comment w:id="25" w:author="Francisca Muñoz Narbona" w:date="2026-09-25T17:35:00Z" w:initials="FMN">
    <w:p w14:paraId="6DF05283" w14:textId="77777777" w:rsidR="00B83CC6" w:rsidRDefault="00B83CC6" w:rsidP="00B83CC6">
      <w:r>
        <w:rPr>
          <w:rStyle w:val="CommentReference"/>
        </w:rPr>
        <w:annotationRef/>
      </w:r>
      <w:r>
        <w:rPr>
          <w:sz w:val="20"/>
          <w:szCs w:val="20"/>
        </w:rPr>
        <w:t>en el ppt están diferentes la misma información, si mantengo esto tendría que agrandar tamaño fuente texto</w:t>
      </w:r>
    </w:p>
  </w:comment>
  <w:comment w:id="27" w:author="Francisca Muñoz Narbona" w:date="2026-09-25T17:36:00Z" w:initials="FMN">
    <w:p w14:paraId="5B7E2524" w14:textId="77777777" w:rsidR="00B83CC6" w:rsidRDefault="00B83CC6" w:rsidP="00B83CC6">
      <w:r>
        <w:rPr>
          <w:rStyle w:val="CommentReference"/>
        </w:rPr>
        <w:annotationRef/>
      </w:r>
      <w:r>
        <w:rPr>
          <w:sz w:val="20"/>
          <w:szCs w:val="20"/>
        </w:rPr>
        <w:t>estas 2 las omití de la presentación final, pero sería interesante agregarlas en el paper, pero quizás modificarlas un poco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A19727" w15:done="0"/>
  <w15:commentEx w15:paraId="1A5A12E5" w15:done="0"/>
  <w15:commentEx w15:paraId="4B1F4675" w15:paraIdParent="1A5A12E5" w15:done="0"/>
  <w15:commentEx w15:paraId="034F33EB" w15:done="0"/>
  <w15:commentEx w15:paraId="2E391339" w15:done="0"/>
  <w15:commentEx w15:paraId="6C069C60" w15:done="0"/>
  <w15:commentEx w15:paraId="6DF05283" w15:done="0"/>
  <w15:commentEx w15:paraId="5B7E25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73206" w16cex:dateUtc="2026-09-25T20:28:00Z"/>
  <w16cex:commentExtensible w16cex:durableId="1FEF083B" w16cex:dateUtc="2026-09-25T20:29:00Z"/>
  <w16cex:commentExtensible w16cex:durableId="0D9E218E" w16cex:dateUtc="2026-09-25T20:29:00Z"/>
  <w16cex:commentExtensible w16cex:durableId="0666EFA4" w16cex:dateUtc="2026-09-25T20:32:00Z"/>
  <w16cex:commentExtensible w16cex:durableId="2765256E" w16cex:dateUtc="2026-09-25T20:34:00Z"/>
  <w16cex:commentExtensible w16cex:durableId="35CBD6E6" w16cex:dateUtc="2026-09-25T20:34:00Z"/>
  <w16cex:commentExtensible w16cex:durableId="1F64B2E8" w16cex:dateUtc="2026-09-25T20:35:00Z"/>
  <w16cex:commentExtensible w16cex:durableId="4395291E" w16cex:dateUtc="2026-09-25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A19727" w16cid:durableId="11973206"/>
  <w16cid:commentId w16cid:paraId="1A5A12E5" w16cid:durableId="1FEF083B"/>
  <w16cid:commentId w16cid:paraId="4B1F4675" w16cid:durableId="0D9E218E"/>
  <w16cid:commentId w16cid:paraId="034F33EB" w16cid:durableId="0666EFA4"/>
  <w16cid:commentId w16cid:paraId="2E391339" w16cid:durableId="2765256E"/>
  <w16cid:commentId w16cid:paraId="6C069C60" w16cid:durableId="35CBD6E6"/>
  <w16cid:commentId w16cid:paraId="6DF05283" w16cid:durableId="1F64B2E8"/>
  <w16cid:commentId w16cid:paraId="5B7E2524" w16cid:durableId="439529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3A64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F47E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1150959">
    <w:abstractNumId w:val="0"/>
  </w:num>
  <w:num w:numId="2" w16cid:durableId="1143700127">
    <w:abstractNumId w:val="1"/>
  </w:num>
  <w:num w:numId="3" w16cid:durableId="513345391">
    <w:abstractNumId w:val="1"/>
  </w:num>
  <w:num w:numId="4" w16cid:durableId="741027582">
    <w:abstractNumId w:val="1"/>
  </w:num>
  <w:num w:numId="5" w16cid:durableId="654920553">
    <w:abstractNumId w:val="1"/>
  </w:num>
  <w:num w:numId="6" w16cid:durableId="1378698527">
    <w:abstractNumId w:val="1"/>
  </w:num>
  <w:num w:numId="7" w16cid:durableId="1363021073">
    <w:abstractNumId w:val="1"/>
  </w:num>
  <w:num w:numId="8" w16cid:durableId="1222903438">
    <w:abstractNumId w:val="1"/>
  </w:num>
  <w:num w:numId="9" w16cid:durableId="73404086">
    <w:abstractNumId w:val="1"/>
  </w:num>
  <w:num w:numId="10" w16cid:durableId="84436680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D7"/>
    <w:rsid w:val="000C28D7"/>
    <w:rsid w:val="00A8732F"/>
    <w:rsid w:val="00B83CC6"/>
    <w:rsid w:val="00C04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E6B89D"/>
  <w15:docId w15:val="{22EE4485-9777-604B-B4FE-A2F1F9E2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A8732F"/>
    <w:rPr>
      <w:sz w:val="16"/>
      <w:szCs w:val="16"/>
    </w:rPr>
  </w:style>
  <w:style w:type="paragraph" w:styleId="CommentText">
    <w:name w:val="annotation text"/>
    <w:basedOn w:val="Normal"/>
    <w:link w:val="CommentTextChar"/>
    <w:rsid w:val="00A8732F"/>
    <w:rPr>
      <w:sz w:val="20"/>
      <w:szCs w:val="20"/>
    </w:rPr>
  </w:style>
  <w:style w:type="character" w:customStyle="1" w:styleId="CommentTextChar">
    <w:name w:val="Comment Text Char"/>
    <w:basedOn w:val="DefaultParagraphFont"/>
    <w:link w:val="CommentText"/>
    <w:rsid w:val="00A8732F"/>
    <w:rPr>
      <w:sz w:val="20"/>
      <w:szCs w:val="20"/>
    </w:rPr>
  </w:style>
  <w:style w:type="paragraph" w:styleId="CommentSubject">
    <w:name w:val="annotation subject"/>
    <w:basedOn w:val="CommentText"/>
    <w:next w:val="CommentText"/>
    <w:link w:val="CommentSubjectChar"/>
    <w:rsid w:val="00A8732F"/>
    <w:rPr>
      <w:b/>
      <w:bCs/>
    </w:rPr>
  </w:style>
  <w:style w:type="character" w:customStyle="1" w:styleId="CommentSubjectChar">
    <w:name w:val="Comment Subject Char"/>
    <w:basedOn w:val="CommentTextChar"/>
    <w:link w:val="CommentSubject"/>
    <w:rsid w:val="00A873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00606-021-01775-y" TargetMode="External"/><Relationship Id="rId39" Type="http://schemas.openxmlformats.org/officeDocument/2006/relationships/hyperlink" Target="https://doi.org/10.5281/zenodo.21826557" TargetMode="External"/><Relationship Id="rId21" Type="http://schemas.openxmlformats.org/officeDocument/2006/relationships/hyperlink" Target="https://doi.org/10.1016/s0169-8095(02)00097-2" TargetMode="External"/><Relationship Id="rId34" Type="http://schemas.openxmlformats.org/officeDocument/2006/relationships/hyperlink" Target="https://doi.org/10.3390/hydrology12120320" TargetMode="External"/><Relationship Id="rId42" Type="http://schemas.openxmlformats.org/officeDocument/2006/relationships/hyperlink" Target="https://doi.org/10.1007/s00606-021-01782-z" TargetMode="External"/><Relationship Id="rId47" Type="http://schemas.openxmlformats.org/officeDocument/2006/relationships/fontTable" Target="fontTab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16/j.ppees.2025.125846" TargetMode="External"/><Relationship Id="rId11" Type="http://schemas.openxmlformats.org/officeDocument/2006/relationships/image" Target="media/image3.png"/><Relationship Id="rId24" Type="http://schemas.openxmlformats.org/officeDocument/2006/relationships/hyperlink" Target="https://doi.org/10.1016/j.atmosres.2024.107533" TargetMode="External"/><Relationship Id="rId32" Type="http://schemas.openxmlformats.org/officeDocument/2006/relationships/hyperlink" Target="https://doi.org/10.1016/s0169-8095(02)00098-4" TargetMode="External"/><Relationship Id="rId37" Type="http://schemas.openxmlformats.org/officeDocument/2006/relationships/hyperlink" Target="https://doi.org/10.3390/atmos14121736" TargetMode="External"/><Relationship Id="rId40" Type="http://schemas.openxmlformats.org/officeDocument/2006/relationships/hyperlink" Target="https://doi.org/10.1016/s0169-8095(02)00100-x" TargetMode="External"/><Relationship Id="rId45" Type="http://schemas.openxmlformats.org/officeDocument/2006/relationships/hyperlink" Target="https://doi.org/10.1007/978-94-009-3027-8"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1016/j.jhydrol.2021.126190" TargetMode="External"/><Relationship Id="rId28" Type="http://schemas.openxmlformats.org/officeDocument/2006/relationships/hyperlink" Target="https://doi.org/10.1002/joc.1359" TargetMode="External"/><Relationship Id="rId36" Type="http://schemas.openxmlformats.org/officeDocument/2006/relationships/hyperlink" Target="https://doi.org/10.1016/j.jaridenv.2024.105125"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3390/su152215720" TargetMode="External"/><Relationship Id="rId31" Type="http://schemas.openxmlformats.org/officeDocument/2006/relationships/hyperlink" Target="https://doi.org/10.1002/mbo3.894" TargetMode="External"/><Relationship Id="rId44" Type="http://schemas.openxmlformats.org/officeDocument/2006/relationships/hyperlink" Target="https://doi.org/10.1175/1520-0450(1994)033%3c1313:apsfcf%3e2.0.co;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scitotenv.2021.148299" TargetMode="External"/><Relationship Id="rId27" Type="http://schemas.openxmlformats.org/officeDocument/2006/relationships/hyperlink" Target="https://doi.org/10.1007/978-3-7643-8419-7_3" TargetMode="External"/><Relationship Id="rId30" Type="http://schemas.openxmlformats.org/officeDocument/2006/relationships/hyperlink" Target="https://doi.org/10.1029/2005wr004055" TargetMode="External"/><Relationship Id="rId35" Type="http://schemas.openxmlformats.org/officeDocument/2006/relationships/hyperlink" Target="https://doi.org/10.1016/j.atmosres.2018.07.009" TargetMode="External"/><Relationship Id="rId43" Type="http://schemas.openxmlformats.org/officeDocument/2006/relationships/hyperlink" Target="https://doi.org/10.4067/s0716-078x2002000100020" TargetMode="External"/><Relationship Id="rId48" Type="http://schemas.microsoft.com/office/2011/relationships/people" Target="peop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rser.2013.08.063" TargetMode="External"/><Relationship Id="rId33" Type="http://schemas.openxmlformats.org/officeDocument/2006/relationships/hyperlink" Target="https://doi.org/10.1029/2010jg001521" TargetMode="External"/><Relationship Id="rId38" Type="http://schemas.openxmlformats.org/officeDocument/2006/relationships/hyperlink" Target="https://doi.org/10.1002/qj.49708335706" TargetMode="External"/><Relationship Id="rId46" Type="http://schemas.openxmlformats.org/officeDocument/2006/relationships/hyperlink" Target="https://doi.org/10.1002/wat2.1179" TargetMode="External"/><Relationship Id="rId20" Type="http://schemas.openxmlformats.org/officeDocument/2006/relationships/hyperlink" Target="https://doi.org/10.1016/j.atmosres.2007.11.012" TargetMode="External"/><Relationship Id="rId41" Type="http://schemas.openxmlformats.org/officeDocument/2006/relationships/hyperlink" Target="https://doi.org/10.1016/j.jaridenv.2005.08.015"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5072</Words>
  <Characters>28915</Characters>
  <Application>Microsoft Office Word</Application>
  <DocSecurity>0</DocSecurity>
  <Lines>590</Lines>
  <Paragraphs>232</Paragraphs>
  <ScaleCrop>false</ScaleCrop>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2</cp:revision>
  <dcterms:created xsi:type="dcterms:W3CDTF">2026-09-25T20:36:00Z</dcterms:created>
  <dcterms:modified xsi:type="dcterms:W3CDTF">2026-09-25T20:36:00Z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2026-09-25</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