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9E3FF" w14:textId="77777777" w:rsidR="00155D89" w:rsidRDefault="00000000">
      <w:pPr>
        <w:pStyle w:val="Title"/>
      </w:pPr>
      <w:commentRangeStart w:id="0"/>
      <w:r>
        <w:t>T</w:t>
      </w:r>
      <w:commentRangeEnd w:id="0"/>
      <w:r w:rsidR="00264FAC">
        <w:rPr>
          <w:rStyle w:val="CommentReference"/>
          <w:sz w:val="56"/>
          <w:szCs w:val="56"/>
        </w:rPr>
        <w:commentReference w:id="0"/>
      </w:r>
      <w:r>
        <w:t>hermodynamic characterization of the marine boundary layer during fog and dew occurrences in the hyperarid coastal climate of the Atacama Desert</w:t>
      </w:r>
    </w:p>
    <w:p w14:paraId="685C8813" w14:textId="77777777" w:rsidR="00155D89" w:rsidRPr="00264FAC" w:rsidRDefault="00000000">
      <w:pPr>
        <w:pStyle w:val="Author"/>
        <w:rPr>
          <w:lang w:val="es-ES"/>
        </w:rPr>
      </w:pPr>
      <w:r w:rsidRPr="00264FAC">
        <w:rPr>
          <w:lang w:val="es-ES"/>
        </w:rPr>
        <w:t>F.M. Narbona, S. Acevedo, C. Del Río, A. Siegmund, F. Lobos-Roco</w:t>
      </w:r>
    </w:p>
    <w:p w14:paraId="40DD23F5" w14:textId="77777777" w:rsidR="00155D89" w:rsidRDefault="00000000">
      <w:pPr>
        <w:pStyle w:val="Date"/>
      </w:pPr>
      <w:r>
        <w:t>2026-10-06</w:t>
      </w:r>
    </w:p>
    <w:p w14:paraId="7EB94CC9" w14:textId="77777777" w:rsidR="00155D89" w:rsidRDefault="00000000">
      <w:pPr>
        <w:pStyle w:val="Heading1"/>
      </w:pPr>
      <w:bookmarkStart w:id="1" w:name="introduction"/>
      <w:r>
        <w:t>Introduction</w:t>
      </w:r>
    </w:p>
    <w:p w14:paraId="25C3B29B" w14:textId="77777777" w:rsidR="00155D89"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congeneric </w:t>
      </w:r>
      <w:r>
        <w:rPr>
          <w:i/>
          <w:iCs/>
        </w:rPr>
        <w:t>Tillandsia</w:t>
      </w:r>
      <w:r>
        <w:t xml:space="preserve"> (Pinto et al., 2006) and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5FA7BA40" w14:textId="77777777" w:rsidR="00155D89" w:rsidRDefault="00000000">
      <w:pPr>
        <w:pStyle w:val="BodyText"/>
      </w:pPr>
      <w:r>
        <w:t>Fog and dew are condensation processes that occurs within the marine boundary layer (MBL), governed by turbulent mixing, advection and thermal stratification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xml:space="preserve">)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Here, clouds get in contact with the coastal mountain range between 600 and 1200 m asl, forming a fog belt. One of the main thermodynamic characteristic of stratocumulus cloud-fog in the Atacama is that it develops under a well-mixed (turbulent) MBL, with low potential temperature gradients (∂θ/∂z &lt; 3.1×10⁻³ K m⁻¹) (Lobos Roco et al., 2018) and </w:t>
      </w:r>
      <w:r>
        <w:lastRenderedPageBreak/>
        <w:t>continuous positive moisture advection (∂q/∂t ≈ +0.016 g kg⁻¹ h⁻¹) (Lobos-Roco et al., 2024).</w:t>
      </w:r>
    </w:p>
    <w:p w14:paraId="40A11034" w14:textId="77777777" w:rsidR="00155D89" w:rsidRDefault="00000000">
      <w:pPr>
        <w:pStyle w:val="BodyText"/>
      </w:pPr>
      <w:r>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(Jacobs et al., 2006; Monteith, 1957). In terms of thermodynamics, dew forms under a more stable surface layer (∂θ/∂z &gt;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7DF76464" w14:textId="77777777" w:rsidR="00155D89"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16D357CD" w14:textId="77777777" w:rsidR="00155D89"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on,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44DC1689" w14:textId="77777777" w:rsidR="00155D89"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occurrences 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occurrences compared to total occurrences exceeds the ones recorded </w:t>
      </w:r>
      <w:r>
        <w:lastRenderedPageBreak/>
        <w:t>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4A594F0D" w14:textId="77777777" w:rsidR="00155D89" w:rsidRDefault="00000000">
      <w:pPr>
        <w:pStyle w:val="Heading1"/>
      </w:pPr>
      <w:bookmarkStart w:id="2" w:name="outline-methods"/>
      <w:bookmarkEnd w:id="1"/>
      <w:r>
        <w:t>Outline methods</w:t>
      </w:r>
    </w:p>
    <w:p w14:paraId="5F3A71EC" w14:textId="77777777" w:rsidR="00155D89" w:rsidRDefault="00000000">
      <w:pPr>
        <w:pStyle w:val="Heading2"/>
      </w:pPr>
      <w:bookmarkStart w:id="3" w:name="study-area-cerro-oyarbide"/>
      <w:r>
        <w:t>Study area: Cerro Oyarbide</w:t>
      </w:r>
    </w:p>
    <w:p w14:paraId="60316085" w14:textId="77777777" w:rsidR="00155D89" w:rsidRDefault="00000000">
      <w:pPr>
        <w:pStyle w:val="FirstParagraph"/>
      </w:pPr>
      <w:r>
        <w:t>The meteorological observations used in this study are located over topographic transect placed at Cerro Oyarbide (~20.61°S, 70.07°W). This site is located in the Atacama coastal mountain range about 11 km inland from the coastline (</w:t>
      </w:r>
      <w:hyperlink w:anchor="fig-oyarbide">
        <w:r w:rsidR="00155D89">
          <w:rPr>
            <w:rStyle w:val="Hyperlink"/>
          </w:rPr>
          <w:t>Figure 1</w:t>
        </w:r>
      </w:hyperlink>
      <w:r>
        <w:t xml:space="preserve">, B and D). The climate is hyper-arid, where no rain occurs and the sole water inputs to the surface comes from dew and fog. Such conditions only sustain </w:t>
      </w:r>
      <w:r>
        <w:rPr>
          <w:i/>
          <w:iCs/>
        </w:rPr>
        <w:t>Tillandsia landbeckii</w:t>
      </w:r>
      <w:r>
        <w:t xml:space="preserve"> species, a rootless plant that locates between 900 and 1200 m above sea level, in the upper border of the fog belt (García et al., 2021; Koch et al., 2019).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sidR="00155D89">
          <w:rPr>
            <w:rStyle w:val="Hyperlink"/>
          </w:rPr>
          <w:t>Figure 1</w:t>
        </w:r>
      </w:hyperlink>
      <w:r>
        <w:t>, A). This band ranges from a cloud base as low as ~753 m a.s.l. to a cloud top as high as ~1400 m a.s.l. (Del Río et al., 2021). Within this gradient, our main station named OYA1211 located on the upper border of Tillandsia landbeckii fields (</w:t>
      </w:r>
      <w:hyperlink w:anchor="fig-oyarbide">
        <w:r w:rsidR="00155D89">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576"/>
      </w:tblGrid>
      <w:tr w:rsidR="00155D89" w14:paraId="6C10461A" w14:textId="77777777">
        <w:tc>
          <w:tcPr>
            <w:tcW w:w="7920" w:type="dxa"/>
          </w:tcPr>
          <w:p w14:paraId="6150BCD5" w14:textId="77777777" w:rsidR="00155D89" w:rsidRDefault="00000000">
            <w:pPr>
              <w:pStyle w:val="Compact"/>
              <w:jc w:val="center"/>
            </w:pPr>
            <w:bookmarkStart w:id="4" w:name="fig-oyarbide"/>
            <w:commentRangeStart w:id="5"/>
            <w:r>
              <w:rPr>
                <w:noProof/>
              </w:rPr>
              <w:lastRenderedPageBreak/>
              <w:drawing>
                <wp:inline distT="0" distB="0" distL="0" distR="0" wp14:anchorId="046F9685" wp14:editId="47EE2E07">
                  <wp:extent cx="5334000" cy="2954717"/>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_v07.png"/>
                          <pic:cNvPicPr>
                            <a:picLocks noChangeAspect="1" noChangeArrowheads="1"/>
                          </pic:cNvPicPr>
                        </pic:nvPicPr>
                        <pic:blipFill>
                          <a:blip r:embed="rId9"/>
                          <a:stretch>
                            <a:fillRect/>
                          </a:stretch>
                        </pic:blipFill>
                        <pic:spPr bwMode="auto">
                          <a:xfrm>
                            <a:off x="0" y="0"/>
                            <a:ext cx="5334000" cy="2954717"/>
                          </a:xfrm>
                          <a:prstGeom prst="rect">
                            <a:avLst/>
                          </a:prstGeom>
                          <a:noFill/>
                          <a:ln w="9525">
                            <a:noFill/>
                            <a:headEnd/>
                            <a:tailEnd/>
                          </a:ln>
                        </pic:spPr>
                      </pic:pic>
                    </a:graphicData>
                  </a:graphic>
                </wp:inline>
              </w:drawing>
            </w:r>
            <w:commentRangeEnd w:id="5"/>
            <w:r w:rsidR="00264FAC">
              <w:rPr>
                <w:rStyle w:val="CommentReference"/>
                <w:sz w:val="24"/>
                <w:szCs w:val="24"/>
              </w:rPr>
              <w:commentReference w:id="5"/>
            </w:r>
          </w:p>
          <w:p w14:paraId="71693482" w14:textId="77777777" w:rsidR="00155D89" w:rsidRDefault="00000000">
            <w:pPr>
              <w:pStyle w:val="ImageCaption"/>
              <w:spacing w:before="200"/>
            </w:pPr>
            <w:r>
              <w:t>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w:t>
            </w:r>
          </w:p>
        </w:tc>
        <w:bookmarkEnd w:id="4"/>
      </w:tr>
    </w:tbl>
    <w:p w14:paraId="475E3C6B" w14:textId="77777777" w:rsidR="00155D89" w:rsidRDefault="00000000">
      <w:pPr>
        <w:pStyle w:val="Heading2"/>
      </w:pPr>
      <w:bookmarkStart w:id="6" w:name="data-and-instrumentation"/>
      <w:bookmarkEnd w:id="3"/>
      <w:r>
        <w:t>Data and instrumentation</w:t>
      </w:r>
    </w:p>
    <w:p w14:paraId="0540C125" w14:textId="77777777" w:rsidR="00155D89" w:rsidRDefault="00000000">
      <w:pPr>
        <w:pStyle w:val="FirstParagraph"/>
      </w:pPr>
      <w:r>
        <w:t>The dataset used in this study spans the full year 2024 at a 10-minute interval, includes air temperature (°C), relative humidity (%), wind speed (m/s) and direction (°), horizontal visibility (m), air pressure (Pa), and fog and dew collection (mL m⁻²). Data availability varies by station and sensor (</w:t>
      </w:r>
      <w:hyperlink w:anchor="tbl-availability">
        <w:r w:rsidR="00155D89">
          <w:rPr>
            <w:rStyle w:val="Hyperlink"/>
          </w:rPr>
          <w:t>Table 1</w:t>
        </w:r>
      </w:hyperlink>
      <w: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hyperlink w:anchor="fig-oyarbide">
        <w:r w:rsidR="00155D89">
          <w:rPr>
            <w:rStyle w:val="Hyperlink"/>
          </w:rPr>
          <w:t>Figure 1</w:t>
        </w:r>
      </w:hyperlink>
      <w:r>
        <w:t>, C).</w:t>
      </w:r>
    </w:p>
    <w:p w14:paraId="203E6DFA" w14:textId="77777777" w:rsidR="00155D89" w:rsidRDefault="00000000">
      <w:pPr>
        <w:pStyle w:val="BodyText"/>
      </w:pPr>
      <w:r>
        <w:t xml:space="preserve">The main observations used in this study are the fog and dew collectors and the visibility sensor. The fog collector (SFC) is a 1 m² standard mesh that intercepts fog droplets (0.2 to 30 μm) advected by the wind. Droplets grow by coalescence and precipitate along the </w:t>
      </w:r>
      <w:r>
        <w:lastRenderedPageBreak/>
        <w:t>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(west), the SDC captures vertical condensation toward the surface, and the visibility sensor is aligned perpendicular to the SFC for undisturbed optical measurements.</w:t>
      </w:r>
    </w:p>
    <w:p w14:paraId="160DD8E1" w14:textId="77777777" w:rsidR="00155D89"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occurrence classification criteria.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576"/>
      </w:tblGrid>
      <w:tr w:rsidR="00155D89" w14:paraId="35DFE314" w14:textId="77777777">
        <w:tc>
          <w:tcPr>
            <w:tcW w:w="7920" w:type="dxa"/>
          </w:tcPr>
          <w:p w14:paraId="2C45E709" w14:textId="77777777" w:rsidR="00155D89" w:rsidRDefault="00000000">
            <w:pPr>
              <w:pStyle w:val="ImageCaption"/>
              <w:spacing w:before="200"/>
            </w:pPr>
            <w:bookmarkStart w:id="7" w:name="tbl-availability"/>
            <w: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occurrence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4619" w:type="pct"/>
              <w:tblLayout w:type="fixed"/>
              <w:tblLook w:val="0020" w:firstRow="1" w:lastRow="0" w:firstColumn="0" w:lastColumn="0" w:noHBand="0" w:noVBand="0"/>
            </w:tblPr>
            <w:tblGrid>
              <w:gridCol w:w="1134"/>
              <w:gridCol w:w="851"/>
              <w:gridCol w:w="709"/>
              <w:gridCol w:w="708"/>
              <w:gridCol w:w="851"/>
              <w:gridCol w:w="851"/>
              <w:gridCol w:w="992"/>
              <w:gridCol w:w="710"/>
              <w:gridCol w:w="851"/>
              <w:gridCol w:w="990"/>
            </w:tblGrid>
            <w:tr w:rsidR="00264FAC" w:rsidRPr="00264FAC" w14:paraId="282343A6" w14:textId="77777777" w:rsidTr="00264FAC">
              <w:trPr>
                <w:cnfStyle w:val="100000000000" w:firstRow="1" w:lastRow="0" w:firstColumn="0" w:lastColumn="0" w:oddVBand="0" w:evenVBand="0" w:oddHBand="0" w:evenHBand="0" w:firstRowFirstColumn="0" w:firstRowLastColumn="0" w:lastRowFirstColumn="0" w:lastRowLastColumn="0"/>
                <w:tblHeader/>
              </w:trPr>
              <w:tc>
                <w:tcPr>
                  <w:tcW w:w="1134" w:type="dxa"/>
                </w:tcPr>
                <w:p w14:paraId="10BD200F" w14:textId="77777777" w:rsidR="00264FAC" w:rsidRPr="00264FAC" w:rsidRDefault="00264FAC">
                  <w:pPr>
                    <w:pStyle w:val="Compact"/>
                    <w:jc w:val="center"/>
                    <w:rPr>
                      <w:sz w:val="20"/>
                      <w:szCs w:val="20"/>
                    </w:rPr>
                  </w:pPr>
                  <w:r w:rsidRPr="00264FAC">
                    <w:rPr>
                      <w:sz w:val="20"/>
                      <w:szCs w:val="20"/>
                    </w:rPr>
                    <w:t>Station</w:t>
                  </w:r>
                </w:p>
              </w:tc>
              <w:tc>
                <w:tcPr>
                  <w:tcW w:w="851" w:type="dxa"/>
                </w:tcPr>
                <w:p w14:paraId="4283A67B" w14:textId="77777777" w:rsidR="00264FAC" w:rsidRPr="00264FAC" w:rsidRDefault="00264FAC">
                  <w:pPr>
                    <w:pStyle w:val="Compact"/>
                    <w:jc w:val="center"/>
                    <w:rPr>
                      <w:sz w:val="20"/>
                      <w:szCs w:val="20"/>
                    </w:rPr>
                  </w:pPr>
                  <w:r w:rsidRPr="00264FAC">
                    <w:rPr>
                      <w:sz w:val="20"/>
                      <w:szCs w:val="20"/>
                    </w:rPr>
                    <w:t>Dist (km)</w:t>
                  </w:r>
                </w:p>
              </w:tc>
              <w:tc>
                <w:tcPr>
                  <w:tcW w:w="709" w:type="dxa"/>
                </w:tcPr>
                <w:p w14:paraId="4F969E04" w14:textId="77777777" w:rsidR="00264FAC" w:rsidRPr="00264FAC" w:rsidRDefault="00264FAC">
                  <w:pPr>
                    <w:pStyle w:val="Compact"/>
                    <w:jc w:val="center"/>
                    <w:rPr>
                      <w:sz w:val="20"/>
                      <w:szCs w:val="20"/>
                    </w:rPr>
                  </w:pPr>
                  <w:r w:rsidRPr="00264FAC">
                    <w:rPr>
                      <w:sz w:val="20"/>
                      <w:szCs w:val="20"/>
                    </w:rPr>
                    <w:t>Temp (°C)</w:t>
                  </w:r>
                </w:p>
              </w:tc>
              <w:tc>
                <w:tcPr>
                  <w:tcW w:w="708" w:type="dxa"/>
                </w:tcPr>
                <w:p w14:paraId="6038D76B" w14:textId="77777777" w:rsidR="00264FAC" w:rsidRPr="00264FAC" w:rsidRDefault="00264FAC">
                  <w:pPr>
                    <w:pStyle w:val="Compact"/>
                    <w:jc w:val="center"/>
                    <w:rPr>
                      <w:sz w:val="20"/>
                      <w:szCs w:val="20"/>
                    </w:rPr>
                  </w:pPr>
                  <w:r w:rsidRPr="00264FAC">
                    <w:rPr>
                      <w:sz w:val="20"/>
                      <w:szCs w:val="20"/>
                    </w:rPr>
                    <w:t>HR (%)</w:t>
                  </w:r>
                </w:p>
              </w:tc>
              <w:tc>
                <w:tcPr>
                  <w:tcW w:w="851" w:type="dxa"/>
                </w:tcPr>
                <w:p w14:paraId="7FAD0726" w14:textId="77777777" w:rsidR="00264FAC" w:rsidRPr="00264FAC" w:rsidRDefault="00264FAC">
                  <w:pPr>
                    <w:pStyle w:val="Compact"/>
                    <w:jc w:val="center"/>
                    <w:rPr>
                      <w:sz w:val="20"/>
                      <w:szCs w:val="20"/>
                    </w:rPr>
                  </w:pPr>
                  <w:r w:rsidRPr="00264FAC">
                    <w:rPr>
                      <w:sz w:val="20"/>
                      <w:szCs w:val="20"/>
                    </w:rPr>
                    <w:t>U (m/s)</w:t>
                  </w:r>
                </w:p>
              </w:tc>
              <w:tc>
                <w:tcPr>
                  <w:tcW w:w="851" w:type="dxa"/>
                </w:tcPr>
                <w:p w14:paraId="2BF8307F" w14:textId="77777777" w:rsidR="00264FAC" w:rsidRPr="00264FAC" w:rsidRDefault="00264FAC">
                  <w:pPr>
                    <w:pStyle w:val="Compact"/>
                    <w:jc w:val="center"/>
                    <w:rPr>
                      <w:sz w:val="20"/>
                      <w:szCs w:val="20"/>
                    </w:rPr>
                  </w:pPr>
                  <w:r w:rsidRPr="00264FAC">
                    <w:rPr>
                      <w:sz w:val="20"/>
                      <w:szCs w:val="20"/>
                    </w:rPr>
                    <w:t>DV (°)</w:t>
                  </w:r>
                </w:p>
              </w:tc>
              <w:tc>
                <w:tcPr>
                  <w:tcW w:w="992" w:type="dxa"/>
                </w:tcPr>
                <w:p w14:paraId="6B693CFE" w14:textId="77777777" w:rsidR="00264FAC" w:rsidRPr="00264FAC" w:rsidRDefault="00264FAC">
                  <w:pPr>
                    <w:pStyle w:val="Compact"/>
                    <w:jc w:val="center"/>
                    <w:rPr>
                      <w:sz w:val="20"/>
                      <w:szCs w:val="20"/>
                    </w:rPr>
                  </w:pPr>
                  <w:r w:rsidRPr="00264FAC">
                    <w:rPr>
                      <w:sz w:val="20"/>
                      <w:szCs w:val="20"/>
                    </w:rPr>
                    <w:t>Fog (mL m⁻²)</w:t>
                  </w:r>
                </w:p>
              </w:tc>
              <w:tc>
                <w:tcPr>
                  <w:tcW w:w="710" w:type="dxa"/>
                </w:tcPr>
                <w:p w14:paraId="3F55D9B4" w14:textId="77777777" w:rsidR="00264FAC" w:rsidRPr="00264FAC" w:rsidRDefault="00264FAC">
                  <w:pPr>
                    <w:pStyle w:val="Compact"/>
                    <w:jc w:val="center"/>
                    <w:rPr>
                      <w:sz w:val="20"/>
                      <w:szCs w:val="20"/>
                    </w:rPr>
                  </w:pPr>
                  <w:r w:rsidRPr="00264FAC">
                    <w:rPr>
                      <w:sz w:val="20"/>
                      <w:szCs w:val="20"/>
                    </w:rPr>
                    <w:t>Pres (hPa)</w:t>
                  </w:r>
                </w:p>
              </w:tc>
              <w:tc>
                <w:tcPr>
                  <w:tcW w:w="851" w:type="dxa"/>
                </w:tcPr>
                <w:p w14:paraId="5B8DAAC7" w14:textId="77777777" w:rsidR="00264FAC" w:rsidRPr="00264FAC" w:rsidRDefault="00264FAC">
                  <w:pPr>
                    <w:pStyle w:val="Compact"/>
                    <w:jc w:val="center"/>
                    <w:rPr>
                      <w:sz w:val="20"/>
                      <w:szCs w:val="20"/>
                    </w:rPr>
                  </w:pPr>
                  <w:r w:rsidRPr="00264FAC">
                    <w:rPr>
                      <w:sz w:val="20"/>
                      <w:szCs w:val="20"/>
                    </w:rPr>
                    <w:t>Vis (m)</w:t>
                  </w:r>
                </w:p>
              </w:tc>
              <w:tc>
                <w:tcPr>
                  <w:tcW w:w="990" w:type="dxa"/>
                </w:tcPr>
                <w:p w14:paraId="64DD6CB5" w14:textId="77777777" w:rsidR="00264FAC" w:rsidRPr="00264FAC" w:rsidRDefault="00264FAC">
                  <w:pPr>
                    <w:pStyle w:val="Compact"/>
                    <w:jc w:val="center"/>
                    <w:rPr>
                      <w:sz w:val="20"/>
                      <w:szCs w:val="20"/>
                    </w:rPr>
                  </w:pPr>
                  <w:r w:rsidRPr="00264FAC">
                    <w:rPr>
                      <w:sz w:val="20"/>
                      <w:szCs w:val="20"/>
                    </w:rPr>
                    <w:t>Dew (mL m⁻²)</w:t>
                  </w:r>
                </w:p>
              </w:tc>
            </w:tr>
            <w:tr w:rsidR="00264FAC" w:rsidRPr="00264FAC" w14:paraId="466DD362" w14:textId="77777777" w:rsidTr="00264FAC">
              <w:tc>
                <w:tcPr>
                  <w:tcW w:w="1134" w:type="dxa"/>
                </w:tcPr>
                <w:p w14:paraId="6BE6FE69" w14:textId="77777777" w:rsidR="00264FAC" w:rsidRPr="00264FAC" w:rsidRDefault="00264FAC">
                  <w:pPr>
                    <w:pStyle w:val="Compact"/>
                    <w:jc w:val="center"/>
                    <w:rPr>
                      <w:sz w:val="20"/>
                      <w:szCs w:val="20"/>
                    </w:rPr>
                  </w:pPr>
                  <w:r w:rsidRPr="00264FAC">
                    <w:rPr>
                      <w:b/>
                      <w:bCs/>
                      <w:sz w:val="20"/>
                      <w:szCs w:val="20"/>
                    </w:rPr>
                    <w:t>OYA48 (AERP.)</w:t>
                  </w:r>
                </w:p>
              </w:tc>
              <w:tc>
                <w:tcPr>
                  <w:tcW w:w="851" w:type="dxa"/>
                </w:tcPr>
                <w:p w14:paraId="17BAEA73" w14:textId="77777777" w:rsidR="00264FAC" w:rsidRPr="00264FAC" w:rsidRDefault="00264FAC">
                  <w:pPr>
                    <w:pStyle w:val="Compact"/>
                    <w:jc w:val="center"/>
                    <w:rPr>
                      <w:sz w:val="20"/>
                      <w:szCs w:val="20"/>
                    </w:rPr>
                  </w:pPr>
                  <w:r w:rsidRPr="00264FAC">
                    <w:rPr>
                      <w:sz w:val="20"/>
                      <w:szCs w:val="20"/>
                    </w:rPr>
                    <w:t>0.86</w:t>
                  </w:r>
                </w:p>
              </w:tc>
              <w:tc>
                <w:tcPr>
                  <w:tcW w:w="709" w:type="dxa"/>
                </w:tcPr>
                <w:p w14:paraId="78C0EB41" w14:textId="77777777" w:rsidR="00264FAC" w:rsidRPr="00264FAC" w:rsidRDefault="00264FAC">
                  <w:pPr>
                    <w:pStyle w:val="Compact"/>
                    <w:jc w:val="center"/>
                    <w:rPr>
                      <w:sz w:val="20"/>
                      <w:szCs w:val="20"/>
                    </w:rPr>
                  </w:pPr>
                  <w:r w:rsidRPr="00264FAC">
                    <w:rPr>
                      <w:sz w:val="20"/>
                      <w:szCs w:val="20"/>
                    </w:rPr>
                    <w:t>100%</w:t>
                  </w:r>
                </w:p>
              </w:tc>
              <w:tc>
                <w:tcPr>
                  <w:tcW w:w="708" w:type="dxa"/>
                </w:tcPr>
                <w:p w14:paraId="1C0E26A2" w14:textId="77777777" w:rsidR="00264FAC" w:rsidRPr="00264FAC" w:rsidRDefault="00264FAC">
                  <w:pPr>
                    <w:pStyle w:val="Compact"/>
                    <w:jc w:val="center"/>
                    <w:rPr>
                      <w:sz w:val="20"/>
                      <w:szCs w:val="20"/>
                    </w:rPr>
                  </w:pPr>
                  <w:r w:rsidRPr="00264FAC">
                    <w:rPr>
                      <w:sz w:val="20"/>
                      <w:szCs w:val="20"/>
                    </w:rPr>
                    <w:t>100%</w:t>
                  </w:r>
                </w:p>
              </w:tc>
              <w:tc>
                <w:tcPr>
                  <w:tcW w:w="851" w:type="dxa"/>
                </w:tcPr>
                <w:p w14:paraId="65ECDEA7" w14:textId="77777777" w:rsidR="00264FAC" w:rsidRPr="00264FAC" w:rsidRDefault="00264FAC">
                  <w:pPr>
                    <w:pStyle w:val="Compact"/>
                    <w:jc w:val="center"/>
                    <w:rPr>
                      <w:sz w:val="20"/>
                      <w:szCs w:val="20"/>
                    </w:rPr>
                  </w:pPr>
                  <w:r w:rsidRPr="00264FAC">
                    <w:rPr>
                      <w:sz w:val="20"/>
                      <w:szCs w:val="20"/>
                    </w:rPr>
                    <w:t>100%</w:t>
                  </w:r>
                </w:p>
              </w:tc>
              <w:tc>
                <w:tcPr>
                  <w:tcW w:w="851" w:type="dxa"/>
                </w:tcPr>
                <w:p w14:paraId="4B26A9A6" w14:textId="77777777" w:rsidR="00264FAC" w:rsidRPr="00264FAC" w:rsidRDefault="00264FAC">
                  <w:pPr>
                    <w:pStyle w:val="Compact"/>
                    <w:jc w:val="center"/>
                    <w:rPr>
                      <w:sz w:val="20"/>
                      <w:szCs w:val="20"/>
                    </w:rPr>
                  </w:pPr>
                  <w:r w:rsidRPr="00264FAC">
                    <w:rPr>
                      <w:sz w:val="20"/>
                      <w:szCs w:val="20"/>
                    </w:rPr>
                    <w:t>100%</w:t>
                  </w:r>
                </w:p>
              </w:tc>
              <w:tc>
                <w:tcPr>
                  <w:tcW w:w="992" w:type="dxa"/>
                </w:tcPr>
                <w:p w14:paraId="25471E3F" w14:textId="77777777" w:rsidR="00264FAC" w:rsidRPr="00264FAC" w:rsidRDefault="00264FAC">
                  <w:pPr>
                    <w:pStyle w:val="Compact"/>
                    <w:jc w:val="center"/>
                    <w:rPr>
                      <w:sz w:val="20"/>
                      <w:szCs w:val="20"/>
                    </w:rPr>
                  </w:pPr>
                  <w:r w:rsidRPr="00264FAC">
                    <w:rPr>
                      <w:sz w:val="20"/>
                      <w:szCs w:val="20"/>
                    </w:rPr>
                    <w:t>–</w:t>
                  </w:r>
                </w:p>
              </w:tc>
              <w:tc>
                <w:tcPr>
                  <w:tcW w:w="710" w:type="dxa"/>
                </w:tcPr>
                <w:p w14:paraId="346021AB" w14:textId="77777777" w:rsidR="00264FAC" w:rsidRPr="00264FAC" w:rsidRDefault="00264FAC">
                  <w:pPr>
                    <w:pStyle w:val="Compact"/>
                    <w:jc w:val="center"/>
                    <w:rPr>
                      <w:sz w:val="20"/>
                      <w:szCs w:val="20"/>
                    </w:rPr>
                  </w:pPr>
                  <w:r w:rsidRPr="00264FAC">
                    <w:rPr>
                      <w:sz w:val="20"/>
                      <w:szCs w:val="20"/>
                    </w:rPr>
                    <w:t>100%</w:t>
                  </w:r>
                </w:p>
              </w:tc>
              <w:tc>
                <w:tcPr>
                  <w:tcW w:w="851" w:type="dxa"/>
                </w:tcPr>
                <w:p w14:paraId="66F85B3C" w14:textId="77777777" w:rsidR="00264FAC" w:rsidRPr="00264FAC" w:rsidRDefault="00264FAC">
                  <w:pPr>
                    <w:pStyle w:val="Compact"/>
                    <w:jc w:val="center"/>
                    <w:rPr>
                      <w:sz w:val="20"/>
                      <w:szCs w:val="20"/>
                    </w:rPr>
                  </w:pPr>
                  <w:r w:rsidRPr="00264FAC">
                    <w:rPr>
                      <w:sz w:val="20"/>
                      <w:szCs w:val="20"/>
                    </w:rPr>
                    <w:t>0%</w:t>
                  </w:r>
                </w:p>
              </w:tc>
              <w:tc>
                <w:tcPr>
                  <w:tcW w:w="990" w:type="dxa"/>
                </w:tcPr>
                <w:p w14:paraId="60D0FCE3" w14:textId="77777777" w:rsidR="00264FAC" w:rsidRPr="00264FAC" w:rsidRDefault="00264FAC">
                  <w:pPr>
                    <w:pStyle w:val="Compact"/>
                    <w:jc w:val="center"/>
                    <w:rPr>
                      <w:sz w:val="20"/>
                      <w:szCs w:val="20"/>
                    </w:rPr>
                  </w:pPr>
                  <w:r w:rsidRPr="00264FAC">
                    <w:rPr>
                      <w:sz w:val="20"/>
                      <w:szCs w:val="20"/>
                    </w:rPr>
                    <w:t>–</w:t>
                  </w:r>
                </w:p>
              </w:tc>
            </w:tr>
            <w:tr w:rsidR="00264FAC" w:rsidRPr="00264FAC" w14:paraId="35593767" w14:textId="77777777" w:rsidTr="00264FAC">
              <w:tc>
                <w:tcPr>
                  <w:tcW w:w="1134" w:type="dxa"/>
                </w:tcPr>
                <w:p w14:paraId="7E532100" w14:textId="77777777" w:rsidR="00264FAC" w:rsidRPr="00264FAC" w:rsidRDefault="00264FAC">
                  <w:pPr>
                    <w:pStyle w:val="Compact"/>
                    <w:jc w:val="center"/>
                    <w:rPr>
                      <w:sz w:val="20"/>
                      <w:szCs w:val="20"/>
                    </w:rPr>
                  </w:pPr>
                  <w:r w:rsidRPr="00264FAC">
                    <w:rPr>
                      <w:b/>
                      <w:bCs/>
                      <w:sz w:val="20"/>
                      <w:szCs w:val="20"/>
                    </w:rPr>
                    <w:t>OYA518</w:t>
                  </w:r>
                </w:p>
              </w:tc>
              <w:tc>
                <w:tcPr>
                  <w:tcW w:w="851" w:type="dxa"/>
                </w:tcPr>
                <w:p w14:paraId="56260B5D" w14:textId="77777777" w:rsidR="00264FAC" w:rsidRPr="00264FAC" w:rsidRDefault="00264FAC">
                  <w:pPr>
                    <w:pStyle w:val="Compact"/>
                    <w:jc w:val="center"/>
                    <w:rPr>
                      <w:sz w:val="20"/>
                      <w:szCs w:val="20"/>
                    </w:rPr>
                  </w:pPr>
                  <w:r w:rsidRPr="00264FAC">
                    <w:rPr>
                      <w:sz w:val="20"/>
                      <w:szCs w:val="20"/>
                    </w:rPr>
                    <w:t>4.18</w:t>
                  </w:r>
                </w:p>
              </w:tc>
              <w:tc>
                <w:tcPr>
                  <w:tcW w:w="709" w:type="dxa"/>
                </w:tcPr>
                <w:p w14:paraId="0C8ECD20" w14:textId="77777777" w:rsidR="00264FAC" w:rsidRPr="00264FAC" w:rsidRDefault="00264FAC">
                  <w:pPr>
                    <w:pStyle w:val="Compact"/>
                    <w:jc w:val="center"/>
                    <w:rPr>
                      <w:sz w:val="20"/>
                      <w:szCs w:val="20"/>
                    </w:rPr>
                  </w:pPr>
                  <w:r w:rsidRPr="00264FAC">
                    <w:rPr>
                      <w:sz w:val="20"/>
                      <w:szCs w:val="20"/>
                    </w:rPr>
                    <w:t>99%</w:t>
                  </w:r>
                </w:p>
              </w:tc>
              <w:tc>
                <w:tcPr>
                  <w:tcW w:w="708" w:type="dxa"/>
                </w:tcPr>
                <w:p w14:paraId="5D5FEC09" w14:textId="77777777" w:rsidR="00264FAC" w:rsidRPr="00264FAC" w:rsidRDefault="00264FAC">
                  <w:pPr>
                    <w:pStyle w:val="Compact"/>
                    <w:jc w:val="center"/>
                    <w:rPr>
                      <w:sz w:val="20"/>
                      <w:szCs w:val="20"/>
                    </w:rPr>
                  </w:pPr>
                  <w:r w:rsidRPr="00264FAC">
                    <w:rPr>
                      <w:sz w:val="20"/>
                      <w:szCs w:val="20"/>
                    </w:rPr>
                    <w:t>99%</w:t>
                  </w:r>
                </w:p>
              </w:tc>
              <w:tc>
                <w:tcPr>
                  <w:tcW w:w="851" w:type="dxa"/>
                </w:tcPr>
                <w:p w14:paraId="43EF03F0" w14:textId="77777777" w:rsidR="00264FAC" w:rsidRPr="00264FAC" w:rsidRDefault="00264FAC">
                  <w:pPr>
                    <w:pStyle w:val="Compact"/>
                    <w:jc w:val="center"/>
                    <w:rPr>
                      <w:sz w:val="20"/>
                      <w:szCs w:val="20"/>
                    </w:rPr>
                  </w:pPr>
                  <w:r w:rsidRPr="00264FAC">
                    <w:rPr>
                      <w:sz w:val="20"/>
                      <w:szCs w:val="20"/>
                    </w:rPr>
                    <w:t>97%</w:t>
                  </w:r>
                </w:p>
              </w:tc>
              <w:tc>
                <w:tcPr>
                  <w:tcW w:w="851" w:type="dxa"/>
                </w:tcPr>
                <w:p w14:paraId="4376F2E4" w14:textId="77777777" w:rsidR="00264FAC" w:rsidRPr="00264FAC" w:rsidRDefault="00264FAC">
                  <w:pPr>
                    <w:pStyle w:val="Compact"/>
                    <w:jc w:val="center"/>
                    <w:rPr>
                      <w:sz w:val="20"/>
                      <w:szCs w:val="20"/>
                    </w:rPr>
                  </w:pPr>
                  <w:r w:rsidRPr="00264FAC">
                    <w:rPr>
                      <w:sz w:val="20"/>
                      <w:szCs w:val="20"/>
                    </w:rPr>
                    <w:t>99%</w:t>
                  </w:r>
                </w:p>
              </w:tc>
              <w:tc>
                <w:tcPr>
                  <w:tcW w:w="992" w:type="dxa"/>
                </w:tcPr>
                <w:p w14:paraId="4550F376" w14:textId="77777777" w:rsidR="00264FAC" w:rsidRPr="00264FAC" w:rsidRDefault="00264FAC">
                  <w:pPr>
                    <w:pStyle w:val="Compact"/>
                    <w:jc w:val="center"/>
                    <w:rPr>
                      <w:sz w:val="20"/>
                      <w:szCs w:val="20"/>
                    </w:rPr>
                  </w:pPr>
                  <w:r w:rsidRPr="00264FAC">
                    <w:rPr>
                      <w:sz w:val="20"/>
                      <w:szCs w:val="20"/>
                    </w:rPr>
                    <w:t>99%</w:t>
                  </w:r>
                </w:p>
              </w:tc>
              <w:tc>
                <w:tcPr>
                  <w:tcW w:w="710" w:type="dxa"/>
                </w:tcPr>
                <w:p w14:paraId="4D98DF84" w14:textId="77777777" w:rsidR="00264FAC" w:rsidRPr="00264FAC" w:rsidRDefault="00264FAC">
                  <w:pPr>
                    <w:pStyle w:val="Compact"/>
                    <w:jc w:val="center"/>
                    <w:rPr>
                      <w:sz w:val="20"/>
                      <w:szCs w:val="20"/>
                    </w:rPr>
                  </w:pPr>
                  <w:r w:rsidRPr="00264FAC">
                    <w:rPr>
                      <w:sz w:val="20"/>
                      <w:szCs w:val="20"/>
                    </w:rPr>
                    <w:t>99%</w:t>
                  </w:r>
                </w:p>
              </w:tc>
              <w:tc>
                <w:tcPr>
                  <w:tcW w:w="851" w:type="dxa"/>
                </w:tcPr>
                <w:p w14:paraId="7CC3A922" w14:textId="77777777" w:rsidR="00264FAC" w:rsidRPr="00264FAC" w:rsidRDefault="00264FAC">
                  <w:pPr>
                    <w:pStyle w:val="Compact"/>
                    <w:jc w:val="center"/>
                    <w:rPr>
                      <w:sz w:val="20"/>
                      <w:szCs w:val="20"/>
                    </w:rPr>
                  </w:pPr>
                  <w:r w:rsidRPr="00264FAC">
                    <w:rPr>
                      <w:sz w:val="20"/>
                      <w:szCs w:val="20"/>
                    </w:rPr>
                    <w:t>0%</w:t>
                  </w:r>
                </w:p>
              </w:tc>
              <w:tc>
                <w:tcPr>
                  <w:tcW w:w="990" w:type="dxa"/>
                </w:tcPr>
                <w:p w14:paraId="793C89EA" w14:textId="77777777" w:rsidR="00264FAC" w:rsidRPr="00264FAC" w:rsidRDefault="00264FAC">
                  <w:pPr>
                    <w:pStyle w:val="Compact"/>
                    <w:jc w:val="center"/>
                    <w:rPr>
                      <w:sz w:val="20"/>
                      <w:szCs w:val="20"/>
                    </w:rPr>
                  </w:pPr>
                  <w:r w:rsidRPr="00264FAC">
                    <w:rPr>
                      <w:sz w:val="20"/>
                      <w:szCs w:val="20"/>
                    </w:rPr>
                    <w:t>–</w:t>
                  </w:r>
                </w:p>
              </w:tc>
            </w:tr>
            <w:tr w:rsidR="00264FAC" w:rsidRPr="00264FAC" w14:paraId="1C9B4F16" w14:textId="77777777" w:rsidTr="00264FAC">
              <w:tc>
                <w:tcPr>
                  <w:tcW w:w="1134" w:type="dxa"/>
                </w:tcPr>
                <w:p w14:paraId="3AAF30B4" w14:textId="77777777" w:rsidR="00264FAC" w:rsidRPr="00264FAC" w:rsidRDefault="00264FAC">
                  <w:pPr>
                    <w:pStyle w:val="Compact"/>
                    <w:jc w:val="center"/>
                    <w:rPr>
                      <w:sz w:val="20"/>
                      <w:szCs w:val="20"/>
                    </w:rPr>
                  </w:pPr>
                  <w:r w:rsidRPr="00264FAC">
                    <w:rPr>
                      <w:b/>
                      <w:bCs/>
                      <w:sz w:val="20"/>
                      <w:szCs w:val="20"/>
                    </w:rPr>
                    <w:t>OYA780</w:t>
                  </w:r>
                </w:p>
              </w:tc>
              <w:tc>
                <w:tcPr>
                  <w:tcW w:w="851" w:type="dxa"/>
                </w:tcPr>
                <w:p w14:paraId="6DEC2B66" w14:textId="77777777" w:rsidR="00264FAC" w:rsidRPr="00264FAC" w:rsidRDefault="00264FAC">
                  <w:pPr>
                    <w:pStyle w:val="Compact"/>
                    <w:jc w:val="center"/>
                    <w:rPr>
                      <w:sz w:val="20"/>
                      <w:szCs w:val="20"/>
                    </w:rPr>
                  </w:pPr>
                  <w:r w:rsidRPr="00264FAC">
                    <w:rPr>
                      <w:sz w:val="20"/>
                      <w:szCs w:val="20"/>
                    </w:rPr>
                    <w:t>9.83</w:t>
                  </w:r>
                </w:p>
              </w:tc>
              <w:tc>
                <w:tcPr>
                  <w:tcW w:w="709" w:type="dxa"/>
                </w:tcPr>
                <w:p w14:paraId="1849E93C" w14:textId="77777777" w:rsidR="00264FAC" w:rsidRPr="00264FAC" w:rsidRDefault="00264FAC">
                  <w:pPr>
                    <w:pStyle w:val="Compact"/>
                    <w:jc w:val="center"/>
                    <w:rPr>
                      <w:sz w:val="20"/>
                      <w:szCs w:val="20"/>
                    </w:rPr>
                  </w:pPr>
                  <w:r w:rsidRPr="00264FAC">
                    <w:rPr>
                      <w:sz w:val="20"/>
                      <w:szCs w:val="20"/>
                    </w:rPr>
                    <w:t>99%</w:t>
                  </w:r>
                </w:p>
              </w:tc>
              <w:tc>
                <w:tcPr>
                  <w:tcW w:w="708" w:type="dxa"/>
                </w:tcPr>
                <w:p w14:paraId="66855BF7" w14:textId="77777777" w:rsidR="00264FAC" w:rsidRPr="00264FAC" w:rsidRDefault="00264FAC">
                  <w:pPr>
                    <w:pStyle w:val="Compact"/>
                    <w:jc w:val="center"/>
                    <w:rPr>
                      <w:sz w:val="20"/>
                      <w:szCs w:val="20"/>
                    </w:rPr>
                  </w:pPr>
                  <w:r w:rsidRPr="00264FAC">
                    <w:rPr>
                      <w:sz w:val="20"/>
                      <w:szCs w:val="20"/>
                    </w:rPr>
                    <w:t>99%</w:t>
                  </w:r>
                </w:p>
              </w:tc>
              <w:tc>
                <w:tcPr>
                  <w:tcW w:w="851" w:type="dxa"/>
                </w:tcPr>
                <w:p w14:paraId="25260346" w14:textId="77777777" w:rsidR="00264FAC" w:rsidRPr="00264FAC" w:rsidRDefault="00264FAC">
                  <w:pPr>
                    <w:pStyle w:val="Compact"/>
                    <w:jc w:val="center"/>
                    <w:rPr>
                      <w:sz w:val="20"/>
                      <w:szCs w:val="20"/>
                    </w:rPr>
                  </w:pPr>
                  <w:r w:rsidRPr="00264FAC">
                    <w:rPr>
                      <w:sz w:val="20"/>
                      <w:szCs w:val="20"/>
                    </w:rPr>
                    <w:t>98%</w:t>
                  </w:r>
                </w:p>
              </w:tc>
              <w:tc>
                <w:tcPr>
                  <w:tcW w:w="851" w:type="dxa"/>
                </w:tcPr>
                <w:p w14:paraId="3E586787" w14:textId="77777777" w:rsidR="00264FAC" w:rsidRPr="00264FAC" w:rsidRDefault="00264FAC">
                  <w:pPr>
                    <w:pStyle w:val="Compact"/>
                    <w:jc w:val="center"/>
                    <w:rPr>
                      <w:sz w:val="20"/>
                      <w:szCs w:val="20"/>
                    </w:rPr>
                  </w:pPr>
                  <w:r w:rsidRPr="00264FAC">
                    <w:rPr>
                      <w:sz w:val="20"/>
                      <w:szCs w:val="20"/>
                    </w:rPr>
                    <w:t>99%</w:t>
                  </w:r>
                </w:p>
              </w:tc>
              <w:tc>
                <w:tcPr>
                  <w:tcW w:w="992" w:type="dxa"/>
                </w:tcPr>
                <w:p w14:paraId="60886A60" w14:textId="77777777" w:rsidR="00264FAC" w:rsidRPr="00264FAC" w:rsidRDefault="00264FAC">
                  <w:pPr>
                    <w:pStyle w:val="Compact"/>
                    <w:jc w:val="center"/>
                    <w:rPr>
                      <w:sz w:val="20"/>
                      <w:szCs w:val="20"/>
                    </w:rPr>
                  </w:pPr>
                  <w:r w:rsidRPr="00264FAC">
                    <w:rPr>
                      <w:sz w:val="20"/>
                      <w:szCs w:val="20"/>
                    </w:rPr>
                    <w:t>99%</w:t>
                  </w:r>
                </w:p>
              </w:tc>
              <w:tc>
                <w:tcPr>
                  <w:tcW w:w="710" w:type="dxa"/>
                </w:tcPr>
                <w:p w14:paraId="6C65D7E3" w14:textId="77777777" w:rsidR="00264FAC" w:rsidRPr="00264FAC" w:rsidRDefault="00264FAC">
                  <w:pPr>
                    <w:pStyle w:val="Compact"/>
                    <w:jc w:val="center"/>
                    <w:rPr>
                      <w:sz w:val="20"/>
                      <w:szCs w:val="20"/>
                    </w:rPr>
                  </w:pPr>
                  <w:r w:rsidRPr="00264FAC">
                    <w:rPr>
                      <w:sz w:val="20"/>
                      <w:szCs w:val="20"/>
                    </w:rPr>
                    <w:t>99%</w:t>
                  </w:r>
                </w:p>
              </w:tc>
              <w:tc>
                <w:tcPr>
                  <w:tcW w:w="851" w:type="dxa"/>
                </w:tcPr>
                <w:p w14:paraId="1A1818B4" w14:textId="77777777" w:rsidR="00264FAC" w:rsidRPr="00264FAC" w:rsidRDefault="00264FAC">
                  <w:pPr>
                    <w:pStyle w:val="Compact"/>
                    <w:jc w:val="center"/>
                    <w:rPr>
                      <w:sz w:val="20"/>
                      <w:szCs w:val="20"/>
                    </w:rPr>
                  </w:pPr>
                  <w:r w:rsidRPr="00264FAC">
                    <w:rPr>
                      <w:sz w:val="20"/>
                      <w:szCs w:val="20"/>
                    </w:rPr>
                    <w:t>0%</w:t>
                  </w:r>
                </w:p>
              </w:tc>
              <w:tc>
                <w:tcPr>
                  <w:tcW w:w="990" w:type="dxa"/>
                </w:tcPr>
                <w:p w14:paraId="297860D2" w14:textId="77777777" w:rsidR="00264FAC" w:rsidRPr="00264FAC" w:rsidRDefault="00264FAC">
                  <w:pPr>
                    <w:pStyle w:val="Compact"/>
                    <w:jc w:val="center"/>
                    <w:rPr>
                      <w:sz w:val="20"/>
                      <w:szCs w:val="20"/>
                    </w:rPr>
                  </w:pPr>
                  <w:r w:rsidRPr="00264FAC">
                    <w:rPr>
                      <w:sz w:val="20"/>
                      <w:szCs w:val="20"/>
                    </w:rPr>
                    <w:t>–</w:t>
                  </w:r>
                </w:p>
              </w:tc>
            </w:tr>
            <w:tr w:rsidR="00264FAC" w:rsidRPr="00264FAC" w14:paraId="0011694D" w14:textId="77777777" w:rsidTr="00264FAC">
              <w:tc>
                <w:tcPr>
                  <w:tcW w:w="1134" w:type="dxa"/>
                </w:tcPr>
                <w:p w14:paraId="0D35B8FD" w14:textId="77777777" w:rsidR="00264FAC" w:rsidRPr="00264FAC" w:rsidRDefault="00264FAC">
                  <w:pPr>
                    <w:pStyle w:val="Compact"/>
                    <w:jc w:val="center"/>
                    <w:rPr>
                      <w:sz w:val="20"/>
                      <w:szCs w:val="20"/>
                    </w:rPr>
                  </w:pPr>
                  <w:r w:rsidRPr="00264FAC">
                    <w:rPr>
                      <w:b/>
                      <w:bCs/>
                      <w:sz w:val="20"/>
                      <w:szCs w:val="20"/>
                    </w:rPr>
                    <w:t>OYA862</w:t>
                  </w:r>
                </w:p>
              </w:tc>
              <w:tc>
                <w:tcPr>
                  <w:tcW w:w="851" w:type="dxa"/>
                </w:tcPr>
                <w:p w14:paraId="61068C03" w14:textId="77777777" w:rsidR="00264FAC" w:rsidRPr="00264FAC" w:rsidRDefault="00264FAC">
                  <w:pPr>
                    <w:pStyle w:val="Compact"/>
                    <w:jc w:val="center"/>
                    <w:rPr>
                      <w:sz w:val="20"/>
                      <w:szCs w:val="20"/>
                    </w:rPr>
                  </w:pPr>
                  <w:r w:rsidRPr="00264FAC">
                    <w:rPr>
                      <w:sz w:val="20"/>
                      <w:szCs w:val="20"/>
                    </w:rPr>
                    <w:t>8.67</w:t>
                  </w:r>
                </w:p>
              </w:tc>
              <w:tc>
                <w:tcPr>
                  <w:tcW w:w="709" w:type="dxa"/>
                </w:tcPr>
                <w:p w14:paraId="53364194" w14:textId="77777777" w:rsidR="00264FAC" w:rsidRPr="00264FAC" w:rsidRDefault="00264FAC">
                  <w:pPr>
                    <w:pStyle w:val="Compact"/>
                    <w:jc w:val="center"/>
                    <w:rPr>
                      <w:sz w:val="20"/>
                      <w:szCs w:val="20"/>
                    </w:rPr>
                  </w:pPr>
                  <w:r w:rsidRPr="00264FAC">
                    <w:rPr>
                      <w:sz w:val="20"/>
                      <w:szCs w:val="20"/>
                    </w:rPr>
                    <w:t>86%</w:t>
                  </w:r>
                </w:p>
              </w:tc>
              <w:tc>
                <w:tcPr>
                  <w:tcW w:w="708" w:type="dxa"/>
                </w:tcPr>
                <w:p w14:paraId="637EB995" w14:textId="77777777" w:rsidR="00264FAC" w:rsidRPr="00264FAC" w:rsidRDefault="00264FAC">
                  <w:pPr>
                    <w:pStyle w:val="Compact"/>
                    <w:jc w:val="center"/>
                    <w:rPr>
                      <w:sz w:val="20"/>
                      <w:szCs w:val="20"/>
                    </w:rPr>
                  </w:pPr>
                  <w:r w:rsidRPr="00264FAC">
                    <w:rPr>
                      <w:sz w:val="20"/>
                      <w:szCs w:val="20"/>
                    </w:rPr>
                    <w:t>91%</w:t>
                  </w:r>
                </w:p>
              </w:tc>
              <w:tc>
                <w:tcPr>
                  <w:tcW w:w="851" w:type="dxa"/>
                </w:tcPr>
                <w:p w14:paraId="0FA27BC6" w14:textId="77777777" w:rsidR="00264FAC" w:rsidRPr="00264FAC" w:rsidRDefault="00264FAC">
                  <w:pPr>
                    <w:pStyle w:val="Compact"/>
                    <w:jc w:val="center"/>
                    <w:rPr>
                      <w:sz w:val="20"/>
                      <w:szCs w:val="20"/>
                    </w:rPr>
                  </w:pPr>
                  <w:r w:rsidRPr="00264FAC">
                    <w:rPr>
                      <w:sz w:val="20"/>
                      <w:szCs w:val="20"/>
                    </w:rPr>
                    <w:t>86%</w:t>
                  </w:r>
                </w:p>
              </w:tc>
              <w:tc>
                <w:tcPr>
                  <w:tcW w:w="851" w:type="dxa"/>
                </w:tcPr>
                <w:p w14:paraId="67730AF5" w14:textId="77777777" w:rsidR="00264FAC" w:rsidRPr="00264FAC" w:rsidRDefault="00264FAC">
                  <w:pPr>
                    <w:pStyle w:val="Compact"/>
                    <w:jc w:val="center"/>
                    <w:rPr>
                      <w:sz w:val="20"/>
                      <w:szCs w:val="20"/>
                    </w:rPr>
                  </w:pPr>
                  <w:r w:rsidRPr="00264FAC">
                    <w:rPr>
                      <w:sz w:val="20"/>
                      <w:szCs w:val="20"/>
                    </w:rPr>
                    <w:t>91%</w:t>
                  </w:r>
                </w:p>
              </w:tc>
              <w:tc>
                <w:tcPr>
                  <w:tcW w:w="992" w:type="dxa"/>
                </w:tcPr>
                <w:p w14:paraId="43784367" w14:textId="77777777" w:rsidR="00264FAC" w:rsidRPr="00264FAC" w:rsidRDefault="00264FAC">
                  <w:pPr>
                    <w:pStyle w:val="Compact"/>
                    <w:jc w:val="center"/>
                    <w:rPr>
                      <w:sz w:val="20"/>
                      <w:szCs w:val="20"/>
                    </w:rPr>
                  </w:pPr>
                  <w:r w:rsidRPr="00264FAC">
                    <w:rPr>
                      <w:sz w:val="20"/>
                      <w:szCs w:val="20"/>
                    </w:rPr>
                    <w:t>9%</w:t>
                  </w:r>
                </w:p>
              </w:tc>
              <w:tc>
                <w:tcPr>
                  <w:tcW w:w="710" w:type="dxa"/>
                </w:tcPr>
                <w:p w14:paraId="77BE9D8E" w14:textId="77777777" w:rsidR="00264FAC" w:rsidRPr="00264FAC" w:rsidRDefault="00264FAC">
                  <w:pPr>
                    <w:pStyle w:val="Compact"/>
                    <w:jc w:val="center"/>
                    <w:rPr>
                      <w:sz w:val="20"/>
                      <w:szCs w:val="20"/>
                    </w:rPr>
                  </w:pPr>
                  <w:r w:rsidRPr="00264FAC">
                    <w:rPr>
                      <w:sz w:val="20"/>
                      <w:szCs w:val="20"/>
                    </w:rPr>
                    <w:t>0%</w:t>
                  </w:r>
                </w:p>
              </w:tc>
              <w:tc>
                <w:tcPr>
                  <w:tcW w:w="851" w:type="dxa"/>
                </w:tcPr>
                <w:p w14:paraId="66AF5A4D" w14:textId="77777777" w:rsidR="00264FAC" w:rsidRPr="00264FAC" w:rsidRDefault="00264FAC">
                  <w:pPr>
                    <w:pStyle w:val="Compact"/>
                    <w:jc w:val="center"/>
                    <w:rPr>
                      <w:sz w:val="20"/>
                      <w:szCs w:val="20"/>
                    </w:rPr>
                  </w:pPr>
                  <w:r w:rsidRPr="00264FAC">
                    <w:rPr>
                      <w:sz w:val="20"/>
                      <w:szCs w:val="20"/>
                    </w:rPr>
                    <w:t>0%</w:t>
                  </w:r>
                </w:p>
              </w:tc>
              <w:tc>
                <w:tcPr>
                  <w:tcW w:w="990" w:type="dxa"/>
                </w:tcPr>
                <w:p w14:paraId="702836A1" w14:textId="77777777" w:rsidR="00264FAC" w:rsidRPr="00264FAC" w:rsidRDefault="00264FAC">
                  <w:pPr>
                    <w:pStyle w:val="Compact"/>
                    <w:jc w:val="center"/>
                    <w:rPr>
                      <w:sz w:val="20"/>
                      <w:szCs w:val="20"/>
                    </w:rPr>
                  </w:pPr>
                  <w:r w:rsidRPr="00264FAC">
                    <w:rPr>
                      <w:sz w:val="20"/>
                      <w:szCs w:val="20"/>
                    </w:rPr>
                    <w:t>–</w:t>
                  </w:r>
                </w:p>
              </w:tc>
            </w:tr>
            <w:tr w:rsidR="00264FAC" w:rsidRPr="00264FAC" w14:paraId="4C34A747" w14:textId="77777777" w:rsidTr="00264FAC">
              <w:tc>
                <w:tcPr>
                  <w:tcW w:w="1134" w:type="dxa"/>
                </w:tcPr>
                <w:p w14:paraId="3701617A" w14:textId="77777777" w:rsidR="00264FAC" w:rsidRPr="00264FAC" w:rsidRDefault="00264FAC">
                  <w:pPr>
                    <w:pStyle w:val="Compact"/>
                    <w:jc w:val="center"/>
                    <w:rPr>
                      <w:sz w:val="20"/>
                      <w:szCs w:val="20"/>
                    </w:rPr>
                  </w:pPr>
                  <w:r w:rsidRPr="00264FAC">
                    <w:rPr>
                      <w:b/>
                      <w:bCs/>
                      <w:sz w:val="20"/>
                      <w:szCs w:val="20"/>
                    </w:rPr>
                    <w:t>OYA1069</w:t>
                  </w:r>
                </w:p>
              </w:tc>
              <w:tc>
                <w:tcPr>
                  <w:tcW w:w="851" w:type="dxa"/>
                </w:tcPr>
                <w:p w14:paraId="4B054922" w14:textId="77777777" w:rsidR="00264FAC" w:rsidRPr="00264FAC" w:rsidRDefault="00264FAC">
                  <w:pPr>
                    <w:pStyle w:val="Compact"/>
                    <w:jc w:val="center"/>
                    <w:rPr>
                      <w:sz w:val="20"/>
                      <w:szCs w:val="20"/>
                    </w:rPr>
                  </w:pPr>
                  <w:r w:rsidRPr="00264FAC">
                    <w:rPr>
                      <w:sz w:val="20"/>
                      <w:szCs w:val="20"/>
                    </w:rPr>
                    <w:t>10.75</w:t>
                  </w:r>
                </w:p>
              </w:tc>
              <w:tc>
                <w:tcPr>
                  <w:tcW w:w="709" w:type="dxa"/>
                </w:tcPr>
                <w:p w14:paraId="24D36D3A" w14:textId="77777777" w:rsidR="00264FAC" w:rsidRPr="00264FAC" w:rsidRDefault="00264FAC">
                  <w:pPr>
                    <w:pStyle w:val="Compact"/>
                    <w:jc w:val="center"/>
                    <w:rPr>
                      <w:sz w:val="20"/>
                      <w:szCs w:val="20"/>
                    </w:rPr>
                  </w:pPr>
                  <w:r w:rsidRPr="00264FAC">
                    <w:rPr>
                      <w:sz w:val="20"/>
                      <w:szCs w:val="20"/>
                    </w:rPr>
                    <w:t>0%</w:t>
                  </w:r>
                </w:p>
              </w:tc>
              <w:tc>
                <w:tcPr>
                  <w:tcW w:w="708" w:type="dxa"/>
                </w:tcPr>
                <w:p w14:paraId="5E1215AC" w14:textId="77777777" w:rsidR="00264FAC" w:rsidRPr="00264FAC" w:rsidRDefault="00264FAC">
                  <w:pPr>
                    <w:pStyle w:val="Compact"/>
                    <w:jc w:val="center"/>
                    <w:rPr>
                      <w:sz w:val="20"/>
                      <w:szCs w:val="20"/>
                    </w:rPr>
                  </w:pPr>
                  <w:r w:rsidRPr="00264FAC">
                    <w:rPr>
                      <w:sz w:val="20"/>
                      <w:szCs w:val="20"/>
                    </w:rPr>
                    <w:t>17%</w:t>
                  </w:r>
                </w:p>
              </w:tc>
              <w:tc>
                <w:tcPr>
                  <w:tcW w:w="851" w:type="dxa"/>
                </w:tcPr>
                <w:p w14:paraId="76D64BE3" w14:textId="77777777" w:rsidR="00264FAC" w:rsidRPr="00264FAC" w:rsidRDefault="00264FAC">
                  <w:pPr>
                    <w:pStyle w:val="Compact"/>
                    <w:jc w:val="center"/>
                    <w:rPr>
                      <w:sz w:val="20"/>
                      <w:szCs w:val="20"/>
                    </w:rPr>
                  </w:pPr>
                  <w:r w:rsidRPr="00264FAC">
                    <w:rPr>
                      <w:sz w:val="20"/>
                      <w:szCs w:val="20"/>
                    </w:rPr>
                    <w:t>0%</w:t>
                  </w:r>
                </w:p>
              </w:tc>
              <w:tc>
                <w:tcPr>
                  <w:tcW w:w="851" w:type="dxa"/>
                </w:tcPr>
                <w:p w14:paraId="162A2C98" w14:textId="77777777" w:rsidR="00264FAC" w:rsidRPr="00264FAC" w:rsidRDefault="00264FAC">
                  <w:pPr>
                    <w:pStyle w:val="Compact"/>
                    <w:jc w:val="center"/>
                    <w:rPr>
                      <w:sz w:val="20"/>
                      <w:szCs w:val="20"/>
                    </w:rPr>
                  </w:pPr>
                  <w:r w:rsidRPr="00264FAC">
                    <w:rPr>
                      <w:sz w:val="20"/>
                      <w:szCs w:val="20"/>
                    </w:rPr>
                    <w:t>17%</w:t>
                  </w:r>
                </w:p>
              </w:tc>
              <w:tc>
                <w:tcPr>
                  <w:tcW w:w="992" w:type="dxa"/>
                </w:tcPr>
                <w:p w14:paraId="6AFD70B3" w14:textId="77777777" w:rsidR="00264FAC" w:rsidRPr="00264FAC" w:rsidRDefault="00264FAC">
                  <w:pPr>
                    <w:pStyle w:val="Compact"/>
                    <w:jc w:val="center"/>
                    <w:rPr>
                      <w:sz w:val="20"/>
                      <w:szCs w:val="20"/>
                    </w:rPr>
                  </w:pPr>
                  <w:r w:rsidRPr="00264FAC">
                    <w:rPr>
                      <w:sz w:val="20"/>
                      <w:szCs w:val="20"/>
                    </w:rPr>
                    <w:t>17%</w:t>
                  </w:r>
                </w:p>
              </w:tc>
              <w:tc>
                <w:tcPr>
                  <w:tcW w:w="710" w:type="dxa"/>
                </w:tcPr>
                <w:p w14:paraId="17D966AF" w14:textId="77777777" w:rsidR="00264FAC" w:rsidRPr="00264FAC" w:rsidRDefault="00264FAC">
                  <w:pPr>
                    <w:pStyle w:val="Compact"/>
                    <w:jc w:val="center"/>
                    <w:rPr>
                      <w:sz w:val="20"/>
                      <w:szCs w:val="20"/>
                    </w:rPr>
                  </w:pPr>
                  <w:r w:rsidRPr="00264FAC">
                    <w:rPr>
                      <w:sz w:val="20"/>
                      <w:szCs w:val="20"/>
                    </w:rPr>
                    <w:t>0%</w:t>
                  </w:r>
                </w:p>
              </w:tc>
              <w:tc>
                <w:tcPr>
                  <w:tcW w:w="851" w:type="dxa"/>
                </w:tcPr>
                <w:p w14:paraId="0A451162" w14:textId="77777777" w:rsidR="00264FAC" w:rsidRPr="00264FAC" w:rsidRDefault="00264FAC">
                  <w:pPr>
                    <w:pStyle w:val="Compact"/>
                    <w:jc w:val="center"/>
                    <w:rPr>
                      <w:sz w:val="20"/>
                      <w:szCs w:val="20"/>
                    </w:rPr>
                  </w:pPr>
                  <w:r w:rsidRPr="00264FAC">
                    <w:rPr>
                      <w:sz w:val="20"/>
                      <w:szCs w:val="20"/>
                    </w:rPr>
                    <w:t>0%</w:t>
                  </w:r>
                </w:p>
              </w:tc>
              <w:tc>
                <w:tcPr>
                  <w:tcW w:w="990" w:type="dxa"/>
                </w:tcPr>
                <w:p w14:paraId="16B88CDC" w14:textId="77777777" w:rsidR="00264FAC" w:rsidRPr="00264FAC" w:rsidRDefault="00264FAC">
                  <w:pPr>
                    <w:pStyle w:val="Compact"/>
                    <w:jc w:val="center"/>
                    <w:rPr>
                      <w:sz w:val="20"/>
                      <w:szCs w:val="20"/>
                    </w:rPr>
                  </w:pPr>
                  <w:r w:rsidRPr="00264FAC">
                    <w:rPr>
                      <w:sz w:val="20"/>
                      <w:szCs w:val="20"/>
                    </w:rPr>
                    <w:t>–</w:t>
                  </w:r>
                </w:p>
              </w:tc>
            </w:tr>
            <w:tr w:rsidR="00264FAC" w:rsidRPr="00264FAC" w14:paraId="37E40AFA" w14:textId="77777777" w:rsidTr="00264FAC">
              <w:tc>
                <w:tcPr>
                  <w:tcW w:w="1134" w:type="dxa"/>
                </w:tcPr>
                <w:p w14:paraId="1B023346" w14:textId="77777777" w:rsidR="00264FAC" w:rsidRPr="00264FAC" w:rsidRDefault="00264FAC">
                  <w:pPr>
                    <w:pStyle w:val="Compact"/>
                    <w:jc w:val="center"/>
                    <w:rPr>
                      <w:sz w:val="20"/>
                      <w:szCs w:val="20"/>
                    </w:rPr>
                  </w:pPr>
                  <w:r w:rsidRPr="00264FAC">
                    <w:rPr>
                      <w:b/>
                      <w:bCs/>
                      <w:sz w:val="20"/>
                      <w:szCs w:val="20"/>
                    </w:rPr>
                    <w:t>OYA1128</w:t>
                  </w:r>
                </w:p>
              </w:tc>
              <w:tc>
                <w:tcPr>
                  <w:tcW w:w="851" w:type="dxa"/>
                </w:tcPr>
                <w:p w14:paraId="3E75CE29" w14:textId="77777777" w:rsidR="00264FAC" w:rsidRPr="00264FAC" w:rsidRDefault="00264FAC">
                  <w:pPr>
                    <w:pStyle w:val="Compact"/>
                    <w:jc w:val="center"/>
                    <w:rPr>
                      <w:sz w:val="20"/>
                      <w:szCs w:val="20"/>
                    </w:rPr>
                  </w:pPr>
                  <w:r w:rsidRPr="00264FAC">
                    <w:rPr>
                      <w:sz w:val="20"/>
                      <w:szCs w:val="20"/>
                    </w:rPr>
                    <w:t>12.92</w:t>
                  </w:r>
                </w:p>
              </w:tc>
              <w:tc>
                <w:tcPr>
                  <w:tcW w:w="709" w:type="dxa"/>
                </w:tcPr>
                <w:p w14:paraId="4872CA8B" w14:textId="77777777" w:rsidR="00264FAC" w:rsidRPr="00264FAC" w:rsidRDefault="00264FAC">
                  <w:pPr>
                    <w:pStyle w:val="Compact"/>
                    <w:jc w:val="center"/>
                    <w:rPr>
                      <w:sz w:val="20"/>
                      <w:szCs w:val="20"/>
                    </w:rPr>
                  </w:pPr>
                  <w:r w:rsidRPr="00264FAC">
                    <w:rPr>
                      <w:sz w:val="20"/>
                      <w:szCs w:val="20"/>
                    </w:rPr>
                    <w:t>100%</w:t>
                  </w:r>
                </w:p>
              </w:tc>
              <w:tc>
                <w:tcPr>
                  <w:tcW w:w="708" w:type="dxa"/>
                </w:tcPr>
                <w:p w14:paraId="76D1138E" w14:textId="77777777" w:rsidR="00264FAC" w:rsidRPr="00264FAC" w:rsidRDefault="00264FAC">
                  <w:pPr>
                    <w:pStyle w:val="Compact"/>
                    <w:jc w:val="center"/>
                    <w:rPr>
                      <w:sz w:val="20"/>
                      <w:szCs w:val="20"/>
                    </w:rPr>
                  </w:pPr>
                  <w:r w:rsidRPr="00264FAC">
                    <w:rPr>
                      <w:sz w:val="20"/>
                      <w:szCs w:val="20"/>
                    </w:rPr>
                    <w:t>100%</w:t>
                  </w:r>
                </w:p>
              </w:tc>
              <w:tc>
                <w:tcPr>
                  <w:tcW w:w="851" w:type="dxa"/>
                </w:tcPr>
                <w:p w14:paraId="4DE81F5A" w14:textId="77777777" w:rsidR="00264FAC" w:rsidRPr="00264FAC" w:rsidRDefault="00264FAC">
                  <w:pPr>
                    <w:pStyle w:val="Compact"/>
                    <w:jc w:val="center"/>
                    <w:rPr>
                      <w:sz w:val="20"/>
                      <w:szCs w:val="20"/>
                    </w:rPr>
                  </w:pPr>
                  <w:r w:rsidRPr="00264FAC">
                    <w:rPr>
                      <w:sz w:val="20"/>
                      <w:szCs w:val="20"/>
                    </w:rPr>
                    <w:t>100%</w:t>
                  </w:r>
                </w:p>
              </w:tc>
              <w:tc>
                <w:tcPr>
                  <w:tcW w:w="851" w:type="dxa"/>
                </w:tcPr>
                <w:p w14:paraId="5D07A7C5" w14:textId="77777777" w:rsidR="00264FAC" w:rsidRPr="00264FAC" w:rsidRDefault="00264FAC">
                  <w:pPr>
                    <w:pStyle w:val="Compact"/>
                    <w:jc w:val="center"/>
                    <w:rPr>
                      <w:sz w:val="20"/>
                      <w:szCs w:val="20"/>
                    </w:rPr>
                  </w:pPr>
                  <w:r w:rsidRPr="00264FAC">
                    <w:rPr>
                      <w:sz w:val="20"/>
                      <w:szCs w:val="20"/>
                    </w:rPr>
                    <w:t>100%</w:t>
                  </w:r>
                </w:p>
              </w:tc>
              <w:tc>
                <w:tcPr>
                  <w:tcW w:w="992" w:type="dxa"/>
                </w:tcPr>
                <w:p w14:paraId="09BC15E0" w14:textId="77777777" w:rsidR="00264FAC" w:rsidRPr="00264FAC" w:rsidRDefault="00264FAC">
                  <w:pPr>
                    <w:pStyle w:val="Compact"/>
                    <w:jc w:val="center"/>
                    <w:rPr>
                      <w:sz w:val="20"/>
                      <w:szCs w:val="20"/>
                    </w:rPr>
                  </w:pPr>
                  <w:r w:rsidRPr="00264FAC">
                    <w:rPr>
                      <w:sz w:val="20"/>
                      <w:szCs w:val="20"/>
                    </w:rPr>
                    <w:t>100%</w:t>
                  </w:r>
                </w:p>
              </w:tc>
              <w:tc>
                <w:tcPr>
                  <w:tcW w:w="710" w:type="dxa"/>
                </w:tcPr>
                <w:p w14:paraId="0F9FD5AB" w14:textId="77777777" w:rsidR="00264FAC" w:rsidRPr="00264FAC" w:rsidRDefault="00264FAC">
                  <w:pPr>
                    <w:pStyle w:val="Compact"/>
                    <w:jc w:val="center"/>
                    <w:rPr>
                      <w:sz w:val="20"/>
                      <w:szCs w:val="20"/>
                    </w:rPr>
                  </w:pPr>
                  <w:r w:rsidRPr="00264FAC">
                    <w:rPr>
                      <w:sz w:val="20"/>
                      <w:szCs w:val="20"/>
                    </w:rPr>
                    <w:t>0%</w:t>
                  </w:r>
                </w:p>
              </w:tc>
              <w:tc>
                <w:tcPr>
                  <w:tcW w:w="851" w:type="dxa"/>
                </w:tcPr>
                <w:p w14:paraId="01D4C9CE" w14:textId="77777777" w:rsidR="00264FAC" w:rsidRPr="00264FAC" w:rsidRDefault="00264FAC">
                  <w:pPr>
                    <w:pStyle w:val="Compact"/>
                    <w:jc w:val="center"/>
                    <w:rPr>
                      <w:sz w:val="20"/>
                      <w:szCs w:val="20"/>
                    </w:rPr>
                  </w:pPr>
                  <w:r w:rsidRPr="00264FAC">
                    <w:rPr>
                      <w:sz w:val="20"/>
                      <w:szCs w:val="20"/>
                    </w:rPr>
                    <w:t>0%</w:t>
                  </w:r>
                </w:p>
              </w:tc>
              <w:tc>
                <w:tcPr>
                  <w:tcW w:w="990" w:type="dxa"/>
                </w:tcPr>
                <w:p w14:paraId="5B4E9EA7" w14:textId="77777777" w:rsidR="00264FAC" w:rsidRPr="00264FAC" w:rsidRDefault="00264FAC">
                  <w:pPr>
                    <w:pStyle w:val="Compact"/>
                    <w:jc w:val="center"/>
                    <w:rPr>
                      <w:sz w:val="20"/>
                      <w:szCs w:val="20"/>
                    </w:rPr>
                  </w:pPr>
                  <w:r w:rsidRPr="00264FAC">
                    <w:rPr>
                      <w:sz w:val="20"/>
                      <w:szCs w:val="20"/>
                    </w:rPr>
                    <w:t>–</w:t>
                  </w:r>
                </w:p>
              </w:tc>
            </w:tr>
            <w:tr w:rsidR="00264FAC" w:rsidRPr="00264FAC" w14:paraId="2445B83C" w14:textId="77777777" w:rsidTr="00264FAC">
              <w:tc>
                <w:tcPr>
                  <w:tcW w:w="1134" w:type="dxa"/>
                </w:tcPr>
                <w:p w14:paraId="4285DC55" w14:textId="77777777" w:rsidR="00264FAC" w:rsidRPr="00264FAC" w:rsidRDefault="00264FAC">
                  <w:pPr>
                    <w:pStyle w:val="Compact"/>
                    <w:jc w:val="center"/>
                    <w:rPr>
                      <w:sz w:val="20"/>
                      <w:szCs w:val="20"/>
                    </w:rPr>
                  </w:pPr>
                  <w:r w:rsidRPr="00264FAC">
                    <w:rPr>
                      <w:b/>
                      <w:bCs/>
                      <w:sz w:val="20"/>
                      <w:szCs w:val="20"/>
                    </w:rPr>
                    <w:t>OYA1193</w:t>
                  </w:r>
                </w:p>
              </w:tc>
              <w:tc>
                <w:tcPr>
                  <w:tcW w:w="851" w:type="dxa"/>
                </w:tcPr>
                <w:p w14:paraId="2462759C" w14:textId="77777777" w:rsidR="00264FAC" w:rsidRPr="00264FAC" w:rsidRDefault="00264FAC">
                  <w:pPr>
                    <w:pStyle w:val="Compact"/>
                    <w:jc w:val="center"/>
                    <w:rPr>
                      <w:sz w:val="20"/>
                      <w:szCs w:val="20"/>
                    </w:rPr>
                  </w:pPr>
                  <w:r w:rsidRPr="00264FAC">
                    <w:rPr>
                      <w:sz w:val="20"/>
                      <w:szCs w:val="20"/>
                    </w:rPr>
                    <w:t>13.12</w:t>
                  </w:r>
                </w:p>
              </w:tc>
              <w:tc>
                <w:tcPr>
                  <w:tcW w:w="709" w:type="dxa"/>
                </w:tcPr>
                <w:p w14:paraId="70469525" w14:textId="77777777" w:rsidR="00264FAC" w:rsidRPr="00264FAC" w:rsidRDefault="00264FAC">
                  <w:pPr>
                    <w:pStyle w:val="Compact"/>
                    <w:jc w:val="center"/>
                    <w:rPr>
                      <w:sz w:val="20"/>
                      <w:szCs w:val="20"/>
                    </w:rPr>
                  </w:pPr>
                  <w:r w:rsidRPr="00264FAC">
                    <w:rPr>
                      <w:sz w:val="20"/>
                      <w:szCs w:val="20"/>
                    </w:rPr>
                    <w:t>90%</w:t>
                  </w:r>
                </w:p>
              </w:tc>
              <w:tc>
                <w:tcPr>
                  <w:tcW w:w="708" w:type="dxa"/>
                </w:tcPr>
                <w:p w14:paraId="5ED4A47A" w14:textId="77777777" w:rsidR="00264FAC" w:rsidRPr="00264FAC" w:rsidRDefault="00264FAC">
                  <w:pPr>
                    <w:pStyle w:val="Compact"/>
                    <w:jc w:val="center"/>
                    <w:rPr>
                      <w:sz w:val="20"/>
                      <w:szCs w:val="20"/>
                    </w:rPr>
                  </w:pPr>
                  <w:r w:rsidRPr="00264FAC">
                    <w:rPr>
                      <w:sz w:val="20"/>
                      <w:szCs w:val="20"/>
                    </w:rPr>
                    <w:t>92%</w:t>
                  </w:r>
                </w:p>
              </w:tc>
              <w:tc>
                <w:tcPr>
                  <w:tcW w:w="851" w:type="dxa"/>
                </w:tcPr>
                <w:p w14:paraId="1EB6B5B6" w14:textId="77777777" w:rsidR="00264FAC" w:rsidRPr="00264FAC" w:rsidRDefault="00264FAC">
                  <w:pPr>
                    <w:pStyle w:val="Compact"/>
                    <w:jc w:val="center"/>
                    <w:rPr>
                      <w:sz w:val="20"/>
                      <w:szCs w:val="20"/>
                    </w:rPr>
                  </w:pPr>
                  <w:r w:rsidRPr="00264FAC">
                    <w:rPr>
                      <w:sz w:val="20"/>
                      <w:szCs w:val="20"/>
                    </w:rPr>
                    <w:t>90%</w:t>
                  </w:r>
                </w:p>
              </w:tc>
              <w:tc>
                <w:tcPr>
                  <w:tcW w:w="851" w:type="dxa"/>
                </w:tcPr>
                <w:p w14:paraId="6265D557" w14:textId="77777777" w:rsidR="00264FAC" w:rsidRPr="00264FAC" w:rsidRDefault="00264FAC">
                  <w:pPr>
                    <w:pStyle w:val="Compact"/>
                    <w:jc w:val="center"/>
                    <w:rPr>
                      <w:sz w:val="20"/>
                      <w:szCs w:val="20"/>
                    </w:rPr>
                  </w:pPr>
                  <w:r w:rsidRPr="00264FAC">
                    <w:rPr>
                      <w:sz w:val="20"/>
                      <w:szCs w:val="20"/>
                    </w:rPr>
                    <w:t>92%</w:t>
                  </w:r>
                </w:p>
              </w:tc>
              <w:tc>
                <w:tcPr>
                  <w:tcW w:w="992" w:type="dxa"/>
                </w:tcPr>
                <w:p w14:paraId="77B65CB8" w14:textId="77777777" w:rsidR="00264FAC" w:rsidRPr="00264FAC" w:rsidRDefault="00264FAC">
                  <w:pPr>
                    <w:pStyle w:val="Compact"/>
                    <w:jc w:val="center"/>
                    <w:rPr>
                      <w:sz w:val="20"/>
                      <w:szCs w:val="20"/>
                    </w:rPr>
                  </w:pPr>
                  <w:r w:rsidRPr="00264FAC">
                    <w:rPr>
                      <w:sz w:val="20"/>
                      <w:szCs w:val="20"/>
                    </w:rPr>
                    <w:t>92%</w:t>
                  </w:r>
                </w:p>
              </w:tc>
              <w:tc>
                <w:tcPr>
                  <w:tcW w:w="710" w:type="dxa"/>
                </w:tcPr>
                <w:p w14:paraId="2A0FF130" w14:textId="77777777" w:rsidR="00264FAC" w:rsidRPr="00264FAC" w:rsidRDefault="00264FAC">
                  <w:pPr>
                    <w:pStyle w:val="Compact"/>
                    <w:jc w:val="center"/>
                    <w:rPr>
                      <w:sz w:val="20"/>
                      <w:szCs w:val="20"/>
                    </w:rPr>
                  </w:pPr>
                  <w:r w:rsidRPr="00264FAC">
                    <w:rPr>
                      <w:sz w:val="20"/>
                      <w:szCs w:val="20"/>
                    </w:rPr>
                    <w:t>0%</w:t>
                  </w:r>
                </w:p>
              </w:tc>
              <w:tc>
                <w:tcPr>
                  <w:tcW w:w="851" w:type="dxa"/>
                </w:tcPr>
                <w:p w14:paraId="40A478F5" w14:textId="77777777" w:rsidR="00264FAC" w:rsidRPr="00264FAC" w:rsidRDefault="00264FAC">
                  <w:pPr>
                    <w:pStyle w:val="Compact"/>
                    <w:jc w:val="center"/>
                    <w:rPr>
                      <w:sz w:val="20"/>
                      <w:szCs w:val="20"/>
                    </w:rPr>
                  </w:pPr>
                  <w:r w:rsidRPr="00264FAC">
                    <w:rPr>
                      <w:sz w:val="20"/>
                      <w:szCs w:val="20"/>
                    </w:rPr>
                    <w:t>0%</w:t>
                  </w:r>
                </w:p>
              </w:tc>
              <w:tc>
                <w:tcPr>
                  <w:tcW w:w="990" w:type="dxa"/>
                </w:tcPr>
                <w:p w14:paraId="00C12387" w14:textId="77777777" w:rsidR="00264FAC" w:rsidRPr="00264FAC" w:rsidRDefault="00264FAC">
                  <w:pPr>
                    <w:pStyle w:val="Compact"/>
                    <w:jc w:val="center"/>
                    <w:rPr>
                      <w:sz w:val="20"/>
                      <w:szCs w:val="20"/>
                    </w:rPr>
                  </w:pPr>
                  <w:r w:rsidRPr="00264FAC">
                    <w:rPr>
                      <w:sz w:val="20"/>
                      <w:szCs w:val="20"/>
                    </w:rPr>
                    <w:t>–</w:t>
                  </w:r>
                </w:p>
              </w:tc>
            </w:tr>
            <w:tr w:rsidR="00264FAC" w:rsidRPr="00264FAC" w14:paraId="1757B434" w14:textId="77777777" w:rsidTr="00264FAC">
              <w:tc>
                <w:tcPr>
                  <w:tcW w:w="1134" w:type="dxa"/>
                </w:tcPr>
                <w:p w14:paraId="21B994ED" w14:textId="77777777" w:rsidR="00264FAC" w:rsidRPr="00264FAC" w:rsidRDefault="00264FAC">
                  <w:pPr>
                    <w:pStyle w:val="Compact"/>
                    <w:jc w:val="center"/>
                    <w:rPr>
                      <w:sz w:val="20"/>
                      <w:szCs w:val="20"/>
                    </w:rPr>
                  </w:pPr>
                  <w:r w:rsidRPr="00264FAC">
                    <w:rPr>
                      <w:b/>
                      <w:bCs/>
                      <w:sz w:val="20"/>
                      <w:szCs w:val="20"/>
                    </w:rPr>
                    <w:t>OYA1211</w:t>
                  </w:r>
                </w:p>
              </w:tc>
              <w:tc>
                <w:tcPr>
                  <w:tcW w:w="851" w:type="dxa"/>
                </w:tcPr>
                <w:p w14:paraId="67930FFD" w14:textId="77777777" w:rsidR="00264FAC" w:rsidRPr="00264FAC" w:rsidRDefault="00264FAC">
                  <w:pPr>
                    <w:pStyle w:val="Compact"/>
                    <w:jc w:val="center"/>
                    <w:rPr>
                      <w:sz w:val="20"/>
                      <w:szCs w:val="20"/>
                    </w:rPr>
                  </w:pPr>
                  <w:r w:rsidRPr="00264FAC">
                    <w:rPr>
                      <w:sz w:val="20"/>
                      <w:szCs w:val="20"/>
                    </w:rPr>
                    <w:t>13.11</w:t>
                  </w:r>
                </w:p>
              </w:tc>
              <w:tc>
                <w:tcPr>
                  <w:tcW w:w="709" w:type="dxa"/>
                </w:tcPr>
                <w:p w14:paraId="0FD954D6" w14:textId="77777777" w:rsidR="00264FAC" w:rsidRPr="00264FAC" w:rsidRDefault="00264FAC">
                  <w:pPr>
                    <w:pStyle w:val="Compact"/>
                    <w:jc w:val="center"/>
                    <w:rPr>
                      <w:sz w:val="20"/>
                      <w:szCs w:val="20"/>
                    </w:rPr>
                  </w:pPr>
                  <w:r w:rsidRPr="00264FAC">
                    <w:rPr>
                      <w:sz w:val="20"/>
                      <w:szCs w:val="20"/>
                    </w:rPr>
                    <w:t>100%</w:t>
                  </w:r>
                </w:p>
              </w:tc>
              <w:tc>
                <w:tcPr>
                  <w:tcW w:w="708" w:type="dxa"/>
                </w:tcPr>
                <w:p w14:paraId="1F98518A" w14:textId="77777777" w:rsidR="00264FAC" w:rsidRPr="00264FAC" w:rsidRDefault="00264FAC">
                  <w:pPr>
                    <w:pStyle w:val="Compact"/>
                    <w:jc w:val="center"/>
                    <w:rPr>
                      <w:sz w:val="20"/>
                      <w:szCs w:val="20"/>
                    </w:rPr>
                  </w:pPr>
                  <w:r w:rsidRPr="00264FAC">
                    <w:rPr>
                      <w:sz w:val="20"/>
                      <w:szCs w:val="20"/>
                    </w:rPr>
                    <w:t>100%</w:t>
                  </w:r>
                </w:p>
              </w:tc>
              <w:tc>
                <w:tcPr>
                  <w:tcW w:w="851" w:type="dxa"/>
                </w:tcPr>
                <w:p w14:paraId="317CCCA9" w14:textId="77777777" w:rsidR="00264FAC" w:rsidRPr="00264FAC" w:rsidRDefault="00264FAC">
                  <w:pPr>
                    <w:pStyle w:val="Compact"/>
                    <w:jc w:val="center"/>
                    <w:rPr>
                      <w:sz w:val="20"/>
                      <w:szCs w:val="20"/>
                    </w:rPr>
                  </w:pPr>
                  <w:r w:rsidRPr="00264FAC">
                    <w:rPr>
                      <w:sz w:val="20"/>
                      <w:szCs w:val="20"/>
                    </w:rPr>
                    <w:t>100%</w:t>
                  </w:r>
                </w:p>
              </w:tc>
              <w:tc>
                <w:tcPr>
                  <w:tcW w:w="851" w:type="dxa"/>
                </w:tcPr>
                <w:p w14:paraId="1BC44BB5" w14:textId="77777777" w:rsidR="00264FAC" w:rsidRPr="00264FAC" w:rsidRDefault="00264FAC">
                  <w:pPr>
                    <w:pStyle w:val="Compact"/>
                    <w:jc w:val="center"/>
                    <w:rPr>
                      <w:sz w:val="20"/>
                      <w:szCs w:val="20"/>
                    </w:rPr>
                  </w:pPr>
                  <w:r w:rsidRPr="00264FAC">
                    <w:rPr>
                      <w:sz w:val="20"/>
                      <w:szCs w:val="20"/>
                    </w:rPr>
                    <w:t>100%</w:t>
                  </w:r>
                </w:p>
              </w:tc>
              <w:tc>
                <w:tcPr>
                  <w:tcW w:w="992" w:type="dxa"/>
                </w:tcPr>
                <w:p w14:paraId="54993033" w14:textId="77777777" w:rsidR="00264FAC" w:rsidRPr="00264FAC" w:rsidRDefault="00264FAC">
                  <w:pPr>
                    <w:pStyle w:val="Compact"/>
                    <w:jc w:val="center"/>
                    <w:rPr>
                      <w:sz w:val="20"/>
                      <w:szCs w:val="20"/>
                    </w:rPr>
                  </w:pPr>
                  <w:r w:rsidRPr="00264FAC">
                    <w:rPr>
                      <w:sz w:val="20"/>
                      <w:szCs w:val="20"/>
                    </w:rPr>
                    <w:t>100%</w:t>
                  </w:r>
                </w:p>
              </w:tc>
              <w:tc>
                <w:tcPr>
                  <w:tcW w:w="710" w:type="dxa"/>
                </w:tcPr>
                <w:p w14:paraId="13DAFF61" w14:textId="77777777" w:rsidR="00264FAC" w:rsidRPr="00264FAC" w:rsidRDefault="00264FAC">
                  <w:pPr>
                    <w:pStyle w:val="Compact"/>
                    <w:jc w:val="center"/>
                    <w:rPr>
                      <w:sz w:val="20"/>
                      <w:szCs w:val="20"/>
                    </w:rPr>
                  </w:pPr>
                  <w:r w:rsidRPr="00264FAC">
                    <w:rPr>
                      <w:sz w:val="20"/>
                      <w:szCs w:val="20"/>
                    </w:rPr>
                    <w:t>100%</w:t>
                  </w:r>
                </w:p>
              </w:tc>
              <w:tc>
                <w:tcPr>
                  <w:tcW w:w="851" w:type="dxa"/>
                </w:tcPr>
                <w:p w14:paraId="5383E076" w14:textId="77777777" w:rsidR="00264FAC" w:rsidRPr="00264FAC" w:rsidRDefault="00264FAC">
                  <w:pPr>
                    <w:pStyle w:val="Compact"/>
                    <w:jc w:val="center"/>
                    <w:rPr>
                      <w:sz w:val="20"/>
                      <w:szCs w:val="20"/>
                    </w:rPr>
                  </w:pPr>
                  <w:r w:rsidRPr="00264FAC">
                    <w:rPr>
                      <w:sz w:val="20"/>
                      <w:szCs w:val="20"/>
                    </w:rPr>
                    <w:t>93%</w:t>
                  </w:r>
                </w:p>
              </w:tc>
              <w:tc>
                <w:tcPr>
                  <w:tcW w:w="990" w:type="dxa"/>
                </w:tcPr>
                <w:p w14:paraId="0546FFDD" w14:textId="77777777" w:rsidR="00264FAC" w:rsidRPr="00264FAC" w:rsidRDefault="00264FAC">
                  <w:pPr>
                    <w:pStyle w:val="Compact"/>
                    <w:jc w:val="center"/>
                    <w:rPr>
                      <w:sz w:val="20"/>
                      <w:szCs w:val="20"/>
                    </w:rPr>
                  </w:pPr>
                  <w:r w:rsidRPr="00264FAC">
                    <w:rPr>
                      <w:sz w:val="20"/>
                      <w:szCs w:val="20"/>
                    </w:rPr>
                    <w:t>100%</w:t>
                  </w:r>
                </w:p>
              </w:tc>
            </w:tr>
            <w:tr w:rsidR="00264FAC" w:rsidRPr="00264FAC" w14:paraId="710D7769" w14:textId="77777777" w:rsidTr="00264FAC">
              <w:tc>
                <w:tcPr>
                  <w:tcW w:w="1134" w:type="dxa"/>
                </w:tcPr>
                <w:p w14:paraId="1AA8FDCB" w14:textId="77777777" w:rsidR="00264FAC" w:rsidRPr="00264FAC" w:rsidRDefault="00264FAC">
                  <w:pPr>
                    <w:pStyle w:val="Compact"/>
                    <w:jc w:val="center"/>
                    <w:rPr>
                      <w:sz w:val="20"/>
                      <w:szCs w:val="20"/>
                    </w:rPr>
                  </w:pPr>
                  <w:r w:rsidRPr="00264FAC">
                    <w:rPr>
                      <w:b/>
                      <w:bCs/>
                      <w:sz w:val="20"/>
                      <w:szCs w:val="20"/>
                    </w:rPr>
                    <w:t>OYA1354</w:t>
                  </w:r>
                </w:p>
              </w:tc>
              <w:tc>
                <w:tcPr>
                  <w:tcW w:w="851" w:type="dxa"/>
                </w:tcPr>
                <w:p w14:paraId="601D127C" w14:textId="77777777" w:rsidR="00264FAC" w:rsidRPr="00264FAC" w:rsidRDefault="00264FAC">
                  <w:pPr>
                    <w:pStyle w:val="Compact"/>
                    <w:jc w:val="center"/>
                    <w:rPr>
                      <w:sz w:val="20"/>
                      <w:szCs w:val="20"/>
                    </w:rPr>
                  </w:pPr>
                  <w:r w:rsidRPr="00264FAC">
                    <w:rPr>
                      <w:sz w:val="20"/>
                      <w:szCs w:val="20"/>
                    </w:rPr>
                    <w:t>11.41</w:t>
                  </w:r>
                </w:p>
              </w:tc>
              <w:tc>
                <w:tcPr>
                  <w:tcW w:w="709" w:type="dxa"/>
                </w:tcPr>
                <w:p w14:paraId="565B12A9" w14:textId="77777777" w:rsidR="00264FAC" w:rsidRPr="00264FAC" w:rsidRDefault="00264FAC">
                  <w:pPr>
                    <w:pStyle w:val="Compact"/>
                    <w:jc w:val="center"/>
                    <w:rPr>
                      <w:sz w:val="20"/>
                      <w:szCs w:val="20"/>
                    </w:rPr>
                  </w:pPr>
                  <w:r w:rsidRPr="00264FAC">
                    <w:rPr>
                      <w:sz w:val="20"/>
                      <w:szCs w:val="20"/>
                    </w:rPr>
                    <w:t>83%</w:t>
                  </w:r>
                </w:p>
              </w:tc>
              <w:tc>
                <w:tcPr>
                  <w:tcW w:w="708" w:type="dxa"/>
                </w:tcPr>
                <w:p w14:paraId="7EE7C1A5" w14:textId="77777777" w:rsidR="00264FAC" w:rsidRPr="00264FAC" w:rsidRDefault="00264FAC">
                  <w:pPr>
                    <w:pStyle w:val="Compact"/>
                    <w:jc w:val="center"/>
                    <w:rPr>
                      <w:sz w:val="20"/>
                      <w:szCs w:val="20"/>
                    </w:rPr>
                  </w:pPr>
                  <w:r w:rsidRPr="00264FAC">
                    <w:rPr>
                      <w:sz w:val="20"/>
                      <w:szCs w:val="20"/>
                    </w:rPr>
                    <w:t>83%</w:t>
                  </w:r>
                </w:p>
              </w:tc>
              <w:tc>
                <w:tcPr>
                  <w:tcW w:w="851" w:type="dxa"/>
                </w:tcPr>
                <w:p w14:paraId="1BFCD87F" w14:textId="77777777" w:rsidR="00264FAC" w:rsidRPr="00264FAC" w:rsidRDefault="00264FAC">
                  <w:pPr>
                    <w:pStyle w:val="Compact"/>
                    <w:jc w:val="center"/>
                    <w:rPr>
                      <w:sz w:val="20"/>
                      <w:szCs w:val="20"/>
                    </w:rPr>
                  </w:pPr>
                  <w:r w:rsidRPr="00264FAC">
                    <w:rPr>
                      <w:sz w:val="20"/>
                      <w:szCs w:val="20"/>
                    </w:rPr>
                    <w:t>83%</w:t>
                  </w:r>
                </w:p>
              </w:tc>
              <w:tc>
                <w:tcPr>
                  <w:tcW w:w="851" w:type="dxa"/>
                </w:tcPr>
                <w:p w14:paraId="4E0A35DC" w14:textId="77777777" w:rsidR="00264FAC" w:rsidRPr="00264FAC" w:rsidRDefault="00264FAC">
                  <w:pPr>
                    <w:pStyle w:val="Compact"/>
                    <w:jc w:val="center"/>
                    <w:rPr>
                      <w:sz w:val="20"/>
                      <w:szCs w:val="20"/>
                    </w:rPr>
                  </w:pPr>
                  <w:r w:rsidRPr="00264FAC">
                    <w:rPr>
                      <w:sz w:val="20"/>
                      <w:szCs w:val="20"/>
                    </w:rPr>
                    <w:t>83%</w:t>
                  </w:r>
                </w:p>
              </w:tc>
              <w:tc>
                <w:tcPr>
                  <w:tcW w:w="992" w:type="dxa"/>
                </w:tcPr>
                <w:p w14:paraId="78C11BD3" w14:textId="77777777" w:rsidR="00264FAC" w:rsidRPr="00264FAC" w:rsidRDefault="00264FAC">
                  <w:pPr>
                    <w:pStyle w:val="Compact"/>
                    <w:jc w:val="center"/>
                    <w:rPr>
                      <w:sz w:val="20"/>
                      <w:szCs w:val="20"/>
                    </w:rPr>
                  </w:pPr>
                  <w:r w:rsidRPr="00264FAC">
                    <w:rPr>
                      <w:sz w:val="20"/>
                      <w:szCs w:val="20"/>
                    </w:rPr>
                    <w:t>92%</w:t>
                  </w:r>
                </w:p>
              </w:tc>
              <w:tc>
                <w:tcPr>
                  <w:tcW w:w="710" w:type="dxa"/>
                </w:tcPr>
                <w:p w14:paraId="235564DE" w14:textId="77777777" w:rsidR="00264FAC" w:rsidRPr="00264FAC" w:rsidRDefault="00264FAC">
                  <w:pPr>
                    <w:pStyle w:val="Compact"/>
                    <w:jc w:val="center"/>
                    <w:rPr>
                      <w:sz w:val="20"/>
                      <w:szCs w:val="20"/>
                    </w:rPr>
                  </w:pPr>
                  <w:r w:rsidRPr="00264FAC">
                    <w:rPr>
                      <w:sz w:val="20"/>
                      <w:szCs w:val="20"/>
                    </w:rPr>
                    <w:t>0%</w:t>
                  </w:r>
                </w:p>
              </w:tc>
              <w:tc>
                <w:tcPr>
                  <w:tcW w:w="851" w:type="dxa"/>
                </w:tcPr>
                <w:p w14:paraId="1E0B4BD4" w14:textId="77777777" w:rsidR="00264FAC" w:rsidRPr="00264FAC" w:rsidRDefault="00264FAC">
                  <w:pPr>
                    <w:pStyle w:val="Compact"/>
                    <w:jc w:val="center"/>
                    <w:rPr>
                      <w:sz w:val="20"/>
                      <w:szCs w:val="20"/>
                    </w:rPr>
                  </w:pPr>
                  <w:r w:rsidRPr="00264FAC">
                    <w:rPr>
                      <w:sz w:val="20"/>
                      <w:szCs w:val="20"/>
                    </w:rPr>
                    <w:t>0%</w:t>
                  </w:r>
                </w:p>
              </w:tc>
              <w:tc>
                <w:tcPr>
                  <w:tcW w:w="990" w:type="dxa"/>
                </w:tcPr>
                <w:p w14:paraId="3268B9D1" w14:textId="77777777" w:rsidR="00264FAC" w:rsidRPr="00264FAC" w:rsidRDefault="00264FAC">
                  <w:pPr>
                    <w:pStyle w:val="Compact"/>
                    <w:jc w:val="center"/>
                    <w:rPr>
                      <w:sz w:val="20"/>
                      <w:szCs w:val="20"/>
                    </w:rPr>
                  </w:pPr>
                  <w:r w:rsidRPr="00264FAC">
                    <w:rPr>
                      <w:sz w:val="20"/>
                      <w:szCs w:val="20"/>
                    </w:rPr>
                    <w:t>–</w:t>
                  </w:r>
                </w:p>
              </w:tc>
            </w:tr>
            <w:bookmarkEnd w:id="7"/>
          </w:tbl>
          <w:p w14:paraId="2CAAF759" w14:textId="77777777" w:rsidR="00155D89" w:rsidRDefault="00155D89"/>
        </w:tc>
      </w:tr>
    </w:tbl>
    <w:p w14:paraId="6917569F" w14:textId="77777777" w:rsidR="00155D89" w:rsidRDefault="00000000">
      <w:pPr>
        <w:pStyle w:val="Heading2"/>
      </w:pPr>
      <w:bookmarkStart w:id="8" w:name="data-processing"/>
      <w:bookmarkEnd w:id="6"/>
      <w:r>
        <w:t>Data Processing</w:t>
      </w:r>
    </w:p>
    <w:p w14:paraId="3F63023B" w14:textId="77777777" w:rsidR="00155D89" w:rsidRDefault="00000000">
      <w:pPr>
        <w:pStyle w:val="FirstParagraph"/>
      </w:pPr>
      <w:r>
        <w:t xml:space="preserve">The research strategy has been divided into three specific objectives, associated to each hypothesis: (1) characterize the temporal distribution of fog and dew occurrences and their co-occurrence from visibility and GOES observations; (2) evaluate the atmospheric </w:t>
      </w:r>
      <w:r>
        <w:lastRenderedPageBreak/>
        <w:t>stability under each occurrence type through potential temperature, specific humidity, and wind speed vertical gradients along the topographic station transect; (3) analyze the tendency on time of humidity, potential temperature and wind speed under fog and dew occurrences.</w:t>
      </w:r>
    </w:p>
    <w:p w14:paraId="54595D8F" w14:textId="77777777" w:rsidR="00155D89" w:rsidRDefault="00000000">
      <w:pPr>
        <w:pStyle w:val="Heading3"/>
      </w:pPr>
      <w:bookmarkStart w:id="9" w:name="Xd714c5d3b7ae83dfe9cbce51db5b6ee409c270b"/>
      <w:r>
        <w:t>OE1: Hierarchical classification of fog and dew occurrences</w:t>
      </w:r>
    </w:p>
    <w:p w14:paraId="036725C6" w14:textId="77777777" w:rsidR="00155D89" w:rsidRDefault="00000000">
      <w:pPr>
        <w:pStyle w:val="FirstParagraph"/>
      </w:pPr>
      <w:r>
        <w:t>To achieve the first specific objective, we used two criteria based on visibility and FLC detection, where visibility was the priority. Regardless of whether water is collected by the SFC or the SDC, the occurrence is classified as fog if visibility falls below 1000 m. The occurrence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14:paraId="2720C2D8" w14:textId="77777777" w:rsidR="00155D89" w:rsidRDefault="00000000">
      <w:pPr>
        <w:pStyle w:val="BodyText"/>
      </w:pPr>
      <w:bookmarkStart w:id="10" w:name="eq-classification"/>
      <m:oMathPara>
        <m:oMathParaPr>
          <m:jc m:val="center"/>
        </m:oMathParaPr>
        <m:oMath>
          <m:r>
            <m:rPr>
              <m:nor/>
            </m:rPr>
            <w:rPr>
              <w:sz w:val="21"/>
              <w:szCs w:val="21"/>
            </w:rPr>
            <m:t>Occurrence Type</m:t>
          </m:r>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m:rPr>
                        <m:nor/>
                      </m:rPr>
                      <w:rPr>
                        <w:sz w:val="21"/>
                        <w:szCs w:val="21"/>
                      </w:rPr>
                      <m:t>fog</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&lt;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1</m:t>
                    </m:r>
                  </m:e>
                </m:mr>
                <m:mr>
                  <m:e>
                    <m:r>
                      <m:rPr>
                        <m:nor/>
                      </m:rPr>
                      <w:rPr>
                        <w:sz w:val="21"/>
                        <w:szCs w:val="21"/>
                      </w:rPr>
                      <m:t>dew</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0</m:t>
                    </m:r>
                  </m:e>
                </m:mr>
              </m:m>
            </m:e>
          </m:d>
          <m:r>
            <w:rPr>
              <w:rFonts w:ascii="Cambria Math" w:hAnsi="Cambria Math"/>
              <w:sz w:val="21"/>
              <w:szCs w:val="21"/>
            </w:rPr>
            <m:t>  </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oMath>
      </m:oMathPara>
      <w:bookmarkEnd w:id="10"/>
    </w:p>
    <w:p w14:paraId="2EDFAEDD" w14:textId="77777777" w:rsidR="00155D89" w:rsidRDefault="00000000">
      <w:pPr>
        <w:pStyle w:val="FirstParagraph"/>
      </w:pPr>
      <w:r>
        <w:t>In addition to the classification algorithm, a manual review is performed. The automatic classification is compared against the visibility curve and the GOES signal. Isolated errors are corrected, and days of atypical behavior are documented. For example, an abrupt drop and recovery of visibility within a short period is likely caused by sensor lens dew condensation, or debris such as dust particles or insects obstructing the sensor rather than an actual fog occurrence, and is reclassified as dew. Likewise, when a continuous occurrence is interrupted by an isolated 10-minute segment classified differently, this segment is corrected to match the surrounding occurrence.</w:t>
      </w:r>
    </w:p>
    <w:p w14:paraId="56441852" w14:textId="77777777" w:rsidR="00155D89" w:rsidRDefault="00000000">
      <w:pPr>
        <w:pStyle w:val="Heading3"/>
      </w:pPr>
      <w:bookmarkStart w:id="11" w:name="Xb180a4f8d43fb8f693b3f592b08ce3d1214d02d"/>
      <w:bookmarkEnd w:id="9"/>
      <w:r>
        <w:t>OE2: Analyse the atmospheric stability through the thermodynamic vertical gradients</w:t>
      </w:r>
    </w:p>
    <w:p w14:paraId="0D65D8EF" w14:textId="77777777" w:rsidR="00155D89" w:rsidRDefault="00000000">
      <w:pPr>
        <w:pStyle w:val="FirstParagraph"/>
      </w:pPr>
      <w:r>
        <w:t>After reclassified fog and dew occurrences using the satellite and visibility criteria, we analyse the atmospheric stability of fog and dew reclassified occurrences. For analyzing the atmospheric stability we use two thermodynamic conserved variables of potential temperature (θ), specific humidity (q) and wind speed (U). Potential temperature is calculated as follows:</w:t>
      </w:r>
    </w:p>
    <w:p w14:paraId="174005D2" w14:textId="77777777" w:rsidR="00155D89" w:rsidRDefault="00000000">
      <w:pPr>
        <w:pStyle w:val="BodyText"/>
      </w:pPr>
      <w:bookmarkStart w:id="12"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2"/>
    </w:p>
    <w:p w14:paraId="0E2BF739" w14:textId="77777777" w:rsidR="00155D89" w:rsidRDefault="00000000">
      <w:pPr>
        <w:pStyle w:val="FirstParagraph"/>
      </w:pPr>
      <w:r>
        <w:t>where T is the absolute air temperature (K), P0 is the pressure (hPa) measured at the lowest station, P is the atmospheric pressure level at every station (hPa), R is the constant gas of dry air (287.08 J kg⁻¹ K⁻¹) and cp is the specific heat of dry air (1004.67 J kg⁻¹ K⁻¹). 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14:paraId="47B80672" w14:textId="77777777" w:rsidR="00155D89" w:rsidRDefault="00000000">
      <w:pPr>
        <w:pStyle w:val="BodyText"/>
      </w:pPr>
      <w:bookmarkStart w:id="13" w:name="eq-q"/>
      <m:oMathPara>
        <m:oMathParaPr>
          <m:jc m:val="center"/>
        </m:oMathParaPr>
        <m:oMath>
          <m:r>
            <w:rPr>
              <w:rFonts w:ascii="Cambria Math" w:hAnsi="Cambria Math"/>
            </w:rPr>
            <w:lastRenderedPageBreak/>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3"/>
    </w:p>
    <w:p w14:paraId="79DC1ADA" w14:textId="77777777" w:rsidR="00155D89" w:rsidRDefault="00000000">
      <w:pPr>
        <w:pStyle w:val="FirstParagraph"/>
      </w:pPr>
      <w:r>
        <w:t>where ϵ is he ratio of the molecular weight of water vapor to that of dry air (ϵ=0.622 kg kg-1), e is the water vapor pressure (hPa), obtained from relative humidity and saturated vapor pressure.</w:t>
      </w:r>
    </w:p>
    <w:p w14:paraId="0BFF1C6D" w14:textId="77777777" w:rsidR="00155D89" w:rsidRDefault="00000000">
      <w:pPr>
        <w:pStyle w:val="BodyText"/>
      </w:pPr>
      <w:r>
        <w:t>To calculate the vertical gradients that are used as a proxy of atmospheric stability we used:</w:t>
      </w:r>
    </w:p>
    <w:bookmarkStart w:id="14" w:name="eq-dphi-dz"/>
    <w:p w14:paraId="54F24568" w14:textId="77777777" w:rsidR="00155D89"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4"/>
    </w:p>
    <w:p w14:paraId="6D5D8F61" w14:textId="77777777" w:rsidR="00155D89" w:rsidRDefault="00000000">
      <w:pPr>
        <w:pStyle w:val="FirstParagraph"/>
      </w:pPr>
      <w:r>
        <w:t xml:space="preserve">where </w:t>
      </w:r>
      <m:oMath>
        <m:r>
          <w:rPr>
            <w:rFonts w:ascii="Cambria Math" w:hAnsi="Cambria Math"/>
          </w:rPr>
          <m:t>ϕ</m:t>
        </m:r>
      </m:oMath>
      <w:r>
        <w:t xml:space="preserve"> represents the conservative scalar of </w:t>
      </w:r>
      <m:oMath>
        <m:r>
          <w:rPr>
            <w:rFonts w:ascii="Cambria Math" w:hAnsi="Cambria Math"/>
          </w:rPr>
          <m:t>θ</m:t>
        </m:r>
      </m:oMath>
      <w: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∂φ/∂z are calculated along the 48–1354 m transect in relation to the coastal baseline, to determine the stability of the MBL, with φ ∈ {θ, q, U}.</w:t>
      </w:r>
    </w:p>
    <w:p w14:paraId="39526BF5" w14:textId="77777777" w:rsidR="00155D89" w:rsidRDefault="00000000">
      <w:pPr>
        <w:pStyle w:val="Heading3"/>
      </w:pPr>
      <w:bookmarkStart w:id="15" w:name="X994133923acfe928898958fb4a484b5fc5998dc"/>
      <w:bookmarkEnd w:id="11"/>
      <w:r>
        <w:t>OE3: Analyse the temporal tendency of conserved variables</w:t>
      </w:r>
    </w:p>
    <w:p w14:paraId="2A046940" w14:textId="77777777" w:rsidR="00155D89" w:rsidRDefault="00000000">
      <w:pPr>
        <w:pStyle w:val="FirstParagraph"/>
      </w:pPr>
      <w:r>
        <w:t>To achieve the third specific objective, we calculated temporal rates ∂φ/∂t using forward finite differences, with φ ∈ {θ, q, U}. Fixed delays ranging from 10 min to 180 min are used to characterize the response to occurrence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bookmarkStart w:id="16" w:name="eq-dphi-dt"/>
    <w:p w14:paraId="06468E86" w14:textId="77777777" w:rsidR="00155D89"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6"/>
    </w:p>
    <w:p w14:paraId="5BD66F16" w14:textId="77777777" w:rsidR="00155D89" w:rsidRDefault="00000000">
      <w:pPr>
        <w:pStyle w:val="Heading1"/>
      </w:pPr>
      <w:bookmarkStart w:id="17" w:name="results"/>
      <w:bookmarkEnd w:id="2"/>
      <w:bookmarkEnd w:id="8"/>
      <w:bookmarkEnd w:id="15"/>
      <w:r>
        <w:t>Results</w:t>
      </w:r>
    </w:p>
    <w:p w14:paraId="4C7098FA" w14:textId="77777777" w:rsidR="00155D89" w:rsidRDefault="00000000">
      <w:pPr>
        <w:pStyle w:val="FirstParagraph"/>
      </w:pPr>
      <w:r>
        <w:t>The complete observational dataset of the Cerro Oyarbide topographic transect allows us to reclassify the fog and dew occurrences detected by the collectors using visibility and satellite observations (Section 3.1). This reclassification is then analysed through the vertical profiles of the thermodynamic variables (Section 3.2) and their temporal tendency during fog and dew occurrences (Section 3.3).</w:t>
      </w:r>
    </w:p>
    <w:p w14:paraId="16A97D93" w14:textId="77777777" w:rsidR="00155D89" w:rsidRDefault="00000000">
      <w:pPr>
        <w:pStyle w:val="Heading2"/>
      </w:pPr>
      <w:bookmarkStart w:id="18" w:name="X5e714c9dce2190423ac7daf1b5671fc2b8f4afd"/>
      <w:r>
        <w:t>Fog and dew occurrences instrumental reclassification</w:t>
      </w:r>
    </w:p>
    <w:p w14:paraId="7F432034" w14:textId="77777777" w:rsidR="00155D89" w:rsidRDefault="00155D89">
      <w:pPr>
        <w:pStyle w:val="Compact"/>
        <w:numPr>
          <w:ilvl w:val="0"/>
          <w:numId w:val="2"/>
        </w:numPr>
      </w:pPr>
      <w:hyperlink w:anchor="fig-classification">
        <w:r>
          <w:rPr>
            <w:rStyle w:val="Hyperlink"/>
          </w:rPr>
          <w:t>Figure 2</w:t>
        </w:r>
      </w:hyperlink>
      <w:r w:rsidR="00000000">
        <w:t xml:space="preserve"> shows the total atmospheric water collection frequency in relation to the year (top bar) and the contribution of fog and dew occurrences classified by the collectors and reclassified by our visibility criteria. The top bar places the problem in its true magnitude: the active window of atmospheric water occupies only 8.6% </w:t>
      </w:r>
      <w:r w:rsidR="00000000">
        <w:lastRenderedPageBreak/>
        <w:t>of the year (91.4% without occurrences), so each misclassified interval weighs proportionally more than its duration suggests.</w:t>
      </w:r>
    </w:p>
    <w:p w14:paraId="4D3766BF" w14:textId="77777777" w:rsidR="00155D89" w:rsidRDefault="00000000">
      <w:pPr>
        <w:pStyle w:val="Compact"/>
        <w:numPr>
          <w:ilvl w:val="0"/>
          <w:numId w:val="2"/>
        </w:numPr>
      </w:pPr>
      <w:r>
        <w:t>Within this window, direct instrumental detection reports 49.2% fog, 46.8% mixed fog+dew, and only 4.0% dew.</w:t>
      </w:r>
    </w:p>
    <w:p w14:paraId="616D90F7" w14:textId="77777777" w:rsidR="00155D89" w:rsidRDefault="00000000">
      <w:pPr>
        <w:pStyle w:val="Compact"/>
        <w:numPr>
          <w:ilvl w:val="0"/>
          <w:numId w:val="2"/>
        </w:numPr>
      </w:pPr>
      <w:r>
        <w:t>However, once the visibility is analysed together with the satellite observation of FLC, the reclassification of fog and dew occurrences shifts to 53.3% fog and 46.7% dew. This large change evidences that the collectors overlap in 46.8% of the atmospheric water inputs when those are measured by any of the collectors.</w:t>
      </w:r>
    </w:p>
    <w:p w14:paraId="435F3CEE" w14:textId="77777777" w:rsidR="00155D89" w:rsidRDefault="00000000">
      <w:pPr>
        <w:pStyle w:val="Compact"/>
        <w:numPr>
          <w:ilvl w:val="0"/>
          <w:numId w:val="2"/>
        </w:numPr>
      </w:pPr>
      <w:r>
        <w:t>After the reclassification, the total frequency of fog collection is 4.6% over the year, and dew 4.0%. The fog frequency is in agreement with two observations that are independent of the collectors: the frequency of FLC detected by GOES-16 over the station (4.4% of the 10-min records of 2024) and the frequency of visibility below 1000 m (5.2% of the records with available visibility).</w:t>
      </w:r>
    </w:p>
    <w:p w14:paraId="37B15133" w14:textId="77777777" w:rsidR="00155D89" w:rsidRDefault="00000000">
      <w:pPr>
        <w:pStyle w:val="Compact"/>
        <w:numPr>
          <w:ilvl w:val="0"/>
          <w:numId w:val="2"/>
        </w:numPr>
      </w:pPr>
      <w:r>
        <w:t>The instrumental overlap is not isolated noise: once corrected, the fraction of dew time increases one order of magnitude (4.0% → 46.7%).</w:t>
      </w:r>
    </w:p>
    <w:tbl>
      <w:tblPr>
        <w:tblStyle w:val="Table"/>
        <w:tblW w:w="5000" w:type="pct"/>
        <w:tblLayout w:type="fixed"/>
        <w:tblLook w:val="0000" w:firstRow="0" w:lastRow="0" w:firstColumn="0" w:lastColumn="0" w:noHBand="0" w:noVBand="0"/>
      </w:tblPr>
      <w:tblGrid>
        <w:gridCol w:w="9576"/>
      </w:tblGrid>
      <w:tr w:rsidR="00155D89" w14:paraId="666AB789" w14:textId="77777777">
        <w:tc>
          <w:tcPr>
            <w:tcW w:w="7920" w:type="dxa"/>
          </w:tcPr>
          <w:p w14:paraId="2884EA18" w14:textId="77777777" w:rsidR="00155D89" w:rsidRDefault="00000000">
            <w:pPr>
              <w:pStyle w:val="Compact"/>
              <w:jc w:val="center"/>
            </w:pPr>
            <w:bookmarkStart w:id="19" w:name="fig-classification"/>
            <w:r>
              <w:rPr>
                <w:noProof/>
              </w:rPr>
              <w:drawing>
                <wp:inline distT="0" distB="0" distL="0" distR="0" wp14:anchorId="1768A7D9" wp14:editId="24FBF97D">
                  <wp:extent cx="5334000" cy="296037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as/resultados_figura01.png"/>
                          <pic:cNvPicPr>
                            <a:picLocks noChangeAspect="1" noChangeArrowheads="1"/>
                          </pic:cNvPicPr>
                        </pic:nvPicPr>
                        <pic:blipFill>
                          <a:blip r:embed="rId10"/>
                          <a:stretch>
                            <a:fillRect/>
                          </a:stretch>
                        </pic:blipFill>
                        <pic:spPr bwMode="auto">
                          <a:xfrm>
                            <a:off x="0" y="0"/>
                            <a:ext cx="5334000" cy="2960370"/>
                          </a:xfrm>
                          <a:prstGeom prst="rect">
                            <a:avLst/>
                          </a:prstGeom>
                          <a:noFill/>
                          <a:ln w="9525">
                            <a:noFill/>
                            <a:headEnd/>
                            <a:tailEnd/>
                          </a:ln>
                        </pic:spPr>
                      </pic:pic>
                    </a:graphicData>
                  </a:graphic>
                </wp:inline>
              </w:drawing>
            </w:r>
          </w:p>
          <w:p w14:paraId="0E156906" w14:textId="77777777" w:rsidR="00155D89" w:rsidRDefault="00000000">
            <w:pPr>
              <w:pStyle w:val="ImageCaption"/>
              <w:spacing w:before="200"/>
            </w:pPr>
            <w:r>
              <w:t>Figure 2: Classification of atmospheric water occurrences at station OYA1211 during 2024. (A) Proportion of the year with atmospheric water (fog or dew collection) and without occurrences. (B) Internal distribution of atmospheric water occurrences according to the instrumental detection by the SFC and SDC. (C) Internal distribution after the classification based on visibility and GOES-16 FLC.</w:t>
            </w:r>
          </w:p>
        </w:tc>
        <w:bookmarkEnd w:id="19"/>
      </w:tr>
    </w:tbl>
    <w:p w14:paraId="270FF0FE" w14:textId="77777777" w:rsidR="00155D89" w:rsidRDefault="00000000">
      <w:pPr>
        <w:pStyle w:val="Compact"/>
        <w:numPr>
          <w:ilvl w:val="0"/>
          <w:numId w:val="3"/>
        </w:numPr>
      </w:pPr>
      <w:r>
        <w:t xml:space="preserve">To deepen into how the reclassification based on visibility and satellite observations was made, we analyse specific cases. </w:t>
      </w:r>
      <w:hyperlink w:anchor="fig-typical-days">
        <w:r w:rsidR="00155D89">
          <w:rPr>
            <w:rStyle w:val="Hyperlink"/>
          </w:rPr>
          <w:t>Figure 3</w:t>
        </w:r>
      </w:hyperlink>
      <w:r>
        <w:t xml:space="preserve"> shows how our reclassification criteria work for specific days.</w:t>
      </w:r>
    </w:p>
    <w:p w14:paraId="299CFB2B" w14:textId="77777777" w:rsidR="00155D89" w:rsidRDefault="00000000">
      <w:pPr>
        <w:pStyle w:val="Compact"/>
        <w:numPr>
          <w:ilvl w:val="0"/>
          <w:numId w:val="3"/>
        </w:numPr>
      </w:pPr>
      <w:r>
        <w:t xml:space="preserve">For example, typical fog days occur on 28 April and 21 September. On 28 April, visibility drops from 4000 m to near zero (minimum of 103 m), remaining below 1000 </w:t>
      </w:r>
      <w:r>
        <w:lastRenderedPageBreak/>
        <w:t>m from 04:40 to 12:00 UTC (00:40 to 08:00 local time, UTC−4). While visibility drops, the GOES satellite indicates the presence of FLC (04:30 to 10:50 UTC) and both collectors (fog and dew) register water collection. This occurrence is classified as fog because visibility remains below 1000 m during the collection period (</w:t>
      </w:r>
      <w:hyperlink w:anchor="eq-classification">
        <w:r w:rsidR="00155D89">
          <w:rPr>
            <w:rStyle w:val="Hyperlink"/>
          </w:rPr>
          <w:t>Equation 1</w:t>
        </w:r>
      </w:hyperlink>
      <w:r>
        <w:t>).</w:t>
      </w:r>
    </w:p>
    <w:p w14:paraId="065C719F" w14:textId="77777777" w:rsidR="00155D89" w:rsidRDefault="00000000">
      <w:pPr>
        <w:pStyle w:val="Compact"/>
        <w:numPr>
          <w:ilvl w:val="0"/>
          <w:numId w:val="3"/>
        </w:numPr>
      </w:pPr>
      <w:r>
        <w:t>The second one occurs on 21 September, when visibility also drops below 1000 m (minimum of 218 m) during the collection period, from 04:30 to 13:20 UTC (01:30 to 10:20 local time, UTC−3), and GOES detects FLC from 04:30 to 13:50 UTC. In this case, only the SDC registers water, so the collectors would assign this occurrence to dew, whereas the reclassification assigns it to fog.</w:t>
      </w:r>
    </w:p>
    <w:p w14:paraId="237FA1CD" w14:textId="77777777" w:rsidR="00155D89" w:rsidRDefault="00000000">
      <w:pPr>
        <w:pStyle w:val="Compact"/>
        <w:numPr>
          <w:ilvl w:val="0"/>
          <w:numId w:val="3"/>
        </w:numPr>
      </w:pPr>
      <w:r>
        <w:t>Contrary, typical dew days occur on 24 April and 28 November. On 24 April, visibility remains above 1000 m all day (minimum of 1110 m at 09:20 UTC) and GOES does not detect FLC, while only the SFC registers water from 03:40 to 12:50 UTC (23:40 to 08:50 local time, UTC−4). This occurrence is classified as dew because visibility remains above 1000 m, although the collectors would assign it to fog.</w:t>
      </w:r>
    </w:p>
    <w:p w14:paraId="726F026C" w14:textId="77777777" w:rsidR="00155D89" w:rsidRDefault="00000000">
      <w:pPr>
        <w:pStyle w:val="Compact"/>
        <w:numPr>
          <w:ilvl w:val="0"/>
          <w:numId w:val="3"/>
        </w:numPr>
      </w:pPr>
      <w:r>
        <w:t>On 28 November, visibility remains above 3300 m all day and only the SFC registers water from 03:00 to 10:50 UTC (00:00 to 07:50 local time, UTC−3). During this period GOES detects FLC only at 04:00 UTC; since visibility has priority over GOES in the classification criteria, the occurrence is classified as dew.</w:t>
      </w:r>
    </w:p>
    <w:p w14:paraId="27BCD7FB" w14:textId="77777777" w:rsidR="00155D89" w:rsidRDefault="00000000">
      <w:pPr>
        <w:pStyle w:val="Compact"/>
        <w:numPr>
          <w:ilvl w:val="0"/>
          <w:numId w:val="3"/>
        </w:numPr>
      </w:pPr>
      <w:r>
        <w:t>Days without occurrences and particular cases (e.g., 17 May, where erratic visibility alternates between fog and dew within the same day) are shown in Appendix A (</w:t>
      </w:r>
      <w:hyperlink w:anchor="fig-particular-cases">
        <w:r w:rsidR="00155D89">
          <w:rPr>
            <w:rStyle w:val="Hyperlink"/>
          </w:rPr>
          <w:t>Figure 5</w:t>
        </w:r>
      </w:hyperlink>
      <w:r>
        <w:t>).</w:t>
      </w:r>
    </w:p>
    <w:tbl>
      <w:tblPr>
        <w:tblStyle w:val="Table"/>
        <w:tblW w:w="5000" w:type="pct"/>
        <w:tblLayout w:type="fixed"/>
        <w:tblLook w:val="0000" w:firstRow="0" w:lastRow="0" w:firstColumn="0" w:lastColumn="0" w:noHBand="0" w:noVBand="0"/>
      </w:tblPr>
      <w:tblGrid>
        <w:gridCol w:w="9576"/>
      </w:tblGrid>
      <w:tr w:rsidR="00155D89" w14:paraId="5A184B8B" w14:textId="77777777">
        <w:tc>
          <w:tcPr>
            <w:tcW w:w="7920" w:type="dxa"/>
          </w:tcPr>
          <w:p w14:paraId="12B67D7F" w14:textId="77777777" w:rsidR="00155D89" w:rsidRDefault="00000000">
            <w:pPr>
              <w:pStyle w:val="Compact"/>
              <w:jc w:val="center"/>
            </w:pPr>
            <w:bookmarkStart w:id="20" w:name="fig-typical-days"/>
            <w:r>
              <w:rPr>
                <w:noProof/>
              </w:rPr>
              <w:lastRenderedPageBreak/>
              <w:drawing>
                <wp:inline distT="0" distB="0" distL="0" distR="0" wp14:anchorId="719EF917" wp14:editId="7AC6C889">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as/fig_3_1_b_typical_days_e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7DF92549" w14:textId="77777777" w:rsidR="00155D89" w:rsidRDefault="00000000">
            <w:pPr>
              <w:pStyle w:val="ImageCaption"/>
              <w:spacing w:before="200"/>
            </w:pPr>
            <w:r>
              <w:t>Figure 3: Examples of days classified as fog (28 April and 21 September 2024) and dew (24 April and 28 November 2024) at station OYA1211. The blue line shows horizontal visibility and the red dashed line the 1000 m threshold. Lower bands show, every 10 minutes, the final classification (Classif.), the instrumental collection before the classification (Instr.: fog collector only, dew collector only, both collectors, or no occurrence), and the GOES-16 FLC detection.</w:t>
            </w:r>
          </w:p>
        </w:tc>
        <w:bookmarkEnd w:id="20"/>
      </w:tr>
    </w:tbl>
    <w:p w14:paraId="7116EE3B" w14:textId="77777777" w:rsidR="00155D89" w:rsidRDefault="00000000">
      <w:pPr>
        <w:pStyle w:val="Compact"/>
        <w:numPr>
          <w:ilvl w:val="0"/>
          <w:numId w:val="4"/>
        </w:numPr>
      </w:pPr>
      <w:r>
        <w:t>Beyond these specific days, the reclassification also changes the seasonal and diurnal distribution of fog and dew occurrences, both in frequency and in collected water (</w:t>
      </w:r>
      <w:hyperlink w:anchor="fig-distribution">
        <w:r w:rsidR="00155D89">
          <w:rPr>
            <w:rStyle w:val="Hyperlink"/>
          </w:rPr>
          <w:t>Figure 4</w:t>
        </w:r>
      </w:hyperlink>
      <w:r>
        <w:t>).</w:t>
      </w:r>
    </w:p>
    <w:p w14:paraId="17BE4C5D" w14:textId="77777777" w:rsidR="00155D89" w:rsidRDefault="00000000">
      <w:pPr>
        <w:pStyle w:val="Compact"/>
        <w:numPr>
          <w:ilvl w:val="0"/>
          <w:numId w:val="4"/>
        </w:numPr>
      </w:pPr>
      <w:r>
        <w:t>In terms of frequency, the SFC records water in 98% to 100% of the atmospheric water records of every month, except August (70%) and September (63%), when the SDC is more frequent (82% and 89%) (</w:t>
      </w:r>
      <w:hyperlink w:anchor="fig-distribution">
        <w:r w:rsidR="00155D89">
          <w:rPr>
            <w:rStyle w:val="Hyperlink"/>
          </w:rPr>
          <w:t>Figure 4</w:t>
        </w:r>
      </w:hyperlink>
      <w:r>
        <w:t>, A and B). After the reclassification, fog is more frequent in seven of twelve months, reaching its maximum in June (83%, although based on only six records), whereas dew is more frequent in January (68%), February (56%), April (51%), July (58%) and November (53%).</w:t>
      </w:r>
    </w:p>
    <w:p w14:paraId="7A845A15" w14:textId="77777777" w:rsidR="00155D89" w:rsidRDefault="00000000">
      <w:pPr>
        <w:pStyle w:val="Compact"/>
        <w:numPr>
          <w:ilvl w:val="0"/>
          <w:numId w:val="4"/>
        </w:numPr>
      </w:pPr>
      <w:r>
        <w:t>At the daily scale (</w:t>
      </w:r>
      <w:hyperlink w:anchor="fig-distribution">
        <w:r w:rsidR="00155D89">
          <w:rPr>
            <w:rStyle w:val="Hyperlink"/>
          </w:rPr>
          <w:t>Figure 4</w:t>
        </w:r>
      </w:hyperlink>
      <w:r>
        <w:t xml:space="preserve">, C and D), the classified dew is as frequent as or more frequent than the classified fog between 01:00 and 09:00 UTC (50% to 60%), whereas fog dominates from 10:00 UTC onwards, exceeding 80% at 12:00 and 13:00 UTC and between 20:00 and 23:00 UTC. Between 14:00 and 17:00 UTC </w:t>
      </w:r>
      <w:r>
        <w:lastRenderedPageBreak/>
        <w:t>atmospheric water records are scarce, so the frequencies in this interval are unstable.</w:t>
      </w:r>
    </w:p>
    <w:p w14:paraId="4280D0B7" w14:textId="77777777" w:rsidR="00155D89" w:rsidRDefault="00000000">
      <w:pPr>
        <w:pStyle w:val="Compact"/>
        <w:numPr>
          <w:ilvl w:val="0"/>
          <w:numId w:val="4"/>
        </w:numPr>
      </w:pPr>
      <w:r>
        <w:t>In terms of collected water (</w:t>
      </w:r>
      <w:hyperlink w:anchor="fig-distribution">
        <w:r w:rsidR="00155D89">
          <w:rPr>
            <w:rStyle w:val="Hyperlink"/>
          </w:rPr>
          <w:t>Figure 4</w:t>
        </w:r>
      </w:hyperlink>
      <w:r>
        <w:t>, bars in A to D), the classified fog mean exceeds the classified dew mean by about one order of magnitude: across months, it ranges from ~13 to ~130 mL, whereas the classified dew mean ranges from ~0.7 to ~21 mL. Over the whole year, the classified fog mean (~76 mL) is about 16 times the classified dew mean (~4.6 mL), and dew accounts for only ~5% of the total classified water, despite occupying 46.7% of the active window (</w:t>
      </w:r>
      <w:hyperlink w:anchor="fig-classification">
        <w:r w:rsidR="00155D89">
          <w:rPr>
            <w:rStyle w:val="Hyperlink"/>
          </w:rPr>
          <w:t>Figure 2</w:t>
        </w:r>
      </w:hyperlink>
      <w:r>
        <w:t>).</w:t>
      </w:r>
    </w:p>
    <w:p w14:paraId="62D3C456" w14:textId="77777777" w:rsidR="00155D89" w:rsidRDefault="00000000">
      <w:pPr>
        <w:pStyle w:val="Compact"/>
        <w:numPr>
          <w:ilvl w:val="0"/>
          <w:numId w:val="4"/>
        </w:numPr>
      </w:pPr>
      <w:r>
        <w:t xml:space="preserve">Compared with the instrumental detection, the classified fog mean exceeds the instrumental one in ten of twelve months, while the classified dew mean is lower than the instrumental one in nine of twelve months. </w:t>
      </w:r>
      <w:commentRangeStart w:id="21"/>
      <w:commentRangeStart w:id="22"/>
      <w:commentRangeStart w:id="23"/>
      <w:r>
        <w:t>Note that the classified mean sums the water of both collectors during each record, whereas the instrumental mean only considers the collector of each phenomenon, which partly explains the higher classified fog values.</w:t>
      </w:r>
      <w:commentRangeEnd w:id="21"/>
      <w:r w:rsidR="00264FAC">
        <w:rPr>
          <w:rStyle w:val="CommentReference"/>
          <w:sz w:val="24"/>
          <w:szCs w:val="24"/>
        </w:rPr>
        <w:commentReference w:id="21"/>
      </w:r>
      <w:commentRangeEnd w:id="22"/>
      <w:r w:rsidR="00264FAC">
        <w:rPr>
          <w:rStyle w:val="CommentReference"/>
          <w:sz w:val="24"/>
          <w:szCs w:val="24"/>
        </w:rPr>
        <w:commentReference w:id="22"/>
      </w:r>
      <w:commentRangeEnd w:id="23"/>
      <w:r w:rsidR="00264FAC">
        <w:rPr>
          <w:rStyle w:val="CommentReference"/>
          <w:sz w:val="24"/>
          <w:szCs w:val="24"/>
        </w:rPr>
        <w:commentReference w:id="23"/>
      </w:r>
    </w:p>
    <w:p w14:paraId="711FF87F" w14:textId="77777777" w:rsidR="00155D89" w:rsidRDefault="00000000">
      <w:pPr>
        <w:pStyle w:val="Compact"/>
        <w:numPr>
          <w:ilvl w:val="0"/>
          <w:numId w:val="4"/>
        </w:numPr>
      </w:pPr>
      <w:r>
        <w:t>At the daily scale (</w:t>
      </w:r>
      <w:hyperlink w:anchor="fig-distribution">
        <w:r w:rsidR="00155D89">
          <w:rPr>
            <w:rStyle w:val="Hyperlink"/>
          </w:rPr>
          <w:t>Figure 4</w:t>
        </w:r>
      </w:hyperlink>
      <w:r>
        <w:t>, C and D), the classified fog mean shows a nocturnal plateau (~60 to 85 mL between 00:00 and 11:00 UTC) and an afternoon peak of ~280 mL at 20:00 UTC, whereas the nocturnal classified dew values remain between ~3.5 and 8 mL.</w:t>
      </w:r>
    </w:p>
    <w:tbl>
      <w:tblPr>
        <w:tblStyle w:val="Table"/>
        <w:tblW w:w="5000" w:type="pct"/>
        <w:tblLayout w:type="fixed"/>
        <w:tblLook w:val="0000" w:firstRow="0" w:lastRow="0" w:firstColumn="0" w:lastColumn="0" w:noHBand="0" w:noVBand="0"/>
      </w:tblPr>
      <w:tblGrid>
        <w:gridCol w:w="9576"/>
      </w:tblGrid>
      <w:tr w:rsidR="00155D89" w14:paraId="76FA3D07" w14:textId="77777777">
        <w:tc>
          <w:tcPr>
            <w:tcW w:w="7920" w:type="dxa"/>
          </w:tcPr>
          <w:p w14:paraId="728D177F" w14:textId="77777777" w:rsidR="00155D89" w:rsidRDefault="00000000">
            <w:pPr>
              <w:pStyle w:val="Compact"/>
              <w:jc w:val="center"/>
            </w:pPr>
            <w:bookmarkStart w:id="24" w:name="fig-distribution"/>
            <w:commentRangeStart w:id="25"/>
            <w:r>
              <w:rPr>
                <w:noProof/>
              </w:rPr>
              <w:drawing>
                <wp:inline distT="0" distB="0" distL="0" distR="0" wp14:anchorId="3708203D" wp14:editId="0244E31A">
                  <wp:extent cx="5691731" cy="4110824"/>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as/fig_3_1_c_distribution_combined_en_v02.png"/>
                          <pic:cNvPicPr>
                            <a:picLocks noChangeAspect="1" noChangeArrowheads="1"/>
                          </pic:cNvPicPr>
                        </pic:nvPicPr>
                        <pic:blipFill>
                          <a:blip r:embed="rId12"/>
                          <a:stretch>
                            <a:fillRect/>
                          </a:stretch>
                        </pic:blipFill>
                        <pic:spPr bwMode="auto">
                          <a:xfrm>
                            <a:off x="0" y="0"/>
                            <a:ext cx="5722496" cy="4133044"/>
                          </a:xfrm>
                          <a:prstGeom prst="rect">
                            <a:avLst/>
                          </a:prstGeom>
                          <a:noFill/>
                          <a:ln w="9525">
                            <a:noFill/>
                            <a:headEnd/>
                            <a:tailEnd/>
                          </a:ln>
                        </pic:spPr>
                      </pic:pic>
                    </a:graphicData>
                  </a:graphic>
                </wp:inline>
              </w:drawing>
            </w:r>
            <w:commentRangeEnd w:id="25"/>
            <w:r w:rsidR="00264FAC">
              <w:rPr>
                <w:rStyle w:val="CommentReference"/>
                <w:sz w:val="24"/>
                <w:szCs w:val="24"/>
              </w:rPr>
              <w:commentReference w:id="25"/>
            </w:r>
          </w:p>
          <w:p w14:paraId="29CB4A9D" w14:textId="77777777" w:rsidR="00155D89" w:rsidRDefault="00000000">
            <w:pPr>
              <w:pStyle w:val="ImageCaption"/>
              <w:spacing w:before="200"/>
            </w:pPr>
            <w:r>
              <w:t xml:space="preserve">Figure 4: Seasonal and diurnal distribution of fog and dew occurrences at station OYA1211 during 2024, before (instrumental) and after (classified) the classification based on visibility </w:t>
            </w:r>
            <w:r>
              <w:lastRenderedPageBreak/>
              <w:t>and GOES-16 FLC. (A) Fog and (B) dew monthly distribution; (C) fog and (D) dew hourly distribution. Bars show the mean accumulated water per 10-min record (values &gt; 0; left axis), in grey for the instrumental detection and in blue (fog) or orange (dew) for the classification. Lines show the frequency as percentage of the 10-min records with atmospheric water (right axis), dashed with open circles for the instrumental detection and solid with filled circles for the classification; instrumental fog and dew include the records in which both collectors registered water. Note the different water scales of each panel. In (C) and (D), the lower axis is in UTC and the upper axis in approximate Chile local time (UTC-3).</w:t>
            </w:r>
          </w:p>
        </w:tc>
        <w:bookmarkEnd w:id="24"/>
      </w:tr>
    </w:tbl>
    <w:p w14:paraId="79042722" w14:textId="77777777" w:rsidR="00155D89" w:rsidRDefault="00000000">
      <w:pPr>
        <w:pStyle w:val="Heading2"/>
      </w:pPr>
      <w:bookmarkStart w:id="26" w:name="X36a490bb86d83cd5ef7f99c96a73583e9800f43"/>
      <w:bookmarkEnd w:id="18"/>
      <w:r>
        <w:lastRenderedPageBreak/>
        <w:t>Atmospheric stability under fog and dew occurrences</w:t>
      </w:r>
    </w:p>
    <w:p w14:paraId="2F5E2B47" w14:textId="77777777" w:rsidR="00155D89" w:rsidRDefault="00155D89">
      <w:pPr>
        <w:pStyle w:val="FirstParagraph"/>
      </w:pPr>
    </w:p>
    <w:p w14:paraId="4AAF1A3C" w14:textId="77777777" w:rsidR="00155D89" w:rsidRDefault="00000000">
      <w:pPr>
        <w:pStyle w:val="BodyText"/>
      </w:pPr>
      <w:r>
        <w:rPr>
          <w:noProof/>
        </w:rPr>
        <w:drawing>
          <wp:inline distT="0" distB="0" distL="0" distR="0" wp14:anchorId="48B40F35" wp14:editId="3EB852C6">
            <wp:extent cx="5334000" cy="3200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esultados/figuras/09_perfiles_dias_seleccionados.png"/>
                    <pic:cNvPicPr>
                      <a:picLocks noChangeAspect="1" noChangeArrowheads="1"/>
                    </pic:cNvPicPr>
                  </pic:nvPicPr>
                  <pic:blipFill>
                    <a:blip r:embed="rId13"/>
                    <a:stretch>
                      <a:fillRect/>
                    </a:stretch>
                  </pic:blipFill>
                  <pic:spPr bwMode="auto">
                    <a:xfrm>
                      <a:off x="0" y="0"/>
                      <a:ext cx="5334000" cy="3200399"/>
                    </a:xfrm>
                    <a:prstGeom prst="rect">
                      <a:avLst/>
                    </a:prstGeom>
                    <a:noFill/>
                    <a:ln w="9525">
                      <a:noFill/>
                      <a:headEnd/>
                      <a:tailEnd/>
                    </a:ln>
                  </pic:spPr>
                </pic:pic>
              </a:graphicData>
            </a:graphic>
          </wp:inline>
        </w:drawing>
      </w:r>
    </w:p>
    <w:p w14:paraId="3A8E48AA" w14:textId="77777777" w:rsidR="00155D89" w:rsidRDefault="00000000">
      <w:pPr>
        <w:pStyle w:val="Compact"/>
        <w:numPr>
          <w:ilvl w:val="0"/>
          <w:numId w:val="5"/>
        </w:numPr>
      </w:pPr>
      <w:r>
        <w:t>At the scale of a single day, the previous figure already reveals the pattern: 28 April (fog) exhibits a nearly uniform θ profile between 48 and 1354 m a.s.l. (the signature of a well-mixed layer), whereas 24 April (dew) shows a vertical gradient similar to that of the non-occurrence hours of the same day. The q and U profiles, however, show no equivalent contrast between the two regimes.</w:t>
      </w:r>
    </w:p>
    <w:p w14:paraId="7F866590" w14:textId="77777777" w:rsidR="00155D89" w:rsidRDefault="00000000">
      <w:pPr>
        <w:pStyle w:val="FirstParagraph"/>
      </w:pPr>
      <w:r>
        <w:rPr>
          <w:noProof/>
        </w:rPr>
        <w:lastRenderedPageBreak/>
        <w:drawing>
          <wp:inline distT="0" distB="0" distL="0" distR="0" wp14:anchorId="404C4CB2" wp14:editId="4A272F8A">
            <wp:extent cx="5334000" cy="40005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as/resultados_figura04.png"/>
                    <pic:cNvPicPr>
                      <a:picLocks noChangeAspect="1" noChangeArrowheads="1"/>
                    </pic:cNvPicPr>
                  </pic:nvPicPr>
                  <pic:blipFill>
                    <a:blip r:embed="rId14"/>
                    <a:stretch>
                      <a:fillRect/>
                    </a:stretch>
                  </pic:blipFill>
                  <pic:spPr bwMode="auto">
                    <a:xfrm>
                      <a:off x="0" y="0"/>
                      <a:ext cx="5334000" cy="4000500"/>
                    </a:xfrm>
                    <a:prstGeom prst="rect">
                      <a:avLst/>
                    </a:prstGeom>
                    <a:noFill/>
                    <a:ln w="9525">
                      <a:noFill/>
                      <a:headEnd/>
                      <a:tailEnd/>
                    </a:ln>
                  </pic:spPr>
                </pic:pic>
              </a:graphicData>
            </a:graphic>
          </wp:inline>
        </w:drawing>
      </w:r>
    </w:p>
    <w:p w14:paraId="61F35446" w14:textId="77777777" w:rsidR="00155D89" w:rsidRDefault="00000000">
      <w:pPr>
        <w:pStyle w:val="Compact"/>
        <w:numPr>
          <w:ilvl w:val="0"/>
          <w:numId w:val="6"/>
        </w:numPr>
      </w:pPr>
      <w:r>
        <w:t>The previous figure generalizes this pattern to the eight stations of the transect throughout 2024: fog is concentrated at Δθ/Δz &lt; 0.0026 K m⁻¹, dew at 0.0026–0.0034 K m⁻¹, and non-occurrence conditions jump to ≈ 0.0094 K m⁻¹, yielding three distinct regimes.</w:t>
      </w:r>
    </w:p>
    <w:p w14:paraId="4EF4F126" w14:textId="77777777" w:rsidR="00155D89" w:rsidRDefault="00000000">
      <w:pPr>
        <w:pStyle w:val="Compact"/>
        <w:numPr>
          <w:ilvl w:val="0"/>
          <w:numId w:val="6"/>
        </w:numPr>
      </w:pPr>
      <w:r>
        <w:t>Mann–Whitney/Kruskal–Wallis tests confirm that this contrast is robust for θ (r = 0.25, p &lt; 0.001), but not for q or U (r ≈ 0.04–0.13); H2 is therefore fully supported, including its negative prediction.</w:t>
      </w:r>
    </w:p>
    <w:p w14:paraId="25D411FA" w14:textId="77777777" w:rsidR="00155D89" w:rsidRDefault="00000000">
      <w:pPr>
        <w:pStyle w:val="Compact"/>
        <w:numPr>
          <w:ilvl w:val="0"/>
          <w:numId w:val="6"/>
        </w:numPr>
      </w:pPr>
      <w:r>
        <w:t>This repositions the general threshold of Lobos-Roco et al. (2018), 0.0031 K m⁻¹: in this dataset, it falls within the dew range rather than at the boundary between dew and non-occurrence conditions, as previously assumed. That value separated fog from “everything else” without distinguishing, within that remainder, a dew regime in its own right.</w:t>
      </w:r>
    </w:p>
    <w:p w14:paraId="53C26F1F" w14:textId="77777777" w:rsidR="00155D89" w:rsidRDefault="00000000">
      <w:pPr>
        <w:pStyle w:val="Compact"/>
        <w:numPr>
          <w:ilvl w:val="0"/>
          <w:numId w:val="6"/>
        </w:numPr>
      </w:pPr>
      <w: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occurrences from non-occurrence conditions (−0.0004 g kg⁻¹ m⁻¹), which refines (without replacing) the primary θ-based criterion.</w:t>
      </w:r>
    </w:p>
    <w:p w14:paraId="652DE727" w14:textId="77777777" w:rsidR="00155D89" w:rsidRDefault="00000000">
      <w:pPr>
        <w:pStyle w:val="Heading2"/>
      </w:pPr>
      <w:bookmarkStart w:id="27" w:name="Xada64daa08118c2113b041224a13f11f0ebc132"/>
      <w:bookmarkEnd w:id="26"/>
      <w:r>
        <w:lastRenderedPageBreak/>
        <w:t>Temporal evolution of humidity, heat and wind speed under fog and dew occurrences</w:t>
      </w:r>
    </w:p>
    <w:p w14:paraId="2D09BCC7" w14:textId="77777777" w:rsidR="00155D89" w:rsidRDefault="00000000">
      <w:pPr>
        <w:pStyle w:val="FirstParagraph"/>
      </w:pPr>
      <w:r>
        <w:rPr>
          <w:noProof/>
        </w:rPr>
        <w:drawing>
          <wp:inline distT="0" distB="0" distL="0" distR="0" wp14:anchorId="5C57AA08" wp14:editId="2A22DA23">
            <wp:extent cx="4800600" cy="357146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guras/resultados_figura05.png"/>
                    <pic:cNvPicPr>
                      <a:picLocks noChangeAspect="1" noChangeArrowheads="1"/>
                    </pic:cNvPicPr>
                  </pic:nvPicPr>
                  <pic:blipFill>
                    <a:blip r:embed="rId15"/>
                    <a:stretch>
                      <a:fillRect/>
                    </a:stretch>
                  </pic:blipFill>
                  <pic:spPr bwMode="auto">
                    <a:xfrm>
                      <a:off x="0" y="0"/>
                      <a:ext cx="4800600" cy="3571460"/>
                    </a:xfrm>
                    <a:prstGeom prst="rect">
                      <a:avLst/>
                    </a:prstGeom>
                    <a:noFill/>
                    <a:ln w="9525">
                      <a:noFill/>
                      <a:headEnd/>
                      <a:tailEnd/>
                    </a:ln>
                  </pic:spPr>
                </pic:pic>
              </a:graphicData>
            </a:graphic>
          </wp:inline>
        </w:drawing>
      </w:r>
    </w:p>
    <w:p w14:paraId="699BF090" w14:textId="77777777" w:rsidR="00155D89" w:rsidRDefault="00000000">
      <w:pPr>
        <w:pStyle w:val="Compact"/>
        <w:numPr>
          <w:ilvl w:val="0"/>
          <w:numId w:val="7"/>
        </w:numPr>
      </w:pPr>
      <w:r>
        <w:t>The previous figure answers this question with all three variables simultaneously. Specific humidity behaves in opposite ways in each regime: fog accumulates +0.48 g kg⁻¹ 180 minutes after occurrence onset, a sustained increase consistent with continuous advection of marine moisture, whereas dew reaches only +0.06 g kg⁻¹, close to neutrality rather than the marked drying expected from an active sink.</w:t>
      </w:r>
    </w:p>
    <w:p w14:paraId="1E68AF16" w14:textId="77777777" w:rsidR="00155D89" w:rsidRDefault="00000000">
      <w:pPr>
        <w:pStyle w:val="Compact"/>
        <w:numPr>
          <w:ilvl w:val="0"/>
          <w:numId w:val="7"/>
        </w:numPr>
      </w:pPr>
      <w:r>
        <w:t>Potential temperature also shows a strong contrast: dew exceeds fog at all times (+2.15 versus +1.89 K at 180 min), consistent with an episodic, radiatively forced mechanism rather than a steady advective one.</w:t>
      </w:r>
    </w:p>
    <w:p w14:paraId="3111B29D" w14:textId="77777777" w:rsidR="00155D89" w:rsidRDefault="00000000">
      <w:pPr>
        <w:pStyle w:val="Compact"/>
        <w:numPr>
          <w:ilvl w:val="0"/>
          <w:numId w:val="7"/>
        </w:numPr>
      </w:pPr>
      <w:r>
        <w:t>Regarding wind, fog decelerates clearly (−0.30 m s⁻¹) as the cloud layer stabilizes the flow, whereas dew remains nearly neutral (−0.08 m s⁻¹), without reconfiguring the background wind field.</w:t>
      </w:r>
    </w:p>
    <w:p w14:paraId="0EFDFFCA" w14:textId="77777777" w:rsidR="00155D89" w:rsidRDefault="00000000">
      <w:pPr>
        <w:pStyle w:val="Compact"/>
        <w:numPr>
          <w:ilvl w:val="0"/>
          <w:numId w:val="7"/>
        </w:numPr>
      </w:pPr>
      <w: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14:paraId="414A9830" w14:textId="77777777" w:rsidR="00155D89" w:rsidRDefault="00155D89">
      <w:pPr>
        <w:pStyle w:val="FirstParagraph"/>
      </w:pPr>
    </w:p>
    <w:p w14:paraId="65BD3EEE" w14:textId="77777777" w:rsidR="00155D89" w:rsidRDefault="00000000">
      <w:pPr>
        <w:pStyle w:val="BodyText"/>
      </w:pPr>
      <w:r>
        <w:rPr>
          <w:noProof/>
        </w:rPr>
        <w:lastRenderedPageBreak/>
        <w:drawing>
          <wp:inline distT="0" distB="0" distL="0" distR="0" wp14:anchorId="16173367" wp14:editId="131BC339">
            <wp:extent cx="3733800" cy="2502695"/>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as/resultados_figura06.png"/>
                    <pic:cNvPicPr>
                      <a:picLocks noChangeAspect="1" noChangeArrowheads="1"/>
                    </pic:cNvPicPr>
                  </pic:nvPicPr>
                  <pic:blipFill>
                    <a:blip r:embed="rId16"/>
                    <a:stretch>
                      <a:fillRect/>
                    </a:stretch>
                  </pic:blipFill>
                  <pic:spPr bwMode="auto">
                    <a:xfrm>
                      <a:off x="0" y="0"/>
                      <a:ext cx="3733800" cy="2502695"/>
                    </a:xfrm>
                    <a:prstGeom prst="rect">
                      <a:avLst/>
                    </a:prstGeom>
                    <a:noFill/>
                    <a:ln w="9525">
                      <a:noFill/>
                      <a:headEnd/>
                      <a:tailEnd/>
                    </a:ln>
                  </pic:spPr>
                </pic:pic>
              </a:graphicData>
            </a:graphic>
          </wp:inline>
        </w:drawing>
      </w:r>
    </w:p>
    <w:p w14:paraId="282413F8" w14:textId="77777777" w:rsidR="00155D89" w:rsidRDefault="00000000">
      <w:pPr>
        <w:pStyle w:val="BodyText"/>
      </w:pPr>
      <w:r>
        <w:rPr>
          <w:noProof/>
        </w:rPr>
        <w:drawing>
          <wp:inline distT="0" distB="0" distL="0" distR="0" wp14:anchorId="2B1D1C27" wp14:editId="16CDD1B9">
            <wp:extent cx="3733800" cy="2397528"/>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as/resultados_figura07.png"/>
                    <pic:cNvPicPr>
                      <a:picLocks noChangeAspect="1" noChangeArrowheads="1"/>
                    </pic:cNvPicPr>
                  </pic:nvPicPr>
                  <pic:blipFill>
                    <a:blip r:embed="rId17"/>
                    <a:stretch>
                      <a:fillRect/>
                    </a:stretch>
                  </pic:blipFill>
                  <pic:spPr bwMode="auto">
                    <a:xfrm>
                      <a:off x="0" y="0"/>
                      <a:ext cx="3733800" cy="2397528"/>
                    </a:xfrm>
                    <a:prstGeom prst="rect">
                      <a:avLst/>
                    </a:prstGeom>
                    <a:noFill/>
                    <a:ln w="9525">
                      <a:noFill/>
                      <a:headEnd/>
                      <a:tailEnd/>
                    </a:ln>
                  </pic:spPr>
                </pic:pic>
              </a:graphicData>
            </a:graphic>
          </wp:inline>
        </w:drawing>
      </w:r>
    </w:p>
    <w:p w14:paraId="0B1ECCF7" w14:textId="77777777" w:rsidR="00155D89" w:rsidRDefault="00000000">
      <w:pPr>
        <w:pStyle w:val="Compact"/>
        <w:numPr>
          <w:ilvl w:val="0"/>
          <w:numId w:val="8"/>
        </w:numPr>
      </w:pPr>
      <w:r>
        <w:t>The dew moisture sink is weaker than expected and its θ variability is high, which points to a real but episodic and locally forced mechanism, consistent with the seasonal/diurnal decoupling already shown in the previous figures. ***duda</w:t>
      </w:r>
    </w:p>
    <w:p w14:paraId="37A9D83A" w14:textId="77777777" w:rsidR="00155D89" w:rsidRDefault="00000000">
      <w:pPr>
        <w:pStyle w:val="Heading2"/>
      </w:pPr>
      <w:bookmarkStart w:id="28" w:name="extra"/>
      <w:bookmarkEnd w:id="27"/>
      <w:r>
        <w:t>Extra</w:t>
      </w:r>
    </w:p>
    <w:p w14:paraId="09D90144" w14:textId="77777777" w:rsidR="00155D89" w:rsidRDefault="00000000">
      <w:pPr>
        <w:pStyle w:val="Compact"/>
        <w:numPr>
          <w:ilvl w:val="0"/>
          <w:numId w:val="9"/>
        </w:numPr>
      </w:pPr>
      <w:r>
        <w:t>All of these thresholds and rates were derived under the 2024 ENSO context (El Niño → neutral transition), so their interannual generalization to other phases remains an explicit open question rather than an implicit assumption.</w:t>
      </w:r>
    </w:p>
    <w:p w14:paraId="65123929" w14:textId="77777777" w:rsidR="00155D89" w:rsidRDefault="00000000">
      <w:pPr>
        <w:pStyle w:val="Compact"/>
        <w:numPr>
          <w:ilvl w:val="0"/>
          <w:numId w:val="9"/>
        </w:numPr>
      </w:pPr>
      <w: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p w14:paraId="0727C139" w14:textId="77777777" w:rsidR="00155D89" w:rsidRDefault="00000000">
      <w:pPr>
        <w:pStyle w:val="Heading1"/>
      </w:pPr>
      <w:bookmarkStart w:id="29" w:name="discussion"/>
      <w:bookmarkEnd w:id="17"/>
      <w:bookmarkEnd w:id="28"/>
      <w:r>
        <w:lastRenderedPageBreak/>
        <w:t>Discussion</w:t>
      </w:r>
    </w:p>
    <w:p w14:paraId="1B2C6DB1" w14:textId="77777777" w:rsidR="00155D89" w:rsidRDefault="00000000">
      <w:pPr>
        <w:pStyle w:val="Compact"/>
        <w:numPr>
          <w:ilvl w:val="0"/>
          <w:numId w:val="10"/>
        </w:numPr>
      </w:pPr>
      <w:r>
        <w:t xml:space="preserve">The result nonetheless has two limitations that should be acknowledged, although they do not invalidate it: the visibility sensor is itself affected by condensation during dew (a slight drop that never crosses the fog threshold, visible in the dew panels of </w:t>
      </w:r>
      <w:hyperlink w:anchor="fig-typical-days">
        <w:r w:rsidR="00155D89">
          <w:rPr>
            <w:rStyle w:val="Hyperlink"/>
          </w:rPr>
          <w:t>Figure 3</w:t>
        </w:r>
      </w:hyperlink>
      <w:r>
        <w:t>), and the coarser resolution of GOES-16 means that a detected low-cloud pixel does not necessarily intersect the topography.</w:t>
      </w:r>
    </w:p>
    <w:p w14:paraId="1278EBCE" w14:textId="77777777" w:rsidR="00155D89" w:rsidRDefault="00000000">
      <w:pPr>
        <w:pStyle w:val="Compact"/>
        <w:numPr>
          <w:ilvl w:val="0"/>
          <w:numId w:val="10"/>
        </w:numPr>
      </w:pPr>
      <w:r>
        <w:t>This day/night asymmetry is consistent with advection versus radiative cooling mechanisms.</w:t>
      </w:r>
    </w:p>
    <w:p w14:paraId="43FB02C5" w14:textId="77777777" w:rsidR="00155D89" w:rsidRDefault="00000000">
      <w:pPr>
        <w:pStyle w:val="Heading1"/>
      </w:pPr>
      <w:bookmarkStart w:id="30" w:name="appendix-a"/>
      <w:bookmarkEnd w:id="29"/>
      <w:r>
        <w:t>Appendix A</w:t>
      </w:r>
    </w:p>
    <w:tbl>
      <w:tblPr>
        <w:tblStyle w:val="Table"/>
        <w:tblW w:w="5000" w:type="pct"/>
        <w:tblLayout w:type="fixed"/>
        <w:tblLook w:val="0000" w:firstRow="0" w:lastRow="0" w:firstColumn="0" w:lastColumn="0" w:noHBand="0" w:noVBand="0"/>
      </w:tblPr>
      <w:tblGrid>
        <w:gridCol w:w="9576"/>
      </w:tblGrid>
      <w:tr w:rsidR="00155D89" w14:paraId="5BFF7168" w14:textId="77777777">
        <w:tc>
          <w:tcPr>
            <w:tcW w:w="7920" w:type="dxa"/>
          </w:tcPr>
          <w:p w14:paraId="0FA61D9B" w14:textId="77777777" w:rsidR="00155D89" w:rsidRDefault="00000000">
            <w:pPr>
              <w:pStyle w:val="Compact"/>
              <w:jc w:val="center"/>
            </w:pPr>
            <w:bookmarkStart w:id="31" w:name="fig-particular-cases"/>
            <w:r>
              <w:rPr>
                <w:noProof/>
              </w:rPr>
              <w:drawing>
                <wp:inline distT="0" distB="0" distL="0" distR="0" wp14:anchorId="70F3599B" wp14:editId="42C18060">
                  <wp:extent cx="5334000" cy="26670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as/fig_A1_particular_cases_en.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72CA7535" w14:textId="77777777" w:rsidR="00155D89" w:rsidRDefault="00000000">
            <w:pPr>
              <w:pStyle w:val="ImageCaption"/>
              <w:spacing w:before="200"/>
            </w:pPr>
            <w:r>
              <w:t xml:space="preserve">Figure 5: Examples of a day without occurrences (11 August 2024) and particular cases (17 May and 27 June 2024) at station OYA1211. Bands as in </w:t>
            </w:r>
            <w:hyperlink w:anchor="fig-typical-days">
              <w:r w:rsidR="00155D89">
                <w:rPr>
                  <w:rStyle w:val="Hyperlink"/>
                </w:rPr>
                <w:t>Figure 3</w:t>
              </w:r>
            </w:hyperlink>
            <w:r>
              <w:t>.</w:t>
            </w:r>
          </w:p>
        </w:tc>
        <w:bookmarkEnd w:id="31"/>
      </w:tr>
    </w:tbl>
    <w:p w14:paraId="71AE860F" w14:textId="77777777" w:rsidR="00155D89" w:rsidRDefault="00000000">
      <w:pPr>
        <w:pStyle w:val="Heading1"/>
      </w:pPr>
      <w:bookmarkStart w:id="32" w:name="references"/>
      <w:bookmarkEnd w:id="30"/>
      <w:r>
        <w:t>References</w:t>
      </w:r>
    </w:p>
    <w:p w14:paraId="4F59E123" w14:textId="77777777" w:rsidR="00155D89" w:rsidRDefault="00000000">
      <w:pPr>
        <w:pStyle w:val="Bibliography"/>
      </w:pPr>
      <w:bookmarkStart w:id="33" w:name="ref-Albornoz2023"/>
      <w:bookmarkStart w:id="34" w:name="refs"/>
      <w:r w:rsidRPr="00264FAC">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9">
        <w:r w:rsidR="00155D89">
          <w:rPr>
            <w:rStyle w:val="Hyperlink"/>
          </w:rPr>
          <w:t>https://doi.org/10.3390/su152215720</w:t>
        </w:r>
      </w:hyperlink>
    </w:p>
    <w:p w14:paraId="461EE6F0" w14:textId="77777777" w:rsidR="00155D89" w:rsidRDefault="00000000">
      <w:pPr>
        <w:pStyle w:val="Bibliography"/>
      </w:pPr>
      <w:bookmarkStart w:id="35" w:name="ref-Cereceda2008"/>
      <w:bookmarkEnd w:id="33"/>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20">
        <w:r w:rsidR="00155D89">
          <w:rPr>
            <w:rStyle w:val="Hyperlink"/>
          </w:rPr>
          <w:t>https://doi.org/10.1016/j.atmosres.2007.11.012</w:t>
        </w:r>
      </w:hyperlink>
    </w:p>
    <w:p w14:paraId="2A8E5C41" w14:textId="77777777" w:rsidR="00155D89" w:rsidRPr="00264FAC" w:rsidRDefault="00000000">
      <w:pPr>
        <w:pStyle w:val="Bibliography"/>
        <w:rPr>
          <w:lang w:val="es-ES"/>
        </w:rPr>
      </w:pPr>
      <w:bookmarkStart w:id="36" w:name="ref-Cereceda2002"/>
      <w:bookmarkEnd w:id="35"/>
      <w:r>
        <w:t xml:space="preserve">Cereceda, P., Osses, P., Larrain, H., Farı́as, M., Lagos, M., Pinto, R., &amp; Schemenauer, R. S. (2002). Advective, orographic and radiation fog in the tarapacá region, chile. </w:t>
      </w:r>
      <w:r w:rsidRPr="00264FAC">
        <w:rPr>
          <w:i/>
          <w:iCs/>
          <w:lang w:val="es-ES"/>
        </w:rPr>
        <w:t>Atmospheric Research</w:t>
      </w:r>
      <w:r w:rsidRPr="00264FAC">
        <w:rPr>
          <w:lang w:val="es-ES"/>
        </w:rPr>
        <w:t xml:space="preserve">, </w:t>
      </w:r>
      <w:r w:rsidRPr="00264FAC">
        <w:rPr>
          <w:i/>
          <w:iCs/>
          <w:lang w:val="es-ES"/>
        </w:rPr>
        <w:t>64</w:t>
      </w:r>
      <w:r w:rsidRPr="00264FAC">
        <w:rPr>
          <w:lang w:val="es-ES"/>
        </w:rPr>
        <w:t xml:space="preserve">(1-4), 261–271. </w:t>
      </w:r>
      <w:hyperlink r:id="rId21">
        <w:r w:rsidR="00155D89" w:rsidRPr="00264FAC">
          <w:rPr>
            <w:rStyle w:val="Hyperlink"/>
            <w:lang w:val="es-ES"/>
          </w:rPr>
          <w:t>https://doi.org/10.1016/s0169-8095(02)00097-2</w:t>
        </w:r>
      </w:hyperlink>
    </w:p>
    <w:p w14:paraId="32760600" w14:textId="77777777" w:rsidR="00155D89" w:rsidRDefault="00000000">
      <w:pPr>
        <w:pStyle w:val="Bibliography"/>
      </w:pPr>
      <w:bookmarkStart w:id="37" w:name="ref-Chamizo2021"/>
      <w:bookmarkEnd w:id="36"/>
      <w:r w:rsidRPr="00264FAC">
        <w:rPr>
          <w:lang w:val="es-ES"/>
        </w:rPr>
        <w:lastRenderedPageBreak/>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22">
        <w:r w:rsidR="00155D89">
          <w:rPr>
            <w:rStyle w:val="Hyperlink"/>
          </w:rPr>
          <w:t>https://doi.org/10.1016/j.scitotenv.2021.148299</w:t>
        </w:r>
      </w:hyperlink>
    </w:p>
    <w:p w14:paraId="74D1066A" w14:textId="77777777" w:rsidR="00155D89" w:rsidRDefault="00000000">
      <w:pPr>
        <w:pStyle w:val="Bibliography"/>
      </w:pPr>
      <w:bookmarkStart w:id="38" w:name="ref-delRo2021"/>
      <w:bookmarkEnd w:id="37"/>
      <w:r w:rsidRPr="00264FAC">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23">
        <w:r w:rsidR="00155D89">
          <w:rPr>
            <w:rStyle w:val="Hyperlink"/>
          </w:rPr>
          <w:t>https://doi.org/10.1016/j.jhydrol.2021.126190</w:t>
        </w:r>
      </w:hyperlink>
    </w:p>
    <w:p w14:paraId="11EFF73D" w14:textId="77777777" w:rsidR="00155D89" w:rsidRDefault="00000000">
      <w:pPr>
        <w:pStyle w:val="Bibliography"/>
      </w:pPr>
      <w:bookmarkStart w:id="39" w:name="ref-Espinoza2024"/>
      <w:bookmarkEnd w:id="38"/>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24">
        <w:r w:rsidR="00155D89">
          <w:rPr>
            <w:rStyle w:val="Hyperlink"/>
          </w:rPr>
          <w:t>https://doi.org/10.1016/j.atmosres.2024.107533</w:t>
        </w:r>
      </w:hyperlink>
    </w:p>
    <w:p w14:paraId="3DEC93D6" w14:textId="77777777" w:rsidR="00155D89" w:rsidRPr="00264FAC" w:rsidRDefault="00000000">
      <w:pPr>
        <w:pStyle w:val="Bibliography"/>
        <w:rPr>
          <w:lang w:val="es-ES"/>
        </w:rPr>
      </w:pPr>
      <w:bookmarkStart w:id="40" w:name="ref-Fessehaye2014"/>
      <w:bookmarkEnd w:id="39"/>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25">
        <w:r w:rsidR="00155D89" w:rsidRPr="00264FAC">
          <w:rPr>
            <w:rStyle w:val="Hyperlink"/>
            <w:lang w:val="es-ES"/>
          </w:rPr>
          <w:t>https://doi.org/10.1016/j.rser.2013.08.063</w:t>
        </w:r>
      </w:hyperlink>
    </w:p>
    <w:p w14:paraId="37F046D1" w14:textId="77777777" w:rsidR="00155D89" w:rsidRDefault="00000000">
      <w:pPr>
        <w:pStyle w:val="Bibliography"/>
      </w:pPr>
      <w:bookmarkStart w:id="41" w:name="ref-Garca2021"/>
      <w:bookmarkEnd w:id="40"/>
      <w:r w:rsidRPr="00264FAC">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26">
        <w:r w:rsidR="00155D89">
          <w:rPr>
            <w:rStyle w:val="Hyperlink"/>
          </w:rPr>
          <w:t>https://doi.org/10.1007/s00606-021-01775-y</w:t>
        </w:r>
      </w:hyperlink>
    </w:p>
    <w:p w14:paraId="17D9A41C" w14:textId="77777777" w:rsidR="00155D89" w:rsidRDefault="00000000">
      <w:pPr>
        <w:pStyle w:val="Bibliography"/>
      </w:pPr>
      <w:bookmarkStart w:id="42" w:name="ref-Gultepe2007"/>
      <w:bookmarkEnd w:id="41"/>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27">
        <w:r w:rsidR="00155D89">
          <w:rPr>
            <w:rStyle w:val="Hyperlink"/>
          </w:rPr>
          <w:t>https://doi.org/10.1007/978-3-7643-8419-7_3</w:t>
        </w:r>
      </w:hyperlink>
    </w:p>
    <w:p w14:paraId="13797408" w14:textId="77777777" w:rsidR="00155D89" w:rsidRDefault="00000000">
      <w:pPr>
        <w:pStyle w:val="Bibliography"/>
      </w:pPr>
      <w:bookmarkStart w:id="43" w:name="ref-Houston2006"/>
      <w:bookmarkEnd w:id="42"/>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8">
        <w:r w:rsidR="00155D89">
          <w:rPr>
            <w:rStyle w:val="Hyperlink"/>
          </w:rPr>
          <w:t>https://doi.org/10.1002/joc.1359</w:t>
        </w:r>
      </w:hyperlink>
    </w:p>
    <w:p w14:paraId="356510AD" w14:textId="77777777" w:rsidR="00155D89" w:rsidRDefault="00000000">
      <w:pPr>
        <w:pStyle w:val="Bibliography"/>
      </w:pPr>
      <w:bookmarkStart w:id="44" w:name="ref-Jabbusch2025"/>
      <w:bookmarkEnd w:id="43"/>
      <w:r>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9">
        <w:r w:rsidR="00155D89">
          <w:rPr>
            <w:rStyle w:val="Hyperlink"/>
          </w:rPr>
          <w:t>https://doi.org/10.1016/j.ppees.2025.125846</w:t>
        </w:r>
      </w:hyperlink>
    </w:p>
    <w:p w14:paraId="013D986A" w14:textId="77777777" w:rsidR="00155D89" w:rsidRDefault="00000000">
      <w:pPr>
        <w:pStyle w:val="Bibliography"/>
      </w:pPr>
      <w:bookmarkStart w:id="45" w:name="ref-Jacobs2006"/>
      <w:bookmarkEnd w:id="44"/>
      <w:r>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30">
        <w:r w:rsidR="00155D89">
          <w:rPr>
            <w:rStyle w:val="Hyperlink"/>
          </w:rPr>
          <w:t>https://doi.org/10.1029/2005wr004055</w:t>
        </w:r>
      </w:hyperlink>
    </w:p>
    <w:p w14:paraId="330CCCA3" w14:textId="77777777" w:rsidR="00155D89" w:rsidRDefault="00000000">
      <w:pPr>
        <w:pStyle w:val="Bibliography"/>
      </w:pPr>
      <w:bookmarkStart w:id="46" w:name="ref-Jung2019"/>
      <w:bookmarkEnd w:id="45"/>
      <w: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rPr>
        <w:t>MicrobiologyOpen</w:t>
      </w:r>
      <w:r>
        <w:t xml:space="preserve">, </w:t>
      </w:r>
      <w:r>
        <w:rPr>
          <w:i/>
          <w:iCs/>
        </w:rPr>
        <w:t>8</w:t>
      </w:r>
      <w:r>
        <w:t xml:space="preserve">(10). </w:t>
      </w:r>
      <w:hyperlink r:id="rId31">
        <w:r w:rsidR="00155D89">
          <w:rPr>
            <w:rStyle w:val="Hyperlink"/>
          </w:rPr>
          <w:t>https://doi.org/10.1002/mbo3.894</w:t>
        </w:r>
      </w:hyperlink>
    </w:p>
    <w:p w14:paraId="0D13508D" w14:textId="77777777" w:rsidR="00155D89" w:rsidRDefault="00000000">
      <w:pPr>
        <w:pStyle w:val="Bibliography"/>
      </w:pPr>
      <w:bookmarkStart w:id="47" w:name="ref-Koch2019"/>
      <w:bookmarkEnd w:id="46"/>
      <w:r>
        <w:lastRenderedPageBreak/>
        <w:t xml:space="preserve">Koch, M. A., Kleinpeter, D., Auer, E., Siegmund, A., Río, C. del, Osses, P., García, J.-L., Marzol, M. V., Zizka, G., &amp; Kiefer, C. (2019). Living at the dry limits: Ecological genetics of Tillandsia landbeckii lomas in the Chilean Atacama Desert. </w:t>
      </w:r>
      <w:r>
        <w:rPr>
          <w:i/>
          <w:iCs/>
        </w:rPr>
        <w:t>Plant Systematics and Evolution</w:t>
      </w:r>
      <w:r>
        <w:t xml:space="preserve">, </w:t>
      </w:r>
      <w:r>
        <w:rPr>
          <w:i/>
          <w:iCs/>
        </w:rPr>
        <w:t>305</w:t>
      </w:r>
      <w:r>
        <w:t xml:space="preserve">, 1041–1053. </w:t>
      </w:r>
      <w:hyperlink r:id="rId32">
        <w:r w:rsidR="00155D89">
          <w:rPr>
            <w:rStyle w:val="Hyperlink"/>
          </w:rPr>
          <w:t>https://doi.org/10.1007/s00606-019-01623-0</w:t>
        </w:r>
      </w:hyperlink>
    </w:p>
    <w:p w14:paraId="3905ED34" w14:textId="77777777" w:rsidR="00155D89" w:rsidRPr="00264FAC" w:rsidRDefault="00000000">
      <w:pPr>
        <w:pStyle w:val="Bibliography"/>
        <w:rPr>
          <w:lang w:val="es-ES"/>
        </w:rPr>
      </w:pPr>
      <w:bookmarkStart w:id="48" w:name="ref-Larrain2002"/>
      <w:bookmarkEnd w:id="47"/>
      <w:r>
        <w:t xml:space="preserve">Larrain, H., Velásquez, F., Cereceda, P., Espejo, R., Pinto, R., Osses, P., &amp; Schemenauer, R. S. (2002). Fog measurements at the site “falda verde” north of chañaral compared with other fog stations of chile. </w:t>
      </w:r>
      <w:r w:rsidRPr="00264FAC">
        <w:rPr>
          <w:i/>
          <w:iCs/>
          <w:lang w:val="es-ES"/>
        </w:rPr>
        <w:t>Atmospheric Research</w:t>
      </w:r>
      <w:r w:rsidRPr="00264FAC">
        <w:rPr>
          <w:lang w:val="es-ES"/>
        </w:rPr>
        <w:t xml:space="preserve">, </w:t>
      </w:r>
      <w:r w:rsidRPr="00264FAC">
        <w:rPr>
          <w:i/>
          <w:iCs/>
          <w:lang w:val="es-ES"/>
        </w:rPr>
        <w:t>64</w:t>
      </w:r>
      <w:r w:rsidRPr="00264FAC">
        <w:rPr>
          <w:lang w:val="es-ES"/>
        </w:rPr>
        <w:t xml:space="preserve">(1-4), 273–284. </w:t>
      </w:r>
      <w:hyperlink r:id="rId33">
        <w:r w:rsidR="00155D89" w:rsidRPr="00264FAC">
          <w:rPr>
            <w:rStyle w:val="Hyperlink"/>
            <w:lang w:val="es-ES"/>
          </w:rPr>
          <w:t>https://doi.org/10.1016/s0169-8095(02)00098-4</w:t>
        </w:r>
      </w:hyperlink>
    </w:p>
    <w:p w14:paraId="3369BA06" w14:textId="77777777" w:rsidR="00155D89" w:rsidRDefault="00000000">
      <w:pPr>
        <w:pStyle w:val="Bibliography"/>
      </w:pPr>
      <w:bookmarkStart w:id="49" w:name="ref-Latorre2011"/>
      <w:bookmarkEnd w:id="48"/>
      <w:r w:rsidRPr="00264FAC">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34">
        <w:r w:rsidR="00155D89">
          <w:rPr>
            <w:rStyle w:val="Hyperlink"/>
          </w:rPr>
          <w:t>https://doi.org/10.1029/2010jg001521</w:t>
        </w:r>
      </w:hyperlink>
    </w:p>
    <w:p w14:paraId="7A12370B" w14:textId="77777777" w:rsidR="00155D89" w:rsidRPr="00264FAC" w:rsidRDefault="00000000">
      <w:pPr>
        <w:pStyle w:val="Bibliography"/>
        <w:rPr>
          <w:lang w:val="es-ES"/>
        </w:rPr>
      </w:pPr>
      <w:bookmarkStart w:id="50" w:name="ref-Li2025"/>
      <w:bookmarkEnd w:id="49"/>
      <w:r>
        <w:t xml:space="preserve">Li, H., Han, C., Yang, Y., &amp; Chen, R. (2025). Advances and challenges in dew research on land surface: A review. </w:t>
      </w:r>
      <w:r w:rsidRPr="00264FAC">
        <w:rPr>
          <w:i/>
          <w:iCs/>
          <w:lang w:val="es-ES"/>
        </w:rPr>
        <w:t>Hydrology</w:t>
      </w:r>
      <w:r w:rsidRPr="00264FAC">
        <w:rPr>
          <w:lang w:val="es-ES"/>
        </w:rPr>
        <w:t xml:space="preserve">, </w:t>
      </w:r>
      <w:r w:rsidRPr="00264FAC">
        <w:rPr>
          <w:i/>
          <w:iCs/>
          <w:lang w:val="es-ES"/>
        </w:rPr>
        <w:t>12</w:t>
      </w:r>
      <w:r w:rsidRPr="00264FAC">
        <w:rPr>
          <w:lang w:val="es-ES"/>
        </w:rPr>
        <w:t xml:space="preserve">(12), 320. </w:t>
      </w:r>
      <w:hyperlink r:id="rId35">
        <w:r w:rsidR="00155D89" w:rsidRPr="00264FAC">
          <w:rPr>
            <w:rStyle w:val="Hyperlink"/>
            <w:lang w:val="es-ES"/>
          </w:rPr>
          <w:t>https://doi.org/10.3390/hydrology12120320</w:t>
        </w:r>
      </w:hyperlink>
    </w:p>
    <w:p w14:paraId="27D68A0C" w14:textId="77777777" w:rsidR="00155D89" w:rsidRPr="00264FAC" w:rsidRDefault="00000000">
      <w:pPr>
        <w:pStyle w:val="Bibliography"/>
        <w:rPr>
          <w:lang w:val="es-ES"/>
        </w:rPr>
      </w:pPr>
      <w:bookmarkStart w:id="51" w:name="ref-LobosRoco2018"/>
      <w:bookmarkEnd w:id="50"/>
      <w:r w:rsidRPr="00264FAC">
        <w:rPr>
          <w:lang w:val="es-ES"/>
        </w:rPr>
        <w:t xml:space="preserve">Lobos Roco, F., Vilà-Guerau de Arellano, J., &amp; Pedruzo-Bagazgoitia, X. (2018). </w:t>
      </w:r>
      <w:r>
        <w:t xml:space="preserve">Characterizing the influence of the marine stratocumulus cloud on the land fog at the atacama desert. </w:t>
      </w:r>
      <w:r w:rsidRPr="00264FAC">
        <w:rPr>
          <w:i/>
          <w:iCs/>
          <w:lang w:val="es-ES"/>
        </w:rPr>
        <w:t>Atmospheric Research</w:t>
      </w:r>
      <w:r w:rsidRPr="00264FAC">
        <w:rPr>
          <w:lang w:val="es-ES"/>
        </w:rPr>
        <w:t xml:space="preserve">, </w:t>
      </w:r>
      <w:r w:rsidRPr="00264FAC">
        <w:rPr>
          <w:i/>
          <w:iCs/>
          <w:lang w:val="es-ES"/>
        </w:rPr>
        <w:t>214</w:t>
      </w:r>
      <w:r w:rsidRPr="00264FAC">
        <w:rPr>
          <w:lang w:val="es-ES"/>
        </w:rPr>
        <w:t xml:space="preserve">, 109–120. </w:t>
      </w:r>
      <w:hyperlink r:id="rId36">
        <w:r w:rsidR="00155D89" w:rsidRPr="00264FAC">
          <w:rPr>
            <w:rStyle w:val="Hyperlink"/>
            <w:lang w:val="es-ES"/>
          </w:rPr>
          <w:t>https://doi.org/10.1016/j.atmosres.2018.07.009</w:t>
        </w:r>
      </w:hyperlink>
    </w:p>
    <w:p w14:paraId="6C7ABB29" w14:textId="77777777" w:rsidR="00155D89" w:rsidRDefault="00000000">
      <w:pPr>
        <w:pStyle w:val="Bibliography"/>
      </w:pPr>
      <w:bookmarkStart w:id="52" w:name="ref-LobosRoco2024"/>
      <w:bookmarkEnd w:id="51"/>
      <w:r w:rsidRPr="00264FAC">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37">
        <w:r w:rsidR="00155D89">
          <w:rPr>
            <w:rStyle w:val="Hyperlink"/>
          </w:rPr>
          <w:t>https://doi.org/10.1016/j.jaridenv.2024.105125</w:t>
        </w:r>
      </w:hyperlink>
    </w:p>
    <w:p w14:paraId="3B6AF4B4" w14:textId="77777777" w:rsidR="00155D89" w:rsidRDefault="00000000">
      <w:pPr>
        <w:pStyle w:val="Bibliography"/>
      </w:pPr>
      <w:bookmarkStart w:id="53" w:name="ref-Malik2023"/>
      <w:bookmarkEnd w:id="52"/>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38">
        <w:r w:rsidR="00155D89">
          <w:rPr>
            <w:rStyle w:val="Hyperlink"/>
          </w:rPr>
          <w:t>https://doi.org/10.3390/atmos14121736</w:t>
        </w:r>
      </w:hyperlink>
    </w:p>
    <w:p w14:paraId="113A6AF2" w14:textId="77777777" w:rsidR="00155D89" w:rsidRPr="00264FAC" w:rsidRDefault="00000000">
      <w:pPr>
        <w:pStyle w:val="Bibliography"/>
        <w:rPr>
          <w:lang w:val="es-ES"/>
        </w:rPr>
      </w:pPr>
      <w:bookmarkStart w:id="54" w:name="ref-Monteith1957"/>
      <w:bookmarkEnd w:id="53"/>
      <w:r>
        <w:t xml:space="preserve">Monteith, J. L. (1957). Dew. </w:t>
      </w:r>
      <w:r>
        <w:rPr>
          <w:i/>
          <w:iCs/>
        </w:rPr>
        <w:t>Quarterly Journal of the Royal Meteorological Society</w:t>
      </w:r>
      <w:r>
        <w:t xml:space="preserve">, </w:t>
      </w:r>
      <w:r>
        <w:rPr>
          <w:i/>
          <w:iCs/>
        </w:rPr>
        <w:t>83</w:t>
      </w:r>
      <w:r>
        <w:t xml:space="preserve">(357), 322–341. </w:t>
      </w:r>
      <w:hyperlink r:id="rId39">
        <w:r w:rsidR="00155D89" w:rsidRPr="00264FAC">
          <w:rPr>
            <w:rStyle w:val="Hyperlink"/>
            <w:lang w:val="es-ES"/>
          </w:rPr>
          <w:t>https://doi.org/10.1002/qj.49708335706</w:t>
        </w:r>
      </w:hyperlink>
    </w:p>
    <w:p w14:paraId="09257952" w14:textId="77777777" w:rsidR="00155D89" w:rsidRDefault="00000000">
      <w:pPr>
        <w:pStyle w:val="Bibliography"/>
      </w:pPr>
      <w:bookmarkStart w:id="55" w:name="ref-MunozNarbona2026"/>
      <w:bookmarkEnd w:id="54"/>
      <w:r w:rsidRPr="00264FAC">
        <w:rPr>
          <w:lang w:val="es-ES"/>
        </w:rPr>
        <w:t xml:space="preserve">Muñoz-Narbona, F., Lobos-Roco, F., Del Río, C., &amp; Acevedo, S. (2026). </w:t>
      </w:r>
      <w:r>
        <w:rPr>
          <w:i/>
          <w:iCs/>
        </w:rPr>
        <w:t>Thermodynamic characterization of fog and dew in the Atacama coastal desert</w:t>
      </w:r>
      <w:r>
        <w:t xml:space="preserve"> (Version v1.0.0) [Computer software]. Zenodo. </w:t>
      </w:r>
      <w:hyperlink r:id="rId40">
        <w:r w:rsidR="00155D89">
          <w:rPr>
            <w:rStyle w:val="Hyperlink"/>
          </w:rPr>
          <w:t>https://doi.org/10.5281/zenodo.21826557</w:t>
        </w:r>
      </w:hyperlink>
    </w:p>
    <w:p w14:paraId="7DABE320" w14:textId="77777777" w:rsidR="00155D89" w:rsidRDefault="00000000">
      <w:pPr>
        <w:pStyle w:val="Bibliography"/>
      </w:pPr>
      <w:bookmarkStart w:id="56" w:name="ref-Muselli2002"/>
      <w:bookmarkEnd w:id="55"/>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41">
        <w:r w:rsidR="00155D89">
          <w:rPr>
            <w:rStyle w:val="Hyperlink"/>
          </w:rPr>
          <w:t>https://doi.org/10.1016/s0169-8095(02)00100-x</w:t>
        </w:r>
      </w:hyperlink>
    </w:p>
    <w:p w14:paraId="46354680" w14:textId="77777777" w:rsidR="00155D89" w:rsidRDefault="00000000">
      <w:pPr>
        <w:pStyle w:val="Bibliography"/>
      </w:pPr>
      <w:bookmarkStart w:id="57" w:name="ref-Pinto2006"/>
      <w:bookmarkEnd w:id="56"/>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42">
        <w:r w:rsidR="00155D89">
          <w:rPr>
            <w:rStyle w:val="Hyperlink"/>
          </w:rPr>
          <w:t>https://doi.org/10.1016/j.jaridenv.2005.08.015</w:t>
        </w:r>
      </w:hyperlink>
    </w:p>
    <w:p w14:paraId="04DE6A5B" w14:textId="77777777" w:rsidR="00155D89" w:rsidRDefault="00000000">
      <w:pPr>
        <w:pStyle w:val="Bibliography"/>
      </w:pPr>
      <w:bookmarkStart w:id="58" w:name="ref-delRo2021b"/>
      <w:bookmarkEnd w:id="57"/>
      <w:r>
        <w:lastRenderedPageBreak/>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43">
        <w:r w:rsidR="00155D89">
          <w:rPr>
            <w:rStyle w:val="Hyperlink"/>
          </w:rPr>
          <w:t>https://doi.org/10.1007/s00606-021-01782-z</w:t>
        </w:r>
      </w:hyperlink>
    </w:p>
    <w:p w14:paraId="63A2CDF8" w14:textId="77777777" w:rsidR="00155D89" w:rsidRPr="00264FAC" w:rsidRDefault="00000000">
      <w:pPr>
        <w:pStyle w:val="Bibliography"/>
        <w:rPr>
          <w:lang w:val="es-ES"/>
        </w:rPr>
      </w:pPr>
      <w:bookmarkStart w:id="59" w:name="ref-RUTLLANT2002"/>
      <w:bookmarkEnd w:id="58"/>
      <w:r>
        <w:t xml:space="preserve">Rutllant, J., &amp; Montecino, V. (2002). Multiscale upwelling forcing cycles and biological response off north-central chile. </w:t>
      </w:r>
      <w:r w:rsidRPr="00264FAC">
        <w:rPr>
          <w:i/>
          <w:iCs/>
          <w:lang w:val="es-ES"/>
        </w:rPr>
        <w:t>Revista Chilena de Historia Natural</w:t>
      </w:r>
      <w:r w:rsidRPr="00264FAC">
        <w:rPr>
          <w:lang w:val="es-ES"/>
        </w:rPr>
        <w:t xml:space="preserve">, </w:t>
      </w:r>
      <w:r w:rsidRPr="00264FAC">
        <w:rPr>
          <w:i/>
          <w:iCs/>
          <w:lang w:val="es-ES"/>
        </w:rPr>
        <w:t>75</w:t>
      </w:r>
      <w:r w:rsidRPr="00264FAC">
        <w:rPr>
          <w:lang w:val="es-ES"/>
        </w:rPr>
        <w:t xml:space="preserve">(1). </w:t>
      </w:r>
      <w:hyperlink r:id="rId44">
        <w:r w:rsidR="00155D89" w:rsidRPr="00264FAC">
          <w:rPr>
            <w:rStyle w:val="Hyperlink"/>
            <w:lang w:val="es-ES"/>
          </w:rPr>
          <w:t>https://doi.org/10.4067/s0716-078x2002000100020</w:t>
        </w:r>
      </w:hyperlink>
    </w:p>
    <w:p w14:paraId="77C483AC" w14:textId="77777777" w:rsidR="00155D89" w:rsidRDefault="00000000">
      <w:pPr>
        <w:pStyle w:val="Bibliography"/>
      </w:pPr>
      <w:bookmarkStart w:id="60" w:name="ref-Schemenauer1994"/>
      <w:bookmarkEnd w:id="59"/>
      <w:r w:rsidRPr="00264FAC">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45">
        <w:r w:rsidR="00155D89">
          <w:rPr>
            <w:rStyle w:val="Hyperlink"/>
          </w:rPr>
          <w:t>https://doi.org/10.1175/1520-0450(1994)033&lt;1313:apsfcf&gt;2.0.co;2</w:t>
        </w:r>
      </w:hyperlink>
    </w:p>
    <w:p w14:paraId="48FC62DB" w14:textId="77777777" w:rsidR="00155D89" w:rsidRDefault="00000000">
      <w:pPr>
        <w:pStyle w:val="Bibliography"/>
      </w:pPr>
      <w:bookmarkStart w:id="61" w:name="ref-Stull1988"/>
      <w:bookmarkEnd w:id="60"/>
      <w:r>
        <w:t xml:space="preserve">Stull, R. B. (1988). </w:t>
      </w:r>
      <w:r>
        <w:rPr>
          <w:i/>
          <w:iCs/>
        </w:rPr>
        <w:t>An introduction to boundary layer meteorology</w:t>
      </w:r>
      <w:r>
        <w:t xml:space="preserve">. Kluwer Academic Publishers. </w:t>
      </w:r>
      <w:hyperlink r:id="rId46">
        <w:r w:rsidR="00155D89">
          <w:rPr>
            <w:rStyle w:val="Hyperlink"/>
          </w:rPr>
          <w:t>https://doi.org/10.1007/978-94-009-3027-8</w:t>
        </w:r>
      </w:hyperlink>
    </w:p>
    <w:p w14:paraId="156951B0" w14:textId="77777777" w:rsidR="00155D89" w:rsidRDefault="00000000">
      <w:pPr>
        <w:pStyle w:val="Bibliography"/>
      </w:pPr>
      <w:bookmarkStart w:id="62" w:name="ref-Wang2016"/>
      <w:bookmarkEnd w:id="61"/>
      <w:r>
        <w:t xml:space="preserve">Wang, L., Kaseke, K. F., &amp; Seely, M. K. (2016). Effects of non‐rainfall water inputs on ecosystem functions. </w:t>
      </w:r>
      <w:r>
        <w:rPr>
          <w:i/>
          <w:iCs/>
        </w:rPr>
        <w:t>WIREs Water</w:t>
      </w:r>
      <w:r>
        <w:t xml:space="preserve">, </w:t>
      </w:r>
      <w:r>
        <w:rPr>
          <w:i/>
          <w:iCs/>
        </w:rPr>
        <w:t>4</w:t>
      </w:r>
      <w:r>
        <w:t xml:space="preserve">(1). </w:t>
      </w:r>
      <w:hyperlink r:id="rId47">
        <w:r w:rsidR="00155D89">
          <w:rPr>
            <w:rStyle w:val="Hyperlink"/>
          </w:rPr>
          <w:t>https://doi.org/10.1002/wat2.1179</w:t>
        </w:r>
      </w:hyperlink>
      <w:bookmarkEnd w:id="32"/>
      <w:bookmarkEnd w:id="34"/>
      <w:bookmarkEnd w:id="62"/>
    </w:p>
    <w:sectPr w:rsidR="00155D89">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a Muñoz Narbona" w:date="2026-10-06T00:01:00Z" w:initials="FMN">
    <w:p w14:paraId="7D2CCBA1" w14:textId="77777777" w:rsidR="00264FAC" w:rsidRDefault="00264FAC" w:rsidP="00264FAC">
      <w:r>
        <w:rPr>
          <w:rStyle w:val="CommentReference"/>
        </w:rPr>
        <w:annotationRef/>
      </w:r>
      <w:r>
        <w:rPr>
          <w:sz w:val="20"/>
          <w:szCs w:val="20"/>
        </w:rPr>
        <w:t>cita camilo pendiente aun</w:t>
      </w:r>
    </w:p>
  </w:comment>
  <w:comment w:id="5" w:author="Francisca Muñoz Narbona" w:date="2026-10-06T00:02:00Z" w:initials="FMN">
    <w:p w14:paraId="6A3F0470" w14:textId="77777777" w:rsidR="00264FAC" w:rsidRDefault="00264FAC" w:rsidP="00264FAC">
      <w:r>
        <w:rPr>
          <w:rStyle w:val="CommentReference"/>
        </w:rPr>
        <w:annotationRef/>
      </w:r>
      <w:r>
        <w:rPr>
          <w:sz w:val="20"/>
          <w:szCs w:val="20"/>
        </w:rPr>
        <w:t>sudamerica falta</w:t>
      </w:r>
    </w:p>
  </w:comment>
  <w:comment w:id="21" w:author="Francisca Muñoz Narbona" w:date="2026-10-06T00:05:00Z" w:initials="FMN">
    <w:p w14:paraId="39EC15A3" w14:textId="77777777" w:rsidR="00264FAC" w:rsidRDefault="00264FAC" w:rsidP="00264FAC">
      <w:r>
        <w:rPr>
          <w:rStyle w:val="CommentReference"/>
        </w:rPr>
        <w:annotationRef/>
      </w:r>
      <w:r>
        <w:rPr>
          <w:sz w:val="20"/>
          <w:szCs w:val="20"/>
        </w:rPr>
        <w:t>eso es lo que t emandé audios la otra vez (sorry lo largos), me sigue generando duda si está bien que para la distribución de cantidad de agua post clasificación yo sume la cantidad de agua de ambos colectores, o quizás mejor el promedio</w:t>
      </w:r>
    </w:p>
  </w:comment>
  <w:comment w:id="22" w:author="Francisca Muñoz Narbona" w:date="2026-10-06T00:05:00Z" w:initials="FMN">
    <w:p w14:paraId="655C3B37" w14:textId="77777777" w:rsidR="00264FAC" w:rsidRDefault="00264FAC" w:rsidP="00264FAC">
      <w:r>
        <w:rPr>
          <w:rStyle w:val="CommentReference"/>
        </w:rPr>
        <w:annotationRef/>
      </w:r>
      <w:r>
        <w:rPr>
          <w:sz w:val="20"/>
          <w:szCs w:val="20"/>
        </w:rPr>
        <w:t>para no hacer mas cambios lo dejé así</w:t>
      </w:r>
    </w:p>
  </w:comment>
  <w:comment w:id="23" w:author="Francisca Muñoz Narbona" w:date="2026-10-06T00:06:00Z" w:initials="FMN">
    <w:p w14:paraId="3F98AFF3" w14:textId="77777777" w:rsidR="00264FAC" w:rsidRDefault="00264FAC" w:rsidP="00264FAC">
      <w:r>
        <w:rPr>
          <w:rStyle w:val="CommentReference"/>
        </w:rPr>
        <w:annotationRef/>
      </w:r>
      <w:r>
        <w:rPr>
          <w:sz w:val="20"/>
          <w:szCs w:val="20"/>
        </w:rPr>
        <w:t>o quizás borro esa frase mejor?</w:t>
      </w:r>
    </w:p>
  </w:comment>
  <w:comment w:id="25" w:author="Francisca Muñoz Narbona" w:date="2026-10-06T00:04:00Z" w:initials="FMN">
    <w:p w14:paraId="27C91D09" w14:textId="77777777" w:rsidR="00264FAC" w:rsidRDefault="00264FAC" w:rsidP="00264FAC">
      <w:r>
        <w:rPr>
          <w:rStyle w:val="CommentReference"/>
        </w:rPr>
        <w:annotationRef/>
      </w:r>
      <w:r>
        <w:rPr>
          <w:sz w:val="20"/>
          <w:szCs w:val="20"/>
        </w:rPr>
        <w:t>cambié esta figura para meter todo, distribución diurna y mensual tanto en cantidad de agua acumulada (pre y post clasificación) y la frecuencia (pre y post clasificación). A mi me parece bien o mejor que lo q habia, no se q opinas?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2CCBA1" w15:done="0"/>
  <w15:commentEx w15:paraId="6A3F0470" w15:done="0"/>
  <w15:commentEx w15:paraId="39EC15A3" w15:done="0"/>
  <w15:commentEx w15:paraId="655C3B37" w15:paraIdParent="39EC15A3" w15:done="0"/>
  <w15:commentEx w15:paraId="3F98AFF3" w15:paraIdParent="39EC15A3" w15:done="0"/>
  <w15:commentEx w15:paraId="27C91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7B797" w16cex:dateUtc="2026-10-06T03:01:00Z"/>
  <w16cex:commentExtensible w16cex:durableId="2051B9DD" w16cex:dateUtc="2026-10-06T03:02:00Z"/>
  <w16cex:commentExtensible w16cex:durableId="5DC52A9C" w16cex:dateUtc="2026-10-06T03:05:00Z"/>
  <w16cex:commentExtensible w16cex:durableId="60AE8C8D" w16cex:dateUtc="2026-10-06T03:05:00Z"/>
  <w16cex:commentExtensible w16cex:durableId="6674ED55" w16cex:dateUtc="2026-10-06T03:06:00Z"/>
  <w16cex:commentExtensible w16cex:durableId="7928D1DC" w16cex:dateUtc="2026-10-06T03: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2CCBA1" w16cid:durableId="4427B797"/>
  <w16cid:commentId w16cid:paraId="6A3F0470" w16cid:durableId="2051B9DD"/>
  <w16cid:commentId w16cid:paraId="39EC15A3" w16cid:durableId="5DC52A9C"/>
  <w16cid:commentId w16cid:paraId="655C3B37" w16cid:durableId="60AE8C8D"/>
  <w16cid:commentId w16cid:paraId="3F98AFF3" w16cid:durableId="6674ED55"/>
  <w16cid:commentId w16cid:paraId="27C91D09" w16cid:durableId="7928D1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36BA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28F3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32442284">
    <w:abstractNumId w:val="0"/>
  </w:num>
  <w:num w:numId="2" w16cid:durableId="997420801">
    <w:abstractNumId w:val="1"/>
  </w:num>
  <w:num w:numId="3" w16cid:durableId="645475410">
    <w:abstractNumId w:val="1"/>
  </w:num>
  <w:num w:numId="4" w16cid:durableId="965740155">
    <w:abstractNumId w:val="1"/>
  </w:num>
  <w:num w:numId="5" w16cid:durableId="2084522115">
    <w:abstractNumId w:val="1"/>
  </w:num>
  <w:num w:numId="6" w16cid:durableId="1673994759">
    <w:abstractNumId w:val="1"/>
  </w:num>
  <w:num w:numId="7" w16cid:durableId="1733456283">
    <w:abstractNumId w:val="1"/>
  </w:num>
  <w:num w:numId="8" w16cid:durableId="1903178759">
    <w:abstractNumId w:val="1"/>
  </w:num>
  <w:num w:numId="9" w16cid:durableId="2084378275">
    <w:abstractNumId w:val="1"/>
  </w:num>
  <w:num w:numId="10" w16cid:durableId="13263503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5D89"/>
    <w:rsid w:val="00155D89"/>
    <w:rsid w:val="00264FAC"/>
    <w:rsid w:val="00CB0E27"/>
    <w:rsid w:val="00E7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5A8D50"/>
  <w15:docId w15:val="{266ABCA2-3BEB-9945-B03A-908EB219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264FAC"/>
    <w:rPr>
      <w:sz w:val="16"/>
      <w:szCs w:val="16"/>
    </w:rPr>
  </w:style>
  <w:style w:type="paragraph" w:styleId="CommentText">
    <w:name w:val="annotation text"/>
    <w:basedOn w:val="Normal"/>
    <w:link w:val="CommentTextChar"/>
    <w:rsid w:val="00264FAC"/>
    <w:rPr>
      <w:sz w:val="20"/>
      <w:szCs w:val="20"/>
    </w:rPr>
  </w:style>
  <w:style w:type="character" w:customStyle="1" w:styleId="CommentTextChar">
    <w:name w:val="Comment Text Char"/>
    <w:basedOn w:val="DefaultParagraphFont"/>
    <w:link w:val="CommentText"/>
    <w:rsid w:val="00264FAC"/>
    <w:rPr>
      <w:sz w:val="20"/>
      <w:szCs w:val="20"/>
    </w:rPr>
  </w:style>
  <w:style w:type="paragraph" w:styleId="CommentSubject">
    <w:name w:val="annotation subject"/>
    <w:basedOn w:val="CommentText"/>
    <w:next w:val="CommentText"/>
    <w:link w:val="CommentSubjectChar"/>
    <w:rsid w:val="00264FAC"/>
    <w:rPr>
      <w:b/>
      <w:bCs/>
    </w:rPr>
  </w:style>
  <w:style w:type="character" w:customStyle="1" w:styleId="CommentSubjectChar">
    <w:name w:val="Comment Subject Char"/>
    <w:basedOn w:val="CommentTextChar"/>
    <w:link w:val="CommentSubject"/>
    <w:rsid w:val="00264F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00606-021-01775-y" TargetMode="External"/><Relationship Id="rId39" Type="http://schemas.openxmlformats.org/officeDocument/2006/relationships/hyperlink" Target="https://doi.org/10.1002/qj.49708335706" TargetMode="External"/><Relationship Id="rId21" Type="http://schemas.openxmlformats.org/officeDocument/2006/relationships/hyperlink" Target="https://doi.org/10.1016/s0169-8095(02)00097-2" TargetMode="External"/><Relationship Id="rId34" Type="http://schemas.openxmlformats.org/officeDocument/2006/relationships/hyperlink" Target="https://doi.org/10.1029/2010jg001521" TargetMode="External"/><Relationship Id="rId42" Type="http://schemas.openxmlformats.org/officeDocument/2006/relationships/hyperlink" Target="https://doi.org/10.1016/j.jaridenv.2005.08.015" TargetMode="External"/><Relationship Id="rId47" Type="http://schemas.openxmlformats.org/officeDocument/2006/relationships/hyperlink" Target="https://doi.org/10.1002/wat2.1179" TargetMode="External"/><Relationship Id="rId50"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16/j.ppees.2025.125846" TargetMode="External"/><Relationship Id="rId11" Type="http://schemas.openxmlformats.org/officeDocument/2006/relationships/image" Target="media/image3.png"/><Relationship Id="rId24" Type="http://schemas.openxmlformats.org/officeDocument/2006/relationships/hyperlink" Target="https://doi.org/10.1016/j.atmosres.2024.107533" TargetMode="External"/><Relationship Id="rId32" Type="http://schemas.openxmlformats.org/officeDocument/2006/relationships/hyperlink" Target="https://doi.org/10.1007/s00606-019-01623-0" TargetMode="External"/><Relationship Id="rId37" Type="http://schemas.openxmlformats.org/officeDocument/2006/relationships/hyperlink" Target="https://doi.org/10.1016/j.jaridenv.2024.105125" TargetMode="External"/><Relationship Id="rId40" Type="http://schemas.openxmlformats.org/officeDocument/2006/relationships/hyperlink" Target="https://doi.org/10.5281/zenodo.21826557" TargetMode="External"/><Relationship Id="rId45" Type="http://schemas.openxmlformats.org/officeDocument/2006/relationships/hyperlink" Target="https://doi.org/10.1175/1520-0450(1994)033%3c1313:apsfcf%3e2.0.co;2"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1016/j.jhydrol.2021.126190" TargetMode="External"/><Relationship Id="rId28" Type="http://schemas.openxmlformats.org/officeDocument/2006/relationships/hyperlink" Target="https://doi.org/10.1002/joc.1359" TargetMode="External"/><Relationship Id="rId36" Type="http://schemas.openxmlformats.org/officeDocument/2006/relationships/hyperlink" Target="https://doi.org/10.1016/j.atmosres.2018.07.009" TargetMode="External"/><Relationship Id="rId49"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doi.org/10.3390/su152215720" TargetMode="External"/><Relationship Id="rId31" Type="http://schemas.openxmlformats.org/officeDocument/2006/relationships/hyperlink" Target="https://doi.org/10.1002/mbo3.894" TargetMode="External"/><Relationship Id="rId44" Type="http://schemas.openxmlformats.org/officeDocument/2006/relationships/hyperlink" Target="https://doi.org/10.4067/s0716-078x200200010002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scitotenv.2021.148299" TargetMode="External"/><Relationship Id="rId27" Type="http://schemas.openxmlformats.org/officeDocument/2006/relationships/hyperlink" Target="https://doi.org/10.1007/978-3-7643-8419-7_3" TargetMode="External"/><Relationship Id="rId30" Type="http://schemas.openxmlformats.org/officeDocument/2006/relationships/hyperlink" Target="https://doi.org/10.1029/2005wr004055" TargetMode="External"/><Relationship Id="rId35" Type="http://schemas.openxmlformats.org/officeDocument/2006/relationships/hyperlink" Target="https://doi.org/10.3390/hydrology12120320" TargetMode="External"/><Relationship Id="rId43" Type="http://schemas.openxmlformats.org/officeDocument/2006/relationships/hyperlink" Target="https://doi.org/10.1007/s00606-021-01782-z" TargetMode="External"/><Relationship Id="rId48"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rser.2013.08.063" TargetMode="External"/><Relationship Id="rId33" Type="http://schemas.openxmlformats.org/officeDocument/2006/relationships/hyperlink" Target="https://doi.org/10.1016/s0169-8095(02)00098-4" TargetMode="External"/><Relationship Id="rId38" Type="http://schemas.openxmlformats.org/officeDocument/2006/relationships/hyperlink" Target="https://doi.org/10.3390/atmos14121736" TargetMode="External"/><Relationship Id="rId46" Type="http://schemas.openxmlformats.org/officeDocument/2006/relationships/hyperlink" Target="https://doi.org/10.1007/978-94-009-3027-8" TargetMode="External"/><Relationship Id="rId20" Type="http://schemas.openxmlformats.org/officeDocument/2006/relationships/hyperlink" Target="https://doi.org/10.1016/j.atmosres.2007.11.012" TargetMode="External"/><Relationship Id="rId41" Type="http://schemas.openxmlformats.org/officeDocument/2006/relationships/hyperlink" Target="https://doi.org/10.1016/s0169-8095(02)00100-x"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19</Pages>
  <Words>6086</Words>
  <Characters>34143</Characters>
  <Application>Microsoft Office Word</Application>
  <DocSecurity>0</DocSecurity>
  <Lines>656</Lines>
  <Paragraphs>251</Paragraphs>
  <ScaleCrop>false</ScaleCrop>
  <Company/>
  <LinksUpToDate>false</LinksUpToDate>
  <CharactersWithSpaces>39978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occurrences in the hyperarid coastal climate of the Atacama Desert</dc:title>
  <dc:creator>F.M. Narbona, S. Acevedo, C. Del Río, A. Siegmund, F. Lobos-Roco</dc:creator>
  <cp:keywords/>
  <cp:lastModifiedBy>Francisca Muñoz Narbona</cp:lastModifiedBy>
  <cp:revision>3</cp:revision>
  <dcterms:created xsi:type="dcterms:W3CDTF">2026-10-06T03:01:00Z</dcterms:created>
  <dcterms:modified xsi:type="dcterms:W3CDTF">2026-10-06T03:10:00Z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2026-10-06</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