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34.png" ContentType="image/png"/>
  <Override PartName="/word/media/rId15.png" ContentType="image/png"/>
  <Override PartName="/word/media/rId19.png" ContentType="image/png"/>
  <Override PartName="/word/media/rId9.png" ContentType="image/png"/>
  <Override PartName="/word/media/rId40.png" ContentType="image/png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Comparación: datos de terreno vs clasificación final — Estación OYA_1211</w:t>
      </w:r>
    </w:p>
    <w:p>
      <w:pPr>
        <w:pStyle w:val="Author"/>
      </w:pPr>
      <w:r>
        <w:t xml:space="preserve">Francisca Muñoz Narbona</w:t>
      </w:r>
    </w:p>
    <w:bookmarkStart w:id="45" w:name="Xbea804a136db411307cbfaebeac1ca669d88a2f"/>
    <w:p>
      <w:pPr>
        <w:pStyle w:val="Heading1"/>
      </w:pPr>
      <w:r>
        <w:t xml:space="preserve">Comparación: datos de terreno vs clasificación final — OYA_1211, 2024</w:t>
      </w:r>
    </w:p>
    <w:p>
      <w:pPr>
        <w:pStyle w:val="FirstParagraph"/>
      </w:pPr>
      <w:r>
        <w:t xml:space="preserve">Este documento compara, sobre exactamente los mismos</w:t>
      </w:r>
      <w:r>
        <w:t xml:space="preserve"> </w:t>
      </w:r>
      <w:r>
        <w:t xml:space="preserve">52,693 registros de 10 minutos de la estación OYA_1211</w:t>
      </w:r>
      <w:r>
        <w:t xml:space="preserve"> </w:t>
      </w:r>
      <w:r>
        <w:t xml:space="preserve">(4,524 con captura de agua atmosférica), dos maneras de</w:t>
      </w:r>
      <w:r>
        <w:t xml:space="preserve"> </w:t>
      </w:r>
      <w:r>
        <w:t xml:space="preserve">etiquetar cada evento: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Terreno</w:t>
      </w:r>
      <w:r>
        <w:t xml:space="preserve">: según qué colector físico captó agua (</w:t>
      </w:r>
      <w:r>
        <w:rPr>
          <w:rStyle w:val="VerbatimChar"/>
        </w:rPr>
        <w:t xml:space="preserve">niebla_final</w:t>
      </w:r>
      <w:r>
        <w:t xml:space="preserve">,</w:t>
      </w:r>
      <w:r>
        <w:t xml:space="preserve"> </w:t>
      </w:r>
      <w:r>
        <w:rPr>
          <w:rStyle w:val="VerbatimChar"/>
        </w:rPr>
        <w:t xml:space="preserve">rocio_final</w:t>
      </w:r>
      <w:r>
        <w:t xml:space="preserve">, ambos a la vez, o ninguno) — desarrollado en</w:t>
      </w:r>
      <w:r>
        <w:t xml:space="preserve"> </w:t>
      </w:r>
      <w:r>
        <w:rPr>
          <w:rStyle w:val="VerbatimChar"/>
        </w:rPr>
        <w:t xml:space="preserve">code/05_analisis_eventos_niebla_rocio_oya1211.qmd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Clasificado</w:t>
      </w:r>
      <w:r>
        <w:t xml:space="preserve">: niebla si</w:t>
      </w:r>
      <w:r>
        <w:t xml:space="preserve"> </w:t>
      </w:r>
      <w:r>
        <w:rPr>
          <w:rStyle w:val="VerbatimChar"/>
        </w:rPr>
        <w:t xml:space="preserve">visibilidad &lt; 1000 m</w:t>
      </w:r>
      <w:r>
        <w:t xml:space="preserve"> </w:t>
      </w:r>
      <w:r>
        <w:t xml:space="preserve">(o, sin dato de</w:t>
      </w:r>
      <w:r>
        <w:t xml:space="preserve"> </w:t>
      </w:r>
      <w:r>
        <w:t xml:space="preserve">visibilidad, si</w:t>
      </w:r>
      <w:r>
        <w:t xml:space="preserve"> </w:t>
      </w:r>
      <w:r>
        <w:rPr>
          <w:rStyle w:val="VerbatimChar"/>
        </w:rPr>
        <w:t xml:space="preserve">FLC == 1</w:t>
      </w:r>
      <w:r>
        <w:t xml:space="preserve"> </w:t>
      </w:r>
      <w:r>
        <w:t xml:space="preserve">de GOES) y rocío en caso contrario,</w:t>
      </w:r>
      <w:r>
        <w:t xml:space="preserve"> </w:t>
      </w:r>
      <w:r>
        <w:t xml:space="preserve">corregido además por criterio experto en ventanas puntuales —</w:t>
      </w:r>
      <w:r>
        <w:t xml:space="preserve"> </w:t>
      </w:r>
      <w:r>
        <w:t xml:space="preserve">desarrollado en</w:t>
      </w:r>
      <w:r>
        <w:t xml:space="preserve"> </w:t>
      </w:r>
      <w:r>
        <w:rPr>
          <w:rStyle w:val="VerbatimChar"/>
        </w:rPr>
        <w:t xml:space="preserve">code/06_reclasificacion_niebla_rocio_visibilidad_goes_oya1211.qmd</w:t>
      </w:r>
      <w:r>
        <w:t xml:space="preserve">.</w:t>
      </w:r>
    </w:p>
    <w:p>
      <w:pPr>
        <w:pStyle w:val="FirstParagraph"/>
      </w:pPr>
      <w:r>
        <w:t xml:space="preserve">Ambos esquemas comparten exactamente la misma definición de</w:t>
      </w:r>
      <w:r>
        <w:t xml:space="preserve"> </w:t>
      </w:r>
      <w:r>
        <w:t xml:space="preserve">“hubo</w:t>
      </w:r>
      <w:r>
        <w:t xml:space="preserve"> </w:t>
      </w:r>
      <w:r>
        <w:t xml:space="preserve">captura”</w:t>
      </w:r>
      <w:r>
        <w:t xml:space="preserve"> </w:t>
      </w:r>
      <w:r>
        <w:t xml:space="preserve">(</w:t>
      </w:r>
      <w:r>
        <w:rPr>
          <w:rStyle w:val="VerbatimChar"/>
        </w:rPr>
        <w:t xml:space="preserve">niebla_final + rocio_final &gt; 0</w:t>
      </w:r>
      <w:r>
        <w:t xml:space="preserve">), por lo que el conjunto de</w:t>
      </w:r>
      <w:r>
        <w:t xml:space="preserve"> </w:t>
      </w:r>
      <w:r>
        <w:t xml:space="preserve">registros</w:t>
      </w:r>
      <w:r>
        <w:t xml:space="preserve"> </w:t>
      </w:r>
      <w:r>
        <w:t xml:space="preserve">“Sin evento”</w:t>
      </w:r>
      <w:r>
        <w:t xml:space="preserve"> </w:t>
      </w:r>
      <w:r>
        <w:t xml:space="preserve">es idéntico en los dos.</w:t>
      </w:r>
    </w:p>
    <w:bookmarkStart w:id="13" w:name="distribución-bruta-comparada"/>
    <w:p>
      <w:pPr>
        <w:pStyle w:val="Heading2"/>
      </w:pPr>
      <w:r>
        <w:t xml:space="preserve">Distribución bruta comparada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fig-bruto-cmp"/>
          <w:p>
            <w:pPr>
              <w:pStyle w:val="Compact"/>
              <w:jc w:val="center"/>
            </w:pPr>
            <w:r>
              <w:drawing>
                <wp:inline>
                  <wp:extent cx="5334000" cy="26670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07_comparacion_terreno_vs_clasificacion_oya1211_files/figure-docx/fig-bruto-cmp-1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667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Figura 1: Distribución bruta (%) de eventos: esquema Terreno (niebla/rocío/ambos/sin evento, según colector) vs esquema Clasificado (niebla/rocío/sin evento, según visibilidad/GOES + corrección manual) — Estación OYA_1211, 2024.</w:t>
            </w:r>
          </w:p>
          <w:bookmarkEnd w:id="12"/>
        </w:tc>
      </w:tr>
    </w:tbl>
    <w:p>
      <w:pPr>
        <w:pStyle w:val="BodyText"/>
      </w:pPr>
      <w:r>
        <w:rPr>
          <w:b/>
          <w:bCs/>
        </w:rPr>
        <w:t xml:space="preserve">Figura 1.</w:t>
      </w:r>
      <w:r>
        <w:t xml:space="preserve"> </w:t>
      </w:r>
      <w:r>
        <w:t xml:space="preserve">La categoría</w:t>
      </w:r>
      <w:r>
        <w:t xml:space="preserve"> </w:t>
      </w:r>
      <w:r>
        <w:t xml:space="preserve">“Ambos”</w:t>
      </w:r>
      <w:r>
        <w:t xml:space="preserve"> </w:t>
      </w:r>
      <w:r>
        <w:t xml:space="preserve">(4.0%</w:t>
      </w:r>
      <w:r>
        <w:t xml:space="preserve"> </w:t>
      </w:r>
      <w:r>
        <w:t xml:space="preserve">del total bajo Terreno) desaparece por construcción bajo Clasificado: cada</w:t>
      </w:r>
      <w:r>
        <w:t xml:space="preserve"> </w:t>
      </w:r>
      <w:r>
        <w:t xml:space="preserve">instante se asigna íntegramente a niebla o a rocío según la condición</w:t>
      </w:r>
      <w:r>
        <w:t xml:space="preserve"> </w:t>
      </w:r>
      <w:r>
        <w:t xml:space="preserve">observada (visibilidad/GOES), nunca a ambas.</w:t>
      </w:r>
    </w:p>
    <w:bookmarkEnd w:id="13"/>
    <w:bookmarkStart w:id="14" w:name="X1550bdb55082bcd6d336c63ed6845542082667f"/>
    <w:p>
      <w:pPr>
        <w:pStyle w:val="Heading2"/>
      </w:pPr>
      <w:r>
        <w:t xml:space="preserve">Destino de los eventos</w:t>
      </w:r>
      <w:r>
        <w:t xml:space="preserve"> </w:t>
      </w:r>
      <w:r>
        <w:t xml:space="preserve">“Ambos”</w:t>
      </w:r>
      <w:r>
        <w:t xml:space="preserve"> </w:t>
      </w:r>
      <w:r>
        <w:t xml:space="preserve">tras la reclasificación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Terreno (colector)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Clasificado como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N° registros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% de la fila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Niebla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Niebla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441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19.8%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Niebla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Rocío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80.2%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Rocío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Niebla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79.7%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Rocío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Rocío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20.3%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Ambos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Niebla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85.4%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Ambos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Rocío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14.6%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Tabla 1.</w:t>
      </w:r>
      <w:r>
        <w:t xml:space="preserve"> </w:t>
      </w:r>
      <w:r>
        <w:t xml:space="preserve">De los registros que el colector de niebla y el de rocío</w:t>
      </w:r>
      <w:r>
        <w:t xml:space="preserve"> </w:t>
      </w:r>
      <w:r>
        <w:t xml:space="preserve">captaron</w:t>
      </w:r>
      <w:r>
        <w:t xml:space="preserve"> </w:t>
      </w:r>
      <w:r>
        <w:rPr>
          <w:b/>
          <w:bCs/>
        </w:rPr>
        <w:t xml:space="preserve">al mismo tiempo</w:t>
      </w:r>
      <w:r>
        <w:t xml:space="preserve"> </w:t>
      </w:r>
      <w:r>
        <w:t xml:space="preserve">(</w:t>
      </w:r>
      <w:r>
        <w:t xml:space="preserve">“Ambos”</w:t>
      </w:r>
      <w:r>
        <w:t xml:space="preserve"> </w:t>
      </w:r>
      <w:r>
        <w:t xml:space="preserve">en terreno),</w:t>
      </w:r>
      <w:r>
        <w:t xml:space="preserve"> </w:t>
      </w:r>
      <w:r>
        <w:t xml:space="preserve">85.4% se reclasifica como niebla y</w:t>
      </w:r>
      <w:r>
        <w:t xml:space="preserve"> </w:t>
      </w:r>
      <w:r>
        <w:t xml:space="preserve">14.6% como rocío según la condición de</w:t>
      </w:r>
      <w:r>
        <w:t xml:space="preserve"> </w:t>
      </w:r>
      <w:r>
        <w:t xml:space="preserve">visibilidad/GOES vigente en ese instante. Además,</w:t>
      </w:r>
      <w:r>
        <w:t xml:space="preserve"> </w:t>
      </w:r>
      <w:r>
        <w:t xml:space="preserve">80.2% de las capturas del colector de</w:t>
      </w:r>
      <w:r>
        <w:t xml:space="preserve"> </w:t>
      </w:r>
      <w:r>
        <w:t xml:space="preserve">niebla (sin captura simultánea de rocío) ocurrió en condiciones de</w:t>
      </w:r>
      <w:r>
        <w:t xml:space="preserve"> </w:t>
      </w:r>
      <w:r>
        <w:t xml:space="preserve">visibilidad alta (o GOES sin nube baja), por lo que se reclasifica como</w:t>
      </w:r>
      <w:r>
        <w:t xml:space="preserve"> </w:t>
      </w:r>
      <w:r>
        <w:t xml:space="preserve">rocío; y 79.7% de las capturas del</w:t>
      </w:r>
      <w:r>
        <w:t xml:space="preserve"> </w:t>
      </w:r>
      <w:r>
        <w:t xml:space="preserve">colector de rocío ocurrió en condiciones de baja visibilidad (o GOES con</w:t>
      </w:r>
      <w:r>
        <w:t xml:space="preserve"> </w:t>
      </w:r>
      <w:r>
        <w:t xml:space="preserve">nube baja), por lo que se reclasifica como niebla. Esto sugiere que la</w:t>
      </w:r>
      <w:r>
        <w:t xml:space="preserve"> </w:t>
      </w:r>
      <w:r>
        <w:t xml:space="preserve">sola captura instrumental (qué colector se llenó) no siempre coincide con</w:t>
      </w:r>
      <w:r>
        <w:t xml:space="preserve"> </w:t>
      </w:r>
      <w:r>
        <w:t xml:space="preserve">la condición atmosférica real observada por visibilidad y satélite.</w:t>
      </w:r>
    </w:p>
    <w:bookmarkEnd w:id="14"/>
    <w:bookmarkStart w:id="24" w:name="X3c639910ac623cd3a3121fa50289fe73cd6c55e"/>
    <w:p>
      <w:pPr>
        <w:pStyle w:val="Heading2"/>
      </w:pPr>
      <w:r>
        <w:t xml:space="preserve">Comparación mensual — cantidad de agua acumulada promedio</w:t>
      </w:r>
    </w:p>
    <w:p>
      <w:pPr>
        <w:pStyle w:val="FirstParagraph"/>
      </w:pPr>
      <w:r>
        <w:t xml:space="preserve">Para que Terreno y Clasificado sean comparables,</w:t>
      </w:r>
      <w:r>
        <w:t xml:space="preserve"> </w:t>
      </w:r>
      <w:r>
        <w:t xml:space="preserve">“Terreno-Niebla”</w:t>
      </w:r>
      <w:r>
        <w:t xml:space="preserve"> </w:t>
      </w:r>
      <w:r>
        <w:t xml:space="preserve">ahora</w:t>
      </w:r>
      <w:r>
        <w:t xml:space="preserve"> </w:t>
      </w:r>
      <w:r>
        <w:t xml:space="preserve">incluye</w:t>
      </w:r>
      <w:r>
        <w:t xml:space="preserve"> </w:t>
      </w:r>
      <w:r>
        <w:rPr>
          <w:b/>
          <w:bCs/>
        </w:rPr>
        <w:t xml:space="preserve">todo</w:t>
      </w:r>
      <w:r>
        <w:t xml:space="preserve"> </w:t>
      </w:r>
      <w:r>
        <w:t xml:space="preserve">registro donde el colector de niebla captó agua</w:t>
      </w:r>
      <w:r>
        <w:t xml:space="preserve"> </w:t>
      </w:r>
      <w:r>
        <w:t xml:space="preserve">(</w:t>
      </w:r>
      <w:r>
        <w:rPr>
          <w:rStyle w:val="VerbatimChar"/>
        </w:rPr>
        <w:t xml:space="preserve">niebla_final &gt; 0</w:t>
      </w:r>
      <w:r>
        <w:t xml:space="preserve">), haya o no captado también el colector de rocío en</w:t>
      </w:r>
      <w:r>
        <w:t xml:space="preserve"> </w:t>
      </w:r>
      <w:r>
        <w:t xml:space="preserve">simultáneo (es decir, suma</w:t>
      </w:r>
      <w:r>
        <w:t xml:space="preserve"> </w:t>
      </w:r>
      <w:r>
        <w:t xml:space="preserve">“Niebla”</w:t>
      </w:r>
      <w:r>
        <w:t xml:space="preserve"> </w:t>
      </w:r>
      <w:r>
        <w:t xml:space="preserve">+ su parte de</w:t>
      </w:r>
      <w:r>
        <w:t xml:space="preserve"> </w:t>
      </w:r>
      <w:r>
        <w:t xml:space="preserve">“Ambos”</w:t>
      </w:r>
      <w:r>
        <w:t xml:space="preserve">), y promedia</w:t>
      </w:r>
      <w:r>
        <w:t xml:space="preserve"> </w:t>
      </w:r>
      <w:r>
        <w:rPr>
          <w:rStyle w:val="VerbatimChar"/>
        </w:rPr>
        <w:t xml:space="preserve">niebla_final</w:t>
      </w:r>
      <w:r>
        <w:t xml:space="preserve">. Análogamente,</w:t>
      </w:r>
      <w:r>
        <w:t xml:space="preserve"> </w:t>
      </w:r>
      <w:r>
        <w:t xml:space="preserve">“Terreno-Rocío”</w:t>
      </w:r>
      <w:r>
        <w:t xml:space="preserve"> </w:t>
      </w:r>
      <w:r>
        <w:t xml:space="preserve">incluye todo registro con</w:t>
      </w:r>
      <w:r>
        <w:t xml:space="preserve"> </w:t>
      </w:r>
      <w:r>
        <w:rPr>
          <w:rStyle w:val="VerbatimChar"/>
        </w:rPr>
        <w:t xml:space="preserve">rocio_final &gt; 0</w:t>
      </w:r>
      <w:r>
        <w:t xml:space="preserve"> </w:t>
      </w:r>
      <w:r>
        <w:t xml:space="preserve">(Rocío + su parte de Ambos) y promedia</w:t>
      </w:r>
      <w:r>
        <w:t xml:space="preserve"> </w:t>
      </w:r>
      <w:r>
        <w:rPr>
          <w:rStyle w:val="VerbatimChar"/>
        </w:rPr>
        <w:t xml:space="preserve">rocio_final</w:t>
      </w:r>
      <w:r>
        <w:t xml:space="preserve">.</w:t>
      </w:r>
      <w:r>
        <w:t xml:space="preserve"> </w:t>
      </w:r>
      <w:r>
        <w:t xml:space="preserve">“Clasificado”</w:t>
      </w:r>
      <w:r>
        <w:t xml:space="preserve"> </w:t>
      </w:r>
      <w:r>
        <w:t xml:space="preserve">promedia el agua total (</w:t>
      </w:r>
      <w:r>
        <w:rPr>
          <w:rStyle w:val="VerbatimChar"/>
        </w:rPr>
        <w:t xml:space="preserve">niebla_final + rocio_final</w:t>
      </w:r>
      <w:r>
        <w:t xml:space="preserve">) en</w:t>
      </w:r>
      <w:r>
        <w:t xml:space="preserve"> </w:t>
      </w:r>
      <w:r>
        <w:t xml:space="preserve">los registros finalmente etiquetados como niebla o rocío según</w:t>
      </w:r>
      <w:r>
        <w:t xml:space="preserve"> </w:t>
      </w:r>
      <w:r>
        <w:t xml:space="preserve">visibilidad/GOES. En todos los casos se promedian solo valores mayores a</w:t>
      </w:r>
      <w:r>
        <w:t xml:space="preserve"> </w:t>
      </w:r>
      <w:r>
        <w:t xml:space="preserve">0. La Tabla 1 detalla cómo se reparte específicamente la porción</w:t>
      </w:r>
      <w:r>
        <w:t xml:space="preserve"> </w:t>
      </w:r>
      <w:r>
        <w:t xml:space="preserve">“Ambos”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" w:name="fig-agua-mensual-cmp"/>
          <w:p>
            <w:pPr>
              <w:pStyle w:val="Compact"/>
              <w:jc w:val="center"/>
            </w:pPr>
            <w:r>
              <w:drawing>
                <wp:inline>
                  <wp:extent cx="5334000" cy="24892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07_comparacion_terreno_vs_clasificacion_oya1211_files/figure-docx/fig-agua-mensual-cmp-1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Figura 2: Comparación mensual del promedio de agua acumulada (mm/mL, valores &gt; 0): Terreno (según colector) vs Clasificado (según visibilidad/GOES + corrección manual) — Estación OYA_1211, 2024.</w:t>
            </w:r>
          </w:p>
          <w:bookmarkEnd w:id="18"/>
        </w:tc>
      </w:tr>
    </w:tbl>
    <w:p>
      <w:pPr>
        <w:pStyle w:val="BodyText"/>
      </w:pPr>
      <w:r>
        <w:rPr>
          <w:b/>
          <w:bCs/>
        </w:rPr>
        <w:t xml:space="preserve">Figura 2.</w:t>
      </w:r>
      <w:r>
        <w:t xml:space="preserve"> </w:t>
      </w:r>
      <w:r>
        <w:t xml:space="preserve">Gris = Terreno; azul = Clasificado-Niebla; naranjo =</w:t>
      </w:r>
      <w:r>
        <w:t xml:space="preserve"> </w:t>
      </w:r>
      <w:r>
        <w:t xml:space="preserve">Clasificado-Rocío.</w:t>
      </w:r>
      <w:r>
        <w:t xml:space="preserve"> </w:t>
      </w:r>
      <w:r>
        <w:t xml:space="preserve">“Terreno-Niebla”</w:t>
      </w:r>
      <w:r>
        <w:t xml:space="preserve"> </w:t>
      </w:r>
      <w:r>
        <w:t xml:space="preserve">= todo registro con</w:t>
      </w:r>
      <w:r>
        <w:t xml:space="preserve"> </w:t>
      </w:r>
      <w:r>
        <w:rPr>
          <w:rStyle w:val="VerbatimChar"/>
        </w:rPr>
        <w:t xml:space="preserve">niebla_final &gt; 0</w:t>
      </w:r>
      <w:r>
        <w:t xml:space="preserve"> </w:t>
      </w:r>
      <w:r>
        <w:t xml:space="preserve">(incluye Niebla y Ambos);</w:t>
      </w:r>
      <w:r>
        <w:t xml:space="preserve"> </w:t>
      </w:r>
      <w:r>
        <w:t xml:space="preserve">“Terreno-Rocío”</w:t>
      </w:r>
      <w:r>
        <w:t xml:space="preserve"> </w:t>
      </w:r>
      <w:r>
        <w:t xml:space="preserve">= todo</w:t>
      </w:r>
      <w:r>
        <w:t xml:space="preserve"> </w:t>
      </w:r>
      <w:r>
        <w:t xml:space="preserve">registro con</w:t>
      </w:r>
      <w:r>
        <w:t xml:space="preserve"> </w:t>
      </w:r>
      <w:r>
        <w:rPr>
          <w:rStyle w:val="VerbatimChar"/>
        </w:rPr>
        <w:t xml:space="preserve">rocio_final &gt; 0</w:t>
      </w:r>
      <w:r>
        <w:t xml:space="preserve"> </w:t>
      </w:r>
      <w:r>
        <w:t xml:space="preserve">(incluye Rocío y Ambos). Barras vacías</w:t>
      </w:r>
      <w:r>
        <w:t xml:space="preserve"> </w:t>
      </w:r>
      <w:r>
        <w:t xml:space="preserve">indican meses sin registros de ese tipo bajo ese esquema.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agua-mensual-cmp-alt"/>
          <w:p>
            <w:pPr>
              <w:pStyle w:val="Compact"/>
              <w:jc w:val="center"/>
            </w:pPr>
            <w:bookmarkStart w:id="22" w:name="fig-agua-mensual-cmp-alt"/>
            <w:r>
              <w:drawing>
                <wp:inline>
                  <wp:extent cx="5334000" cy="466725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07_comparacion_terreno_vs_clasificacion_oya1211_files/figure-docx/fig-agua-mensual-cmp-alt-1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667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22"/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Figura 3</w:t>
            </w:r>
          </w:p>
          <w:bookmarkEnd w:id="23"/>
        </w:tc>
      </w:tr>
    </w:tbl>
    <w:p>
      <w:pPr>
        <w:pStyle w:val="BodyText"/>
      </w:pPr>
      <w:r>
        <w:rPr>
          <w:b/>
          <w:bCs/>
        </w:rPr>
        <w:t xml:space="preserve">Figura 2 (vista alternativa).</w:t>
      </w:r>
      <w:r>
        <w:t xml:space="preserve"> </w:t>
      </w:r>
      <w:r>
        <w:t xml:space="preserve">Misma información que la Figura 2, con</w:t>
      </w:r>
      <w:r>
        <w:t xml:space="preserve"> </w:t>
      </w:r>
      <w:r>
        <w:t xml:space="preserve">Niebla y Rocío apilados en dos filas en vez de dos columnas y cada panel</w:t>
      </w:r>
      <w:r>
        <w:t xml:space="preserve"> </w:t>
      </w:r>
      <w:r>
        <w:t xml:space="preserve">con su propia escala vertical, para que las magnitudes de Rocío (mucho</w:t>
      </w:r>
      <w:r>
        <w:t xml:space="preserve"> </w:t>
      </w:r>
      <w:r>
        <w:t xml:space="preserve">menores que las de Niebla) sean legibles.</w:t>
      </w:r>
    </w:p>
    <w:bookmarkEnd w:id="24"/>
    <w:bookmarkStart w:id="29" w:name="X442609ff608a8aeab89956ebd057a8bfa27a009"/>
    <w:p>
      <w:pPr>
        <w:pStyle w:val="Heading2"/>
      </w:pPr>
      <w:r>
        <w:t xml:space="preserve">Comparación mensual — frecuencia (%) de eventos</w:t>
      </w:r>
    </w:p>
    <w:p>
      <w:pPr>
        <w:pStyle w:val="FirstParagraph"/>
      </w:pPr>
      <w:r>
        <w:t xml:space="preserve">Como en la primera versión de esta figura, se muestran dos barras por mes</w:t>
      </w:r>
      <w:r>
        <w:t xml:space="preserve"> </w:t>
      </w:r>
      <w:r>
        <w:t xml:space="preserve">y por tipo de evento (Niebla, Rocío):</w:t>
      </w:r>
      <w:r>
        <w:t xml:space="preserve"> </w:t>
      </w:r>
      <w:r>
        <w:t xml:space="preserve">“Terreno”</w:t>
      </w:r>
      <w:r>
        <w:t xml:space="preserve"> </w:t>
      </w:r>
      <w:r>
        <w:t xml:space="preserve">y</w:t>
      </w:r>
      <w:r>
        <w:t xml:space="preserve"> </w:t>
      </w:r>
      <w:r>
        <w:t xml:space="preserve">“Clasificado”</w:t>
      </w:r>
      <w:r>
        <w:t xml:space="preserve">, ambas</w:t>
      </w:r>
      <w:r>
        <w:t xml:space="preserve"> </w:t>
      </w:r>
      <w:r>
        <w:t xml:space="preserve">como % del total de eventos de agua atmosférica de ese mes. La barra</w:t>
      </w:r>
      <w:r>
        <w:t xml:space="preserve"> </w:t>
      </w:r>
      <w:r>
        <w:t xml:space="preserve">“Terreno”</w:t>
      </w:r>
      <w:r>
        <w:t xml:space="preserve"> </w:t>
      </w:r>
      <w:r>
        <w:t xml:space="preserve">ahora se divide internamente en dos segmentos apilados: la</w:t>
      </w:r>
      <w:r>
        <w:t xml:space="preserve"> </w:t>
      </w:r>
      <w:r>
        <w:t xml:space="preserve">parte inferior es el % de registros de ese colector</w:t>
      </w:r>
      <w:r>
        <w:t xml:space="preserve"> </w:t>
      </w:r>
      <w:r>
        <w:rPr>
          <w:b/>
          <w:bCs/>
        </w:rPr>
        <w:t xml:space="preserve">en exclusiva</w:t>
      </w:r>
      <w:r>
        <w:t xml:space="preserve"> </w:t>
      </w:r>
      <w:r>
        <w:t xml:space="preserve">(</w:t>
      </w:r>
      <w:r>
        <w:t xml:space="preserve">“solo”</w:t>
      </w:r>
      <w:r>
        <w:t xml:space="preserve">) y la parte superior el % de registros donde</w:t>
      </w:r>
      <w:r>
        <w:t xml:space="preserve"> </w:t>
      </w:r>
      <w:r>
        <w:rPr>
          <w:b/>
          <w:bCs/>
        </w:rPr>
        <w:t xml:space="preserve">ambos</w:t>
      </w:r>
      <w:r>
        <w:t xml:space="preserve"> </w:t>
      </w:r>
      <w:r>
        <w:t xml:space="preserve">colectores captaron a la vez (</w:t>
      </w:r>
      <w:r>
        <w:t xml:space="preserve">“ambos”</w:t>
      </w:r>
      <w:r>
        <w:t xml:space="preserve">) — su suma es el % inclusivo total</w:t>
      </w:r>
      <w:r>
        <w:t xml:space="preserve"> </w:t>
      </w:r>
      <w:r>
        <w:t xml:space="preserve">de ese colector, igual al de la Figura 2.</w:t>
      </w:r>
      <w:r>
        <w:t xml:space="preserve"> </w:t>
      </w:r>
      <w:r>
        <w:t xml:space="preserve">“Clasificado”</w:t>
      </w:r>
      <w:r>
        <w:t xml:space="preserve"> </w:t>
      </w:r>
      <w:r>
        <w:t xml:space="preserve">es una sola</w:t>
      </w:r>
      <w:r>
        <w:t xml:space="preserve"> </w:t>
      </w:r>
      <w:r>
        <w:t xml:space="preserve">barra, sin desglose, porque ahí cada registro pertenece a una única</w:t>
      </w:r>
      <w:r>
        <w:t xml:space="preserve"> </w:t>
      </w:r>
      <w:r>
        <w:t xml:space="preserve">categoría.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recuencia-mensual-cmp"/>
          <w:p>
            <w:pPr>
              <w:pStyle w:val="Compact"/>
              <w:jc w:val="center"/>
            </w:pPr>
            <w:r>
              <w:drawing>
                <wp:inline>
                  <wp:extent cx="5334000" cy="26670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07_comparacion_terreno_vs_clasificacion_oya1211_files/figure-docx/fig-frecuencia-mensual-cmp-1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667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Figura 4: Comparación mensual de la frecuencia (%) de niebla y rocío, Terreno (desglosado en solo/ambos) vs Clasificado — Estación OYA_1211, 2024.</w:t>
            </w:r>
          </w:p>
          <w:bookmarkEnd w:id="28"/>
        </w:tc>
      </w:tr>
    </w:tbl>
    <w:p>
      <w:pPr>
        <w:pStyle w:val="BodyText"/>
      </w:pPr>
      <w:r>
        <w:rPr>
          <w:b/>
          <w:bCs/>
        </w:rPr>
        <w:t xml:space="preserve">Figura 3.</w:t>
      </w:r>
      <w:r>
        <w:t xml:space="preserve"> </w:t>
      </w:r>
      <w:r>
        <w:t xml:space="preserve">Para cada mes, la barra izquierda (Terreno) apila dos grises</w:t>
      </w:r>
      <w:r>
        <w:t xml:space="preserve"> </w:t>
      </w:r>
      <w:r>
        <w:t xml:space="preserve">(</w:t>
      </w:r>
      <w:r>
        <w:t xml:space="preserve">“solo”</w:t>
      </w:r>
      <w:r>
        <w:t xml:space="preserve"> </w:t>
      </w:r>
      <w:r>
        <w:t xml:space="preserve">claro +</w:t>
      </w:r>
      <w:r>
        <w:t xml:space="preserve"> </w:t>
      </w:r>
      <w:r>
        <w:t xml:space="preserve">“ambos”</w:t>
      </w:r>
      <w:r>
        <w:t xml:space="preserve"> </w:t>
      </w:r>
      <w:r>
        <w:t xml:space="preserve">oscuro); la barra derecha (Clasificado) es un</w:t>
      </w:r>
      <w:r>
        <w:t xml:space="preserve"> </w:t>
      </w:r>
      <w:r>
        <w:t xml:space="preserve">solo segmento, azul en el panel Niebla y naranjo en el panel Rocío. Ambas</w:t>
      </w:r>
      <w:r>
        <w:t xml:space="preserve"> </w:t>
      </w:r>
      <w:r>
        <w:t xml:space="preserve">barras son % del total de eventos de agua atmosférica de ese mes, por lo</w:t>
      </w:r>
      <w:r>
        <w:t xml:space="preserve"> </w:t>
      </w:r>
      <w:r>
        <w:t xml:space="preserve">que son directamente comparables en altura total. Ver Tabla 1 para el</w:t>
      </w:r>
      <w:r>
        <w:t xml:space="preserve"> </w:t>
      </w:r>
      <w:r>
        <w:t xml:space="preserve">detalle numérico del reparto de los</w:t>
      </w:r>
      <w:r>
        <w:t xml:space="preserve"> </w:t>
      </w:r>
      <w:r>
        <w:t xml:space="preserve">“Ambos”</w:t>
      </w:r>
      <w:r>
        <w:t xml:space="preserve">.</w:t>
      </w:r>
    </w:p>
    <w:bookmarkEnd w:id="29"/>
    <w:bookmarkStart w:id="39" w:name="Xa41debc080d27387e363afab33fc238d24d6404"/>
    <w:p>
      <w:pPr>
        <w:pStyle w:val="Heading2"/>
      </w:pPr>
      <w:r>
        <w:t xml:space="preserve">Comparación horaria — cantidad de agua acumulada promedio</w:t>
      </w:r>
    </w:p>
    <w:p>
      <w:pPr>
        <w:pStyle w:val="FirstParagraph"/>
      </w:pPr>
      <w:r>
        <w:t xml:space="preserve">Mismo análisis que la Figura 2, agregando todas las observaciones del año</w:t>
      </w:r>
      <w:r>
        <w:t xml:space="preserve"> </w:t>
      </w:r>
      <w:r>
        <w:t xml:space="preserve">por hora del día (00 a 23 h).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agua-horaria-cmp"/>
          <w:p>
            <w:pPr>
              <w:pStyle w:val="Compact"/>
              <w:jc w:val="center"/>
            </w:pPr>
            <w:r>
              <w:drawing>
                <wp:inline>
                  <wp:extent cx="5334000" cy="2607733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07_comparacion_terreno_vs_clasificacion_oya1211_files/figure-docx/fig-agua-horaria-cmp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6077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Figura 5: Comparación horaria del promedio de agua acumulada (mm/mL, valores &gt; 0): Terreno vs Clasificado — Estación OYA_1211, 2024 (eje superior en hora local aproximada de Chile).</w:t>
            </w:r>
          </w:p>
          <w:bookmarkEnd w:id="33"/>
        </w:tc>
      </w:tr>
    </w:tbl>
    <w:p>
      <w:pPr>
        <w:pStyle w:val="BodyText"/>
      </w:pPr>
      <w:r>
        <w:rPr>
          <w:b/>
          <w:bCs/>
        </w:rPr>
        <w:t xml:space="preserve">Figura 4.</w:t>
      </w:r>
      <w:r>
        <w:t xml:space="preserve"> </w:t>
      </w:r>
      <w:r>
        <w:t xml:space="preserve">Gris = Terreno; azul = Clasificado-Niebla; naranjo =</w:t>
      </w:r>
      <w:r>
        <w:t xml:space="preserve"> </w:t>
      </w:r>
      <w:r>
        <w:t xml:space="preserve">Clasificado-Rocío.</w:t>
      </w:r>
      <w:r>
        <w:t xml:space="preserve"> </w:t>
      </w:r>
      <w:r>
        <w:t xml:space="preserve">“Terreno-Niebla”</w:t>
      </w:r>
      <w:r>
        <w:t xml:space="preserve"> </w:t>
      </w:r>
      <w:r>
        <w:t xml:space="preserve">= todo registro con</w:t>
      </w:r>
      <w:r>
        <w:t xml:space="preserve"> </w:t>
      </w:r>
      <w:r>
        <w:rPr>
          <w:rStyle w:val="VerbatimChar"/>
        </w:rPr>
        <w:t xml:space="preserve">niebla_final &gt; 0</w:t>
      </w:r>
      <w:r>
        <w:t xml:space="preserve"> </w:t>
      </w:r>
      <w:r>
        <w:t xml:space="preserve">(incluye Niebla y Ambos);</w:t>
      </w:r>
      <w:r>
        <w:t xml:space="preserve"> </w:t>
      </w:r>
      <w:r>
        <w:t xml:space="preserve">“Terreno-Rocío”</w:t>
      </w:r>
      <w:r>
        <w:t xml:space="preserve"> </w:t>
      </w:r>
      <w:r>
        <w:t xml:space="preserve">= todo</w:t>
      </w:r>
      <w:r>
        <w:t xml:space="preserve"> </w:t>
      </w:r>
      <w:r>
        <w:t xml:space="preserve">registro con</w:t>
      </w:r>
      <w:r>
        <w:t xml:space="preserve"> </w:t>
      </w:r>
      <w:r>
        <w:rPr>
          <w:rStyle w:val="VerbatimChar"/>
        </w:rPr>
        <w:t xml:space="preserve">rocio_final &gt; 0</w:t>
      </w:r>
      <w:r>
        <w:t xml:space="preserve"> </w:t>
      </w:r>
      <w:r>
        <w:t xml:space="preserve">(incluye Rocío y Ambos). Eje inferior en</w:t>
      </w:r>
      <w:r>
        <w:t xml:space="preserve"> </w:t>
      </w:r>
      <w:r>
        <w:t xml:space="preserve">hora UTC; eje superior en hora local aproximada de Chile continental</w:t>
      </w:r>
      <w:r>
        <w:t xml:space="preserve"> </w:t>
      </w:r>
      <w:r>
        <w:t xml:space="preserve">(UTC-3, horario de verano; ver nota de horario de invierno en las</w:t>
      </w:r>
      <w:r>
        <w:t xml:space="preserve"> </w:t>
      </w:r>
      <w:r>
        <w:t xml:space="preserve">Figuras 4-5 de</w:t>
      </w:r>
      <w:r>
        <w:t xml:space="preserve"> </w:t>
      </w:r>
      <w:r>
        <w:rPr>
          <w:rStyle w:val="VerbatimChar"/>
        </w:rPr>
        <w:t xml:space="preserve">code/06_...qmd</w:t>
      </w:r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agua-horaria-cmp-alt"/>
          <w:p>
            <w:pPr>
              <w:pStyle w:val="Compact"/>
              <w:jc w:val="center"/>
            </w:pPr>
            <w:bookmarkStart w:id="37" w:name="fig-agua-horaria-cmp-alt"/>
            <w:r>
              <w:drawing>
                <wp:inline>
                  <wp:extent cx="5334000" cy="5000625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07_comparacion_terreno_vs_clasificacion_oya1211_files/figure-docx/fig-agua-horaria-cmp-alt-1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000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37"/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Figura 6</w:t>
            </w:r>
          </w:p>
          <w:bookmarkEnd w:id="38"/>
        </w:tc>
      </w:tr>
    </w:tbl>
    <w:p>
      <w:pPr>
        <w:pStyle w:val="BodyText"/>
      </w:pPr>
      <w:r>
        <w:rPr>
          <w:b/>
          <w:bCs/>
        </w:rPr>
        <w:t xml:space="preserve">Figura 4 (vista alternativa).</w:t>
      </w:r>
      <w:r>
        <w:t xml:space="preserve"> </w:t>
      </w:r>
      <w:r>
        <w:t xml:space="preserve">Misma información que la Figura 4, con</w:t>
      </w:r>
      <w:r>
        <w:t xml:space="preserve"> </w:t>
      </w:r>
      <w:r>
        <w:t xml:space="preserve">Niebla y Rocío apilados en dos filas en vez de dos columnas y cada panel</w:t>
      </w:r>
      <w:r>
        <w:t xml:space="preserve"> </w:t>
      </w:r>
      <w:r>
        <w:t xml:space="preserve">con su propia escala vertical.</w:t>
      </w:r>
    </w:p>
    <w:bookmarkEnd w:id="39"/>
    <w:bookmarkStart w:id="44" w:name="Xdc7241eb2acaac23c05514080893e40b9f6efdc"/>
    <w:p>
      <w:pPr>
        <w:pStyle w:val="Heading2"/>
      </w:pPr>
      <w:r>
        <w:t xml:space="preserve">Comparación horaria — frecuencia (%) de eventos</w:t>
      </w:r>
    </w:p>
    <w:p>
      <w:pPr>
        <w:pStyle w:val="FirstParagraph"/>
      </w:pPr>
      <w:r>
        <w:t xml:space="preserve">Mismo diseño que la Figura 3 (Terreno desglosado en solo/ambos vs</w:t>
      </w:r>
      <w:r>
        <w:t xml:space="preserve"> </w:t>
      </w:r>
      <w:r>
        <w:t xml:space="preserve">Clasificado), agregando todas las observaciones del año por hora del día.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recuencia-horaria-cmp"/>
          <w:p>
            <w:pPr>
              <w:pStyle w:val="Compact"/>
              <w:jc w:val="center"/>
            </w:pPr>
            <w:r>
              <w:drawing>
                <wp:inline>
                  <wp:extent cx="5334000" cy="2785533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07_comparacion_terreno_vs_clasificacion_oya1211_files/figure-docx/fig-frecuencia-horaria-cmp-1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7855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Figura 7: Comparación horaria de la frecuencia (%) de niebla y rocío, Terreno (desglosado en solo/ambos) vs Clasificado — Estación OYA_1211, 2024 (eje superior en hora local aproximada de Chile).</w:t>
            </w:r>
          </w:p>
          <w:bookmarkEnd w:id="43"/>
        </w:tc>
      </w:tr>
    </w:tbl>
    <w:p>
      <w:pPr>
        <w:pStyle w:val="BodyText"/>
      </w:pPr>
      <w:r>
        <w:rPr>
          <w:b/>
          <w:bCs/>
        </w:rPr>
        <w:t xml:space="preserve">Figura 5.</w:t>
      </w:r>
      <w:r>
        <w:t xml:space="preserve"> </w:t>
      </w:r>
      <w:r>
        <w:t xml:space="preserve">Para cada hora, la barra izquierda (Terreno) apila dos</w:t>
      </w:r>
      <w:r>
        <w:t xml:space="preserve"> </w:t>
      </w:r>
      <w:r>
        <w:t xml:space="preserve">grises (</w:t>
      </w:r>
      <w:r>
        <w:t xml:space="preserve">“solo”</w:t>
      </w:r>
      <w:r>
        <w:t xml:space="preserve"> </w:t>
      </w:r>
      <w:r>
        <w:t xml:space="preserve">claro +</w:t>
      </w:r>
      <w:r>
        <w:t xml:space="preserve"> </w:t>
      </w:r>
      <w:r>
        <w:t xml:space="preserve">“ambos”</w:t>
      </w:r>
      <w:r>
        <w:t xml:space="preserve"> </w:t>
      </w:r>
      <w:r>
        <w:t xml:space="preserve">oscuro); la barra derecha (Clasificado) es</w:t>
      </w:r>
      <w:r>
        <w:t xml:space="preserve"> </w:t>
      </w:r>
      <w:r>
        <w:t xml:space="preserve">un solo segmento, azul en el panel Niebla y naranjo en el panel Rocío.</w:t>
      </w:r>
      <w:r>
        <w:t xml:space="preserve"> </w:t>
      </w:r>
      <w:r>
        <w:t xml:space="preserve">Eje inferior en hora UTC; eje superior en hora local aproximada de Chile</w:t>
      </w:r>
      <w:r>
        <w:t xml:space="preserve"> </w:t>
      </w:r>
      <w:r>
        <w:t xml:space="preserve">continental.</w:t>
      </w:r>
    </w:p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15" Target="media/rId15.png" /><Relationship Type="http://schemas.openxmlformats.org/officeDocument/2006/relationships/image" Id="rId19" Target="media/rId19.png" /><Relationship Type="http://schemas.openxmlformats.org/officeDocument/2006/relationships/image" Id="rId9" Target="media/rId9.png" /><Relationship Type="http://schemas.openxmlformats.org/officeDocument/2006/relationships/image" Id="rId40" Target="media/rId40.png" /><Relationship Type="http://schemas.openxmlformats.org/officeDocument/2006/relationships/image" Id="rId25" Target="media/rId2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Comparación: datos de terreno vs clasificación final — Estación OYA_1211</dc:title>
  <dc:creator>Francisca Muñoz Narbona</dc:creator>
  <dc:language>es</dc:language>
  <cp:keywords/>
  <dcterms:created xsi:type="dcterms:W3CDTF">2026-09-08T04:08:06Z</dcterms:created>
  <dcterms:modified xsi:type="dcterms:W3CDTF">2026-09-08T04:08:06Z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">
    <vt:lpwstr>visual</vt:lpwstr>
  </property>
  <property fmtid="{D5CDD505-2E9C-101B-9397-08002B2CF9AE}" pid="6" name="editor_options">
    <vt:lpwstr/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toc-title">
    <vt:lpwstr>Tabla de contenidos</vt:lpwstr>
  </property>
</Properties>
</file>