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jc w:val="both"/>
        <w:rPr>
          <w:b/>
          <w:bCs/>
          <w:sz w:val="24"/>
          <w:szCs w:val="24"/>
        </w:rPr>
      </w:pPr>
      <w:r>
        <w:rPr>
          <w:b/>
          <w:bCs/>
          <w:sz w:val="24"/>
          <w:szCs w:val="24"/>
        </w:rPr>
        <w:t>Thermodynamic characterization of the marine boundary layer during fog and dew events in the hyperarid coastal climate of the Atacama Desert</w:t>
      </w:r>
    </w:p>
    <w:p>
      <w:pPr>
        <w:pStyle w:val="30"/>
        <w:jc w:val="both"/>
        <w:rPr>
          <w:sz w:val="20"/>
          <w:szCs w:val="20"/>
          <w:lang w:val="es-ES"/>
        </w:rPr>
      </w:pPr>
    </w:p>
    <w:p>
      <w:pPr>
        <w:pStyle w:val="30"/>
        <w:jc w:val="both"/>
        <w:rPr>
          <w:sz w:val="20"/>
          <w:szCs w:val="20"/>
          <w:lang w:val="es-ES"/>
        </w:rPr>
      </w:pPr>
      <w:r>
        <w:rPr>
          <w:sz w:val="20"/>
          <w:szCs w:val="20"/>
          <w:lang w:val="es-ES"/>
        </w:rPr>
        <w:t>F.M. Narbona, S. Acevedo, C. Del Río, A. Siegmund, F. Lobos-Roco</w:t>
      </w:r>
    </w:p>
    <w:p>
      <w:pPr>
        <w:pStyle w:val="19"/>
        <w:jc w:val="both"/>
        <w:rPr>
          <w:sz w:val="20"/>
          <w:szCs w:val="20"/>
        </w:rPr>
      </w:pPr>
      <w:r>
        <w:rPr>
          <w:sz w:val="20"/>
          <w:szCs w:val="20"/>
        </w:rPr>
        <w:t>2026-09-25</w:t>
      </w:r>
    </w:p>
    <w:p>
      <w:pPr>
        <w:pStyle w:val="2"/>
        <w:jc w:val="both"/>
        <w:rPr>
          <w:sz w:val="20"/>
          <w:szCs w:val="20"/>
        </w:rPr>
      </w:pPr>
      <w:bookmarkStart w:id="0" w:name="introduction"/>
      <w:r>
        <w:rPr>
          <w:sz w:val="20"/>
          <w:szCs w:val="20"/>
        </w:rPr>
        <w:t>Introduction</w:t>
      </w:r>
    </w:p>
    <w:p>
      <w:pPr>
        <w:pStyle w:val="26"/>
        <w:jc w:val="both"/>
        <w:rPr>
          <w:sz w:val="20"/>
          <w:szCs w:val="20"/>
        </w:rPr>
      </w:pPr>
      <w:r>
        <w:rPr>
          <w:sz w:val="20"/>
          <w:szCs w:val="20"/>
        </w:rPr>
        <w:t xml:space="preserve">In the coastal Atacama Desert, precipitation is almost null (Houston, 2006), thus fog and dew are the main water sources sustaining hyperarid ecosystems and local communities (Lobos-Roco et al., 2024; Río et al., 2021). In this area </w:t>
      </w:r>
      <w:r>
        <w:rPr>
          <w:i/>
          <w:iCs/>
          <w:sz w:val="20"/>
          <w:szCs w:val="20"/>
        </w:rPr>
        <w:t>Tillandsia landbeckii</w:t>
      </w:r>
      <w:r>
        <w:rPr>
          <w:sz w:val="20"/>
          <w:szCs w:val="20"/>
        </w:rPr>
        <w:t xml:space="preserve"> is a classic example of fog dependent vegetation, localized within the fog belt between approximately 900 and 1200 m a.s.l. (Cereceda et al., 2008; García et al., 2021), while dew is thought to buffer this species during periods of reduced fog (Jabbusch &amp; Koch, 2025; Latorre et al., 2011). Other species share this dependence, including </w:t>
      </w:r>
      <w:commentRangeStart w:id="0"/>
      <w:r>
        <w:rPr>
          <w:sz w:val="20"/>
          <w:szCs w:val="20"/>
        </w:rPr>
        <w:t xml:space="preserve">congeneric </w:t>
      </w:r>
      <w:r>
        <w:rPr>
          <w:i/>
          <w:iCs/>
          <w:sz w:val="20"/>
          <w:szCs w:val="20"/>
        </w:rPr>
        <w:t>Tillandsia</w:t>
      </w:r>
      <w:r>
        <w:rPr>
          <w:sz w:val="20"/>
          <w:szCs w:val="20"/>
        </w:rPr>
        <w:t xml:space="preserve"> </w:t>
      </w:r>
      <w:commentRangeEnd w:id="0"/>
      <w:r>
        <w:rPr>
          <w:rStyle w:val="16"/>
          <w:sz w:val="20"/>
          <w:szCs w:val="20"/>
        </w:rPr>
        <w:commentReference w:id="0"/>
      </w:r>
      <w:r>
        <w:rPr>
          <w:sz w:val="20"/>
          <w:szCs w:val="20"/>
        </w:rPr>
        <w:t xml:space="preserve">(Pinto et al., 2006) and biological soil crusts (Jung et al., 2019). Regarding dew specifically, the cactus </w:t>
      </w:r>
      <w:r>
        <w:rPr>
          <w:i/>
          <w:iCs/>
          <w:sz w:val="20"/>
          <w:szCs w:val="20"/>
        </w:rPr>
        <w:t>Copiapoa cinerea var. haseltoniana</w:t>
      </w:r>
      <w:r>
        <w:rPr>
          <w:sz w:val="20"/>
          <w:szCs w:val="20"/>
        </w:rP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pPr>
        <w:pStyle w:val="3"/>
        <w:jc w:val="both"/>
        <w:rPr>
          <w:sz w:val="20"/>
          <w:szCs w:val="20"/>
        </w:rPr>
      </w:pPr>
      <w:r>
        <w:rPr>
          <w:sz w:val="20"/>
          <w:szCs w:val="20"/>
        </w:rPr>
        <w:t>Fog and dew are condensation processes that occurs within the marine boundary layer (MBL), governed by turbulent mixing (fog), advection and thermal stratification (dew) (Lobos-Roco et al., 2024; Stull, 1988). Fog forms when a moist air parcel saturates, then reaching the dew point (</w:t>
      </w:r>
      <m:oMath>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air</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dew</m:t>
            </m:r>
            <m:ctrlPr>
              <w:rPr>
                <w:rFonts w:ascii="Cambria Math" w:hAnsi="Cambria Math"/>
                <w:sz w:val="20"/>
                <w:szCs w:val="20"/>
              </w:rPr>
            </m:ctrlPr>
          </m:sub>
        </m:sSub>
      </m:oMath>
      <w:r>
        <w:rPr>
          <w:sz w:val="20"/>
          <w:szCs w:val="20"/>
        </w:rPr>
        <w:t>)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 2024).</w:t>
      </w:r>
    </w:p>
    <w:p>
      <w:pPr>
        <w:pStyle w:val="3"/>
        <w:jc w:val="both"/>
        <w:rPr>
          <w:sz w:val="20"/>
          <w:szCs w:val="20"/>
        </w:rPr>
      </w:pPr>
      <w:r>
        <w:rPr>
          <w:sz w:val="20"/>
          <w:szCs w:val="20"/>
        </w:rPr>
        <w:t>In contrast, dew forms over surfaces, which driven by nocturnal radiative cooling, reach the dew point (</w:t>
      </w:r>
      <m:oMath>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surf</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dew</m:t>
            </m:r>
            <m:ctrlPr>
              <w:rPr>
                <w:rFonts w:ascii="Cambria Math" w:hAnsi="Cambria Math"/>
                <w:sz w:val="20"/>
                <w:szCs w:val="20"/>
              </w:rPr>
            </m:ctrlPr>
          </m:sub>
        </m:sSub>
      </m:oMath>
      <w:r>
        <w:rPr>
          <w:sz w:val="20"/>
          <w:szCs w:val="20"/>
        </w:rPr>
        <w:t>), condensing directly on solid surfaces under clear, calm, humid conditions (Jacobs et al., 2006; Monteith, 1957). In terms of thermodynamics, dew forms under a more stable surface layer (∂θ/∂z ≈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pPr>
        <w:pStyle w:val="3"/>
        <w:jc w:val="both"/>
        <w:rPr>
          <w:sz w:val="20"/>
          <w:szCs w:val="20"/>
        </w:rPr>
      </w:pPr>
      <w:r>
        <w:rPr>
          <w:sz w:val="20"/>
          <w:szCs w:val="20"/>
        </w:rP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m:rPr/>
          <w:rPr>
            <w:rFonts w:ascii="Cambria Math" w:hAnsi="Cambria Math"/>
            <w:sz w:val="20"/>
            <w:szCs w:val="20"/>
          </w:rPr>
          <m:t>L </m:t>
        </m:r>
        <m:sSup>
          <m:sSupPr>
            <m:ctrlPr>
              <w:rPr>
                <w:rFonts w:ascii="Cambria Math" w:hAnsi="Cambria Math"/>
                <w:sz w:val="20"/>
                <w:szCs w:val="20"/>
              </w:rPr>
            </m:ctrlPr>
          </m:sSupPr>
          <m:e>
            <m:r>
              <m:rPr/>
              <w:rPr>
                <w:rFonts w:ascii="Cambria Math" w:hAnsi="Cambria Math"/>
                <w:sz w:val="20"/>
                <w:szCs w:val="20"/>
              </w:rPr>
              <m:t>m</m:t>
            </m:r>
            <m:ctrlPr>
              <w:rPr>
                <w:rFonts w:ascii="Cambria Math" w:hAnsi="Cambria Math"/>
                <w:sz w:val="20"/>
                <w:szCs w:val="20"/>
              </w:rPr>
            </m:ctrlPr>
          </m:e>
          <m:sup>
            <m:r>
              <m:rPr>
                <m:sty m:val="p"/>
              </m:rPr>
              <w:rPr>
                <w:rFonts w:ascii="Cambria Math" w:hAnsi="Cambria Math"/>
                <w:sz w:val="20"/>
                <w:szCs w:val="20"/>
              </w:rPr>
              <m:t>−</m:t>
            </m:r>
            <m:r>
              <m:rPr/>
              <w:rPr>
                <w:rFonts w:ascii="Cambria Math" w:hAnsi="Cambria Math"/>
                <w:sz w:val="20"/>
                <w:szCs w:val="20"/>
              </w:rPr>
              <m:t>2</m:t>
            </m:r>
            <m:ctrlPr>
              <w:rPr>
                <w:rFonts w:ascii="Cambria Math" w:hAnsi="Cambria Math"/>
                <w:sz w:val="20"/>
                <w:szCs w:val="20"/>
              </w:rPr>
            </m:ctrlPr>
          </m:sup>
        </m:sSup>
        <m:r>
          <m:rPr/>
          <w:rPr>
            <w:rFonts w:ascii="Cambria Math" w:hAnsi="Cambria Math"/>
            <w:sz w:val="20"/>
            <w:szCs w:val="20"/>
          </w:rPr>
          <m:t> da</m:t>
        </m:r>
        <m:sSup>
          <m:sSupPr>
            <m:ctrlPr>
              <w:rPr>
                <w:rFonts w:ascii="Cambria Math" w:hAnsi="Cambria Math"/>
                <w:sz w:val="20"/>
                <w:szCs w:val="20"/>
              </w:rPr>
            </m:ctrlPr>
          </m:sSupPr>
          <m:e>
            <m:r>
              <m:rPr/>
              <w:rPr>
                <w:rFonts w:ascii="Cambria Math" w:hAnsi="Cambria Math"/>
                <w:sz w:val="20"/>
                <w:szCs w:val="20"/>
              </w:rPr>
              <m:t>y</m:t>
            </m:r>
            <m:ctrlPr>
              <w:rPr>
                <w:rFonts w:ascii="Cambria Math" w:hAnsi="Cambria Math"/>
                <w:sz w:val="20"/>
                <w:szCs w:val="20"/>
              </w:rPr>
            </m:ctrlPr>
          </m:e>
          <m:sup>
            <m:r>
              <m:rPr>
                <m:sty m:val="p"/>
              </m:rPr>
              <w:rPr>
                <w:rFonts w:ascii="Cambria Math" w:hAnsi="Cambria Math"/>
                <w:sz w:val="20"/>
                <w:szCs w:val="20"/>
              </w:rPr>
              <m:t>−</m:t>
            </m:r>
            <m:r>
              <m:rPr/>
              <w:rPr>
                <w:rFonts w:ascii="Cambria Math" w:hAnsi="Cambria Math"/>
                <w:sz w:val="20"/>
                <w:szCs w:val="20"/>
              </w:rPr>
              <m:t>1</m:t>
            </m:r>
            <m:ctrlPr>
              <w:rPr>
                <w:rFonts w:ascii="Cambria Math" w:hAnsi="Cambria Math"/>
                <w:sz w:val="20"/>
                <w:szCs w:val="20"/>
              </w:rPr>
            </m:ctrlPr>
          </m:sup>
        </m:sSup>
      </m:oMath>
      <w:r>
        <w:rPr>
          <w:sz w:val="20"/>
          <w:szCs w:val="20"/>
        </w:rP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pPr>
        <w:pStyle w:val="3"/>
        <w:jc w:val="both"/>
        <w:rPr>
          <w:sz w:val="20"/>
          <w:szCs w:val="20"/>
        </w:rPr>
      </w:pPr>
      <w:r>
        <w:rPr>
          <w:sz w:val="20"/>
          <w:szCs w:val="20"/>
        </w:rP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pPr>
        <w:pStyle w:val="3"/>
        <w:jc w:val="both"/>
        <w:rPr>
          <w:sz w:val="20"/>
          <w:szCs w:val="20"/>
        </w:rPr>
      </w:pPr>
      <w:r>
        <w:rPr>
          <w:sz w:val="20"/>
          <w:szCs w:val="20"/>
        </w:rPr>
        <w:t>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bookmarkEnd w:id="0"/>
    <w:p>
      <w:pPr>
        <w:pStyle w:val="2"/>
        <w:jc w:val="both"/>
        <w:rPr>
          <w:sz w:val="20"/>
          <w:szCs w:val="20"/>
        </w:rPr>
      </w:pPr>
      <w:bookmarkStart w:id="1" w:name="outline-methods"/>
      <w:r>
        <w:rPr>
          <w:sz w:val="20"/>
          <w:szCs w:val="20"/>
        </w:rPr>
        <w:t>Outline methods</w:t>
      </w:r>
    </w:p>
    <w:p>
      <w:pPr>
        <w:pStyle w:val="4"/>
        <w:jc w:val="both"/>
        <w:rPr>
          <w:sz w:val="20"/>
          <w:szCs w:val="20"/>
        </w:rPr>
      </w:pPr>
      <w:bookmarkStart w:id="2" w:name="study-area-cerro-oyarbide"/>
      <w:r>
        <w:rPr>
          <w:sz w:val="20"/>
          <w:szCs w:val="20"/>
        </w:rPr>
        <w:t>Study area: Cerro Oyarbide</w:t>
      </w:r>
    </w:p>
    <w:p>
      <w:pPr>
        <w:pStyle w:val="26"/>
        <w:jc w:val="both"/>
        <w:rPr>
          <w:sz w:val="20"/>
          <w:szCs w:val="20"/>
        </w:rPr>
      </w:pPr>
      <w:r>
        <w:rPr>
          <w:sz w:val="20"/>
          <w:szCs w:val="20"/>
        </w:rPr>
        <w:t>The meteorological observations used in this study are located over topographic transect placed at Cerro Oyarbide (~20.61°S, 70.07°W). This site is located in the Atacama coastal mountain range about 11 km inland from the coastline (</w:t>
      </w:r>
      <w:r>
        <w:rPr>
          <w:sz w:val="20"/>
          <w:szCs w:val="20"/>
        </w:rPr>
        <w:fldChar w:fldCharType="begin"/>
      </w:r>
      <w:r>
        <w:rPr>
          <w:sz w:val="20"/>
          <w:szCs w:val="20"/>
        </w:rPr>
        <w:instrText xml:space="preserve"> HYPERLINK \l "fig-oyarbide" \h </w:instrText>
      </w:r>
      <w:r>
        <w:rPr>
          <w:sz w:val="20"/>
          <w:szCs w:val="20"/>
        </w:rPr>
        <w:fldChar w:fldCharType="separate"/>
      </w:r>
      <w:r>
        <w:rPr>
          <w:rStyle w:val="24"/>
          <w:sz w:val="20"/>
          <w:szCs w:val="20"/>
        </w:rPr>
        <w:t>Figure 1</w:t>
      </w:r>
      <w:r>
        <w:rPr>
          <w:rStyle w:val="24"/>
          <w:sz w:val="20"/>
          <w:szCs w:val="20"/>
        </w:rPr>
        <w:fldChar w:fldCharType="end"/>
      </w:r>
      <w:r>
        <w:rPr>
          <w:sz w:val="20"/>
          <w:szCs w:val="20"/>
        </w:rPr>
        <w:t xml:space="preserve">, B and D). The climate is hyper-arid, where no rain occurs and the sole water inputs to the surface comes from dew and fog. Such conditions only </w:t>
      </w:r>
      <w:del w:id="0" w:author="felipe" w:date="2026-09-28T10:13:23Z">
        <w:r>
          <w:rPr>
            <w:rFonts w:hint="default"/>
            <w:sz w:val="20"/>
            <w:szCs w:val="20"/>
            <w:lang w:val="en-US"/>
          </w:rPr>
          <w:delText>allow the development</w:delText>
        </w:r>
      </w:del>
      <w:ins w:id="1" w:author="felipe" w:date="2026-09-28T10:13:23Z">
        <w:r>
          <w:rPr>
            <w:rFonts w:hint="default"/>
            <w:sz w:val="20"/>
            <w:szCs w:val="20"/>
            <w:lang w:val="es"/>
          </w:rPr>
          <w:t>s</w:t>
        </w:r>
      </w:ins>
      <w:ins w:id="2" w:author="felipe" w:date="2026-09-28T10:13:24Z">
        <w:r>
          <w:rPr>
            <w:rFonts w:hint="default"/>
            <w:sz w:val="20"/>
            <w:szCs w:val="20"/>
            <w:lang w:val="es"/>
          </w:rPr>
          <w:t>ustain</w:t>
        </w:r>
      </w:ins>
      <w:r>
        <w:rPr>
          <w:sz w:val="20"/>
          <w:szCs w:val="20"/>
        </w:rPr>
        <w:t xml:space="preserve"> of </w:t>
      </w:r>
      <w:r>
        <w:rPr>
          <w:i/>
          <w:iCs/>
          <w:sz w:val="20"/>
          <w:szCs w:val="20"/>
        </w:rPr>
        <w:t>Tillandsia landbeckii</w:t>
      </w:r>
      <w:r>
        <w:rPr>
          <w:sz w:val="20"/>
          <w:szCs w:val="20"/>
        </w:rPr>
        <w:t xml:space="preserve"> species, a rootless plant that locates between 900 and 1200 m above sea level</w:t>
      </w:r>
      <w:ins w:id="3" w:author="felipe" w:date="2026-09-28T10:13:41Z">
        <w:r>
          <w:rPr>
            <w:rFonts w:hint="default"/>
            <w:sz w:val="20"/>
            <w:szCs w:val="20"/>
            <w:lang w:val="es"/>
          </w:rPr>
          <w:t xml:space="preserve">, </w:t>
        </w:r>
      </w:ins>
      <w:ins w:id="4" w:author="felipe" w:date="2026-09-28T10:13:42Z">
        <w:r>
          <w:rPr>
            <w:rFonts w:hint="default"/>
            <w:sz w:val="20"/>
            <w:szCs w:val="20"/>
            <w:lang w:val="es"/>
          </w:rPr>
          <w:t>in the</w:t>
        </w:r>
      </w:ins>
      <w:ins w:id="5" w:author="felipe" w:date="2026-09-28T10:13:43Z">
        <w:r>
          <w:rPr>
            <w:rFonts w:hint="default"/>
            <w:sz w:val="20"/>
            <w:szCs w:val="20"/>
            <w:lang w:val="es"/>
          </w:rPr>
          <w:t xml:space="preserve"> uppe</w:t>
        </w:r>
      </w:ins>
      <w:ins w:id="6" w:author="felipe" w:date="2026-09-28T10:13:44Z">
        <w:r>
          <w:rPr>
            <w:rFonts w:hint="default"/>
            <w:sz w:val="20"/>
            <w:szCs w:val="20"/>
            <w:lang w:val="es"/>
          </w:rPr>
          <w:t xml:space="preserve">r </w:t>
        </w:r>
      </w:ins>
      <w:ins w:id="7" w:author="felipe" w:date="2026-09-28T10:13:48Z">
        <w:r>
          <w:rPr>
            <w:rFonts w:hint="default"/>
            <w:sz w:val="20"/>
            <w:szCs w:val="20"/>
            <w:lang w:val="es"/>
          </w:rPr>
          <w:t>bor</w:t>
        </w:r>
      </w:ins>
      <w:ins w:id="8" w:author="felipe" w:date="2026-09-28T10:13:49Z">
        <w:r>
          <w:rPr>
            <w:rFonts w:hint="default"/>
            <w:sz w:val="20"/>
            <w:szCs w:val="20"/>
            <w:lang w:val="es"/>
          </w:rPr>
          <w:t>der of</w:t>
        </w:r>
      </w:ins>
      <w:ins w:id="9" w:author="felipe" w:date="2026-09-28T10:13:50Z">
        <w:r>
          <w:rPr>
            <w:rFonts w:hint="default"/>
            <w:sz w:val="20"/>
            <w:szCs w:val="20"/>
            <w:lang w:val="es"/>
          </w:rPr>
          <w:t xml:space="preserve"> the</w:t>
        </w:r>
      </w:ins>
      <w:ins w:id="10" w:author="felipe" w:date="2026-09-28T10:13:51Z">
        <w:r>
          <w:rPr>
            <w:rFonts w:hint="default"/>
            <w:sz w:val="20"/>
            <w:szCs w:val="20"/>
            <w:lang w:val="es"/>
          </w:rPr>
          <w:t xml:space="preserve"> fog </w:t>
        </w:r>
      </w:ins>
      <w:ins w:id="11" w:author="felipe" w:date="2026-09-28T10:13:52Z">
        <w:r>
          <w:rPr>
            <w:rFonts w:hint="default"/>
            <w:sz w:val="20"/>
            <w:szCs w:val="20"/>
            <w:lang w:val="es"/>
          </w:rPr>
          <w:t>belt</w:t>
        </w:r>
      </w:ins>
      <w:ins w:id="12" w:author="felipe" w:date="2026-09-28T10:13:53Z">
        <w:r>
          <w:rPr>
            <w:rFonts w:hint="default"/>
            <w:sz w:val="20"/>
            <w:szCs w:val="20"/>
            <w:lang w:val="es"/>
          </w:rPr>
          <w:t xml:space="preserve"> (</w:t>
        </w:r>
      </w:ins>
      <w:ins w:id="13" w:author="felipe" w:date="2026-09-28T10:14:04Z">
        <w:r>
          <w:rPr>
            <w:rFonts w:hint="default"/>
            <w:sz w:val="20"/>
            <w:szCs w:val="20"/>
            <w:lang w:val="es"/>
          </w:rPr>
          <w:t>Garc</w:t>
        </w:r>
      </w:ins>
      <w:ins w:id="14" w:author="felipe" w:date="2026-09-28T10:14:05Z">
        <w:r>
          <w:rPr>
            <w:rFonts w:hint="default"/>
            <w:sz w:val="20"/>
            <w:szCs w:val="20"/>
            <w:lang w:val="es"/>
          </w:rPr>
          <w:t xml:space="preserve">ía et </w:t>
        </w:r>
      </w:ins>
      <w:ins w:id="15" w:author="felipe" w:date="2026-09-28T10:14:06Z">
        <w:r>
          <w:rPr>
            <w:rFonts w:hint="default"/>
            <w:sz w:val="20"/>
            <w:szCs w:val="20"/>
            <w:lang w:val="es"/>
          </w:rPr>
          <w:t>al</w:t>
        </w:r>
      </w:ins>
      <w:ins w:id="16" w:author="felipe" w:date="2026-09-28T10:14:07Z">
        <w:r>
          <w:rPr>
            <w:rFonts w:hint="default"/>
            <w:sz w:val="20"/>
            <w:szCs w:val="20"/>
            <w:lang w:val="es"/>
          </w:rPr>
          <w:t>., 2</w:t>
        </w:r>
      </w:ins>
      <w:ins w:id="17" w:author="felipe" w:date="2026-09-28T10:14:08Z">
        <w:r>
          <w:rPr>
            <w:rFonts w:hint="default"/>
            <w:sz w:val="20"/>
            <w:szCs w:val="20"/>
            <w:lang w:val="es"/>
          </w:rPr>
          <w:t>0</w:t>
        </w:r>
      </w:ins>
      <w:ins w:id="18" w:author="felipe" w:date="2026-09-28T10:14:10Z">
        <w:r>
          <w:rPr>
            <w:rFonts w:hint="default"/>
            <w:sz w:val="20"/>
            <w:szCs w:val="20"/>
            <w:lang w:val="es"/>
          </w:rPr>
          <w:t>21</w:t>
        </w:r>
      </w:ins>
      <w:ins w:id="19" w:author="felipe" w:date="2026-09-28T10:14:11Z">
        <w:r>
          <w:rPr>
            <w:rFonts w:hint="default"/>
            <w:sz w:val="20"/>
            <w:szCs w:val="20"/>
            <w:lang w:val="es"/>
          </w:rPr>
          <w:t>;</w:t>
        </w:r>
      </w:ins>
      <w:ins w:id="20" w:author="felipe" w:date="2026-09-28T10:14:12Z">
        <w:r>
          <w:rPr>
            <w:rFonts w:hint="default"/>
            <w:sz w:val="20"/>
            <w:szCs w:val="20"/>
            <w:lang w:val="es"/>
          </w:rPr>
          <w:t xml:space="preserve"> K</w:t>
        </w:r>
      </w:ins>
      <w:ins w:id="21" w:author="felipe" w:date="2026-09-28T10:14:13Z">
        <w:r>
          <w:rPr>
            <w:rFonts w:hint="default"/>
            <w:sz w:val="20"/>
            <w:szCs w:val="20"/>
            <w:lang w:val="es"/>
          </w:rPr>
          <w:t>och e</w:t>
        </w:r>
      </w:ins>
      <w:ins w:id="22" w:author="felipe" w:date="2026-09-28T10:14:14Z">
        <w:r>
          <w:rPr>
            <w:rFonts w:hint="default"/>
            <w:sz w:val="20"/>
            <w:szCs w:val="20"/>
            <w:lang w:val="es"/>
          </w:rPr>
          <w:t xml:space="preserve">t al., </w:t>
        </w:r>
      </w:ins>
      <w:ins w:id="23" w:author="felipe" w:date="2026-09-28T10:14:15Z">
        <w:r>
          <w:rPr>
            <w:rFonts w:hint="default"/>
            <w:sz w:val="20"/>
            <w:szCs w:val="20"/>
            <w:lang w:val="es"/>
          </w:rPr>
          <w:t>20</w:t>
        </w:r>
      </w:ins>
      <w:ins w:id="24" w:author="felipe" w:date="2026-09-28T10:14:16Z">
        <w:r>
          <w:rPr>
            <w:rFonts w:hint="default"/>
            <w:sz w:val="20"/>
            <w:szCs w:val="20"/>
            <w:lang w:val="es"/>
          </w:rPr>
          <w:t>19</w:t>
        </w:r>
      </w:ins>
      <w:ins w:id="25" w:author="felipe" w:date="2026-09-28T10:13:54Z">
        <w:r>
          <w:rPr>
            <w:rFonts w:hint="default"/>
            <w:sz w:val="20"/>
            <w:szCs w:val="20"/>
            <w:lang w:val="es"/>
          </w:rPr>
          <w:t>)</w:t>
        </w:r>
      </w:ins>
      <w:r>
        <w:rPr>
          <w:sz w:val="20"/>
          <w:szCs w:val="20"/>
        </w:rPr>
        <w:t>.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r>
        <w:rPr>
          <w:sz w:val="20"/>
          <w:szCs w:val="20"/>
        </w:rPr>
        <w:fldChar w:fldCharType="begin"/>
      </w:r>
      <w:r>
        <w:rPr>
          <w:sz w:val="20"/>
          <w:szCs w:val="20"/>
        </w:rPr>
        <w:instrText xml:space="preserve"> HYPERLINK \l "fig-oyarbide" \h </w:instrText>
      </w:r>
      <w:r>
        <w:rPr>
          <w:sz w:val="20"/>
          <w:szCs w:val="20"/>
        </w:rPr>
        <w:fldChar w:fldCharType="separate"/>
      </w:r>
      <w:r>
        <w:rPr>
          <w:rStyle w:val="24"/>
          <w:sz w:val="20"/>
          <w:szCs w:val="20"/>
        </w:rPr>
        <w:t>Figure 1</w:t>
      </w:r>
      <w:r>
        <w:rPr>
          <w:rStyle w:val="24"/>
          <w:sz w:val="20"/>
          <w:szCs w:val="20"/>
        </w:rPr>
        <w:fldChar w:fldCharType="end"/>
      </w:r>
      <w:r>
        <w:rPr>
          <w:sz w:val="20"/>
          <w:szCs w:val="20"/>
        </w:rPr>
        <w:t xml:space="preserve">, A). This band ranges from a cloud base as low as ~753 m a.s.l. to a cloud top as high as ~1400 m a.s.l. (Del Río et al. </w:t>
      </w:r>
      <w:del w:id="26" w:author="felipe" w:date="2026-09-28T10:16:08Z">
        <w:r>
          <w:rPr>
            <w:sz w:val="20"/>
            <w:szCs w:val="20"/>
          </w:rPr>
          <w:delText>(</w:delText>
        </w:r>
      </w:del>
      <w:r>
        <w:rPr>
          <w:sz w:val="20"/>
          <w:szCs w:val="20"/>
        </w:rPr>
        <w:t>2021</w:t>
      </w:r>
      <w:del w:id="27" w:author="felipe" w:date="2026-09-28T10:16:06Z">
        <w:r>
          <w:rPr>
            <w:sz w:val="20"/>
            <w:szCs w:val="20"/>
          </w:rPr>
          <w:delText>)</w:delText>
        </w:r>
      </w:del>
      <w:r>
        <w:rPr>
          <w:sz w:val="20"/>
          <w:szCs w:val="20"/>
        </w:rPr>
        <w:t>). Within this gradient, our main station named OYA1211 located on the upper border of Tillandsia landbeckii fields (</w:t>
      </w:r>
      <w:r>
        <w:rPr>
          <w:sz w:val="20"/>
          <w:szCs w:val="20"/>
        </w:rPr>
        <w:fldChar w:fldCharType="begin"/>
      </w:r>
      <w:r>
        <w:rPr>
          <w:sz w:val="20"/>
          <w:szCs w:val="20"/>
        </w:rPr>
        <w:instrText xml:space="preserve"> HYPERLINK \l "fig-oyarbide" \h </w:instrText>
      </w:r>
      <w:r>
        <w:rPr>
          <w:sz w:val="20"/>
          <w:szCs w:val="20"/>
        </w:rPr>
        <w:fldChar w:fldCharType="separate"/>
      </w:r>
      <w:r>
        <w:rPr>
          <w:rStyle w:val="24"/>
          <w:sz w:val="20"/>
          <w:szCs w:val="20"/>
        </w:rPr>
        <w:t>Figure 1</w:t>
      </w:r>
      <w:r>
        <w:rPr>
          <w:rStyle w:val="24"/>
          <w:sz w:val="20"/>
          <w:szCs w:val="20"/>
        </w:rPr>
        <w:fldChar w:fldCharType="end"/>
      </w:r>
      <w:r>
        <w:rPr>
          <w:sz w:val="20"/>
          <w:szCs w:val="20"/>
        </w:rPr>
        <w:t>, C), allowing direct characterization of the atmosphere-biosphere interaction at the same point where the classification protocol is anchored.</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sz w:val="20"/>
                <w:szCs w:val="20"/>
              </w:rPr>
            </w:pPr>
            <w:bookmarkStart w:id="3" w:name="fig-oyarbide"/>
            <w:commentRangeStart w:id="1"/>
            <w:commentRangeStart w:id="2"/>
            <w:commentRangeStart w:id="3"/>
            <w:r>
              <w:rPr>
                <w:sz w:val="20"/>
                <w:szCs w:val="20"/>
              </w:rPr>
              <w:drawing>
                <wp:inline distT="0" distB="0" distL="0" distR="0">
                  <wp:extent cx="5753100" cy="362966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6"/>
                          <a:stretch>
                            <a:fillRect/>
                          </a:stretch>
                        </pic:blipFill>
                        <pic:spPr>
                          <a:xfrm>
                            <a:off x="0" y="0"/>
                            <a:ext cx="5805367" cy="3662793"/>
                          </a:xfrm>
                          <a:prstGeom prst="rect">
                            <a:avLst/>
                          </a:prstGeom>
                          <a:noFill/>
                          <a:ln w="9525">
                            <a:noFill/>
                          </a:ln>
                        </pic:spPr>
                      </pic:pic>
                    </a:graphicData>
                  </a:graphic>
                </wp:inline>
              </w:drawing>
            </w:r>
            <w:commentRangeEnd w:id="1"/>
            <w:r>
              <w:rPr>
                <w:rStyle w:val="16"/>
                <w:sz w:val="20"/>
                <w:szCs w:val="20"/>
              </w:rPr>
              <w:commentReference w:id="1"/>
            </w:r>
            <w:commentRangeEnd w:id="2"/>
            <w:r>
              <w:rPr>
                <w:rStyle w:val="16"/>
                <w:sz w:val="20"/>
                <w:szCs w:val="20"/>
              </w:rPr>
              <w:commentReference w:id="2"/>
            </w:r>
            <w:commentRangeEnd w:id="3"/>
            <w:r>
              <w:commentReference w:id="3"/>
            </w:r>
          </w:p>
          <w:p>
            <w:pPr>
              <w:pStyle w:val="48"/>
              <w:spacing w:before="200"/>
              <w:jc w:val="both"/>
              <w:rPr>
                <w:sz w:val="20"/>
                <w:szCs w:val="20"/>
              </w:rPr>
            </w:pPr>
            <w:r>
              <w:rPr>
                <w:sz w:val="20"/>
                <w:szCs w:val="20"/>
              </w:rPr>
              <w:t>Figure 1: Overview of the study site at Cerro Oyarbide, Atacama Desert, Chile. (A) Satellite image showing a perspective view of the meteorological station topographic transect on Cerro Oyarbide. The blue line connects the stations along the topographic transect. The dotted line traces the dominant fog advection direction indicated. (B) Topographic profile of the transect showing station elevation (z, m a.s.l.) as a function of cumulative along-transect distance (km), illustrating how the stations are distributed across the vertical extent of the marine boundary layer and the stratocumulus fog band. (C) Photograph of station OYA1211, located at the upper border of the Tillandsia landbeckii fields, showing the main instrumentation setup: the visibility sensor (VIS), surface fog collector (SFC), and standard dew collector (SDC), together with the dominant fog and dew input pathways. Inset shows a detail of the VIS sensor mounted on the station mast. (D) Location of the study area within the South American continent, with the red marker indicating the region of interest along the northern Chilean coast.</w:t>
            </w:r>
          </w:p>
          <w:bookmarkEnd w:id="3"/>
        </w:tc>
      </w:tr>
      <w:bookmarkEnd w:id="2"/>
    </w:tbl>
    <w:p>
      <w:pPr>
        <w:pStyle w:val="4"/>
        <w:jc w:val="both"/>
        <w:rPr>
          <w:sz w:val="20"/>
          <w:szCs w:val="20"/>
        </w:rPr>
      </w:pPr>
      <w:bookmarkStart w:id="4" w:name="data-and-instrumentation"/>
      <w:r>
        <w:rPr>
          <w:sz w:val="20"/>
          <w:szCs w:val="20"/>
        </w:rPr>
        <w:t>Data and instrumentation</w:t>
      </w:r>
    </w:p>
    <w:p>
      <w:pPr>
        <w:pStyle w:val="26"/>
        <w:jc w:val="both"/>
        <w:rPr>
          <w:sz w:val="20"/>
          <w:szCs w:val="20"/>
        </w:rPr>
      </w:pPr>
      <w:r>
        <w:rPr>
          <w:sz w:val="20"/>
          <w:szCs w:val="20"/>
        </w:rPr>
        <w:t>The dataset used in this study spans the full year 2024 at a 10-minute interval, includes air temperature (°C), relative humidity (%), wind speed (m/s) and direction (°), horizontal visibility (m), air pressure (Pa), and fog and dew collection (mL/m²). Data availability varies by station and sensor (</w:t>
      </w:r>
      <w:r>
        <w:rPr>
          <w:sz w:val="20"/>
          <w:szCs w:val="20"/>
        </w:rPr>
        <w:fldChar w:fldCharType="begin"/>
      </w:r>
      <w:r>
        <w:rPr>
          <w:sz w:val="20"/>
          <w:szCs w:val="20"/>
        </w:rPr>
        <w:instrText xml:space="preserve"> HYPERLINK \l "tbl-availability" \h </w:instrText>
      </w:r>
      <w:r>
        <w:rPr>
          <w:sz w:val="20"/>
          <w:szCs w:val="20"/>
        </w:rPr>
        <w:fldChar w:fldCharType="separate"/>
      </w:r>
      <w:r>
        <w:rPr>
          <w:rStyle w:val="24"/>
          <w:sz w:val="20"/>
          <w:szCs w:val="20"/>
        </w:rPr>
        <w:t>Table 1</w:t>
      </w:r>
      <w:r>
        <w:rPr>
          <w:rStyle w:val="24"/>
          <w:sz w:val="20"/>
          <w:szCs w:val="20"/>
        </w:rPr>
        <w:fldChar w:fldCharType="end"/>
      </w:r>
      <w:r>
        <w:rPr>
          <w:sz w:val="20"/>
          <w:szCs w:val="20"/>
        </w:rPr>
        <w:t>), for example, stations OYA518, OYA780, OYA1128, and OYA1211 maintain almost complete continuity throughout 2024, while station OYA1069 shows critical gaps due to sensor malfunction, including total data loss of temperature and only 16.7% availability in relative humidity and wind direction, which exclude it from most subsequent thermodynamic gradients. Among these stations, OYA1211 is the most fully equipped of the entire transect and including, the standard dew collector (SDC), the standard fog collector (SFC), and the horizontal visibility sensor (</w:t>
      </w:r>
      <w:r>
        <w:rPr>
          <w:sz w:val="20"/>
          <w:szCs w:val="20"/>
        </w:rPr>
        <w:fldChar w:fldCharType="begin"/>
      </w:r>
      <w:r>
        <w:rPr>
          <w:sz w:val="20"/>
          <w:szCs w:val="20"/>
        </w:rPr>
        <w:instrText xml:space="preserve"> HYPERLINK \l "fig-oyarbide" \h </w:instrText>
      </w:r>
      <w:r>
        <w:rPr>
          <w:sz w:val="20"/>
          <w:szCs w:val="20"/>
        </w:rPr>
        <w:fldChar w:fldCharType="separate"/>
      </w:r>
      <w:r>
        <w:rPr>
          <w:rStyle w:val="24"/>
          <w:sz w:val="20"/>
          <w:szCs w:val="20"/>
        </w:rPr>
        <w:t>Figure 1</w:t>
      </w:r>
      <w:r>
        <w:rPr>
          <w:rStyle w:val="24"/>
          <w:sz w:val="20"/>
          <w:szCs w:val="20"/>
        </w:rPr>
        <w:fldChar w:fldCharType="end"/>
      </w:r>
      <w:r>
        <w:rPr>
          <w:sz w:val="20"/>
          <w:szCs w:val="20"/>
        </w:rPr>
        <w:t>, C).</w:t>
      </w:r>
    </w:p>
    <w:p>
      <w:pPr>
        <w:pStyle w:val="3"/>
        <w:jc w:val="both"/>
        <w:rPr>
          <w:sz w:val="20"/>
          <w:szCs w:val="20"/>
        </w:rPr>
      </w:pPr>
      <w:r>
        <w:rPr>
          <w:sz w:val="20"/>
          <w:szCs w:val="20"/>
        </w:rPr>
        <w:t>The main observations used in this study are the fog and dew collectors and the visibility sensor. The fog collector (SFC) is a 1 m² standard mesh that intercepts fog droplets (0.2 to 30 μm) advected by the wind. Droplets grow by coalescence and precipitate along the mesh into tipping bucket pluviometer, which measure the water volumes per time (Schemenauer &amp; Cereceda, 1994). The dew collector (SDC) is a 1 m² tilted surface where water vapor condenses once surface temperature drops below the dew point; the water then flows by gravity into a tipping bucket pluviometer (Muselli et al., 2002). The SFC faces the prevailing fog advection from the ocean</w:t>
      </w:r>
      <w:ins w:id="28" w:author="felipe" w:date="2026-09-28T10:23:20Z">
        <w:r>
          <w:rPr>
            <w:rFonts w:hint="default"/>
            <w:sz w:val="20"/>
            <w:szCs w:val="20"/>
            <w:lang w:val="es"/>
          </w:rPr>
          <w:t xml:space="preserve"> </w:t>
        </w:r>
      </w:ins>
      <w:ins w:id="29" w:author="felipe" w:date="2026-09-28T10:23:21Z">
        <w:r>
          <w:rPr>
            <w:rFonts w:hint="default"/>
            <w:sz w:val="20"/>
            <w:szCs w:val="20"/>
            <w:lang w:val="es"/>
          </w:rPr>
          <w:t>(</w:t>
        </w:r>
      </w:ins>
      <w:ins w:id="30" w:author="felipe" w:date="2026-09-28T10:23:22Z">
        <w:r>
          <w:rPr>
            <w:rFonts w:hint="default"/>
            <w:sz w:val="20"/>
            <w:szCs w:val="20"/>
            <w:lang w:val="es"/>
          </w:rPr>
          <w:t>w</w:t>
        </w:r>
      </w:ins>
      <w:ins w:id="31" w:author="felipe" w:date="2026-09-28T10:23:23Z">
        <w:r>
          <w:rPr>
            <w:rFonts w:hint="default"/>
            <w:sz w:val="20"/>
            <w:szCs w:val="20"/>
            <w:lang w:val="es"/>
          </w:rPr>
          <w:t>est</w:t>
        </w:r>
      </w:ins>
      <w:ins w:id="32" w:author="felipe" w:date="2026-09-28T10:23:21Z">
        <w:r>
          <w:rPr>
            <w:rFonts w:hint="default"/>
            <w:sz w:val="20"/>
            <w:szCs w:val="20"/>
            <w:lang w:val="es"/>
          </w:rPr>
          <w:t>)</w:t>
        </w:r>
      </w:ins>
      <w:r>
        <w:rPr>
          <w:sz w:val="20"/>
          <w:szCs w:val="20"/>
        </w:rPr>
        <w:t>, the SDC captures vertical condensation toward the surface, and the visibility sensor is aligned perpendicular to the SFC for undisturbed optical measurements</w:t>
      </w:r>
      <w:del w:id="33" w:author="felipe" w:date="2026-09-28T10:23:44Z">
        <w:r>
          <w:rPr>
            <w:sz w:val="20"/>
            <w:szCs w:val="20"/>
          </w:rPr>
          <w:delText>.</w:delText>
        </w:r>
      </w:del>
      <w:del w:id="34" w:author="felipe" w:date="2026-09-28T10:23:43Z">
        <w:r>
          <w:rPr>
            <w:sz w:val="20"/>
            <w:szCs w:val="20"/>
          </w:rPr>
          <w:delText xml:space="preserve"> </w:delText>
        </w:r>
      </w:del>
      <w:del w:id="35" w:author="felipe" w:date="2026-09-28T10:23:43Z">
        <w:r>
          <w:rPr>
            <w:i/>
            <w:iCs/>
            <w:sz w:val="20"/>
            <w:szCs w:val="20"/>
          </w:rPr>
          <w:delText>Tillandsia landbeckii</w:delText>
        </w:r>
      </w:del>
      <w:del w:id="36" w:author="felipe" w:date="2026-09-28T10:23:43Z">
        <w:r>
          <w:rPr>
            <w:sz w:val="20"/>
            <w:szCs w:val="20"/>
          </w:rPr>
          <w:delText xml:space="preserve"> patches surround the instrumentation in the foreground (</w:delText>
        </w:r>
      </w:del>
      <w:del w:id="37" w:author="felipe" w:date="2026-09-28T10:23:43Z">
        <w:r>
          <w:rPr>
            <w:sz w:val="20"/>
            <w:szCs w:val="20"/>
          </w:rPr>
          <w:fldChar w:fldCharType="begin"/>
        </w:r>
      </w:del>
      <w:del w:id="38" w:author="felipe" w:date="2026-09-28T10:23:43Z">
        <w:r>
          <w:rPr>
            <w:sz w:val="20"/>
            <w:szCs w:val="20"/>
          </w:rPr>
          <w:delInstrText xml:space="preserve"> HYPERLINK \l "fig-oyarbide" \h </w:delInstrText>
        </w:r>
      </w:del>
      <w:del w:id="39" w:author="felipe" w:date="2026-09-28T10:23:43Z">
        <w:r>
          <w:rPr>
            <w:sz w:val="20"/>
            <w:szCs w:val="20"/>
          </w:rPr>
          <w:fldChar w:fldCharType="separate"/>
        </w:r>
      </w:del>
      <w:del w:id="40" w:author="felipe" w:date="2026-09-28T10:23:43Z">
        <w:r>
          <w:rPr>
            <w:rStyle w:val="24"/>
            <w:sz w:val="20"/>
            <w:szCs w:val="20"/>
          </w:rPr>
          <w:delText>Figure 1</w:delText>
        </w:r>
      </w:del>
      <w:del w:id="41" w:author="felipe" w:date="2026-09-28T10:23:43Z">
        <w:r>
          <w:rPr>
            <w:rStyle w:val="24"/>
            <w:sz w:val="20"/>
            <w:szCs w:val="20"/>
          </w:rPr>
          <w:fldChar w:fldCharType="end"/>
        </w:r>
      </w:del>
      <w:del w:id="42" w:author="felipe" w:date="2026-09-28T10:23:43Z">
        <w:r>
          <w:rPr>
            <w:sz w:val="20"/>
            <w:szCs w:val="20"/>
          </w:rPr>
          <w:delText>, C)</w:delText>
        </w:r>
      </w:del>
      <w:r>
        <w:rPr>
          <w:sz w:val="20"/>
          <w:szCs w:val="20"/>
        </w:rPr>
        <w:t>.</w:t>
      </w:r>
    </w:p>
    <w:p>
      <w:pPr>
        <w:pStyle w:val="3"/>
        <w:jc w:val="both"/>
        <w:rPr>
          <w:sz w:val="20"/>
          <w:szCs w:val="20"/>
        </w:rPr>
      </w:pPr>
      <w:r>
        <w:rPr>
          <w:sz w:val="20"/>
          <w:szCs w:val="20"/>
        </w:rP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whose methodology can be found in Del Río et al. (2021) and Espinoza et al. (2024). These satellite data is used as a secondary layer and for regional validation of the fog or dew event classification criteria. All data have been processed in R using the tidyverse ecosystem and under version control on GitHub (Muñoz-Narbona et al., 2026).</w:t>
      </w:r>
    </w:p>
    <w:tbl>
      <w:tblPr>
        <w:tblStyle w:val="44"/>
        <w:tblW w:w="5000" w:type="pct"/>
        <w:tblInd w:w="0" w:type="dxa"/>
        <w:tblLayout w:type="fixed"/>
        <w:tblCellMar>
          <w:top w:w="0" w:type="dxa"/>
          <w:left w:w="108" w:type="dxa"/>
          <w:bottom w:w="0" w:type="dxa"/>
          <w:right w:w="108" w:type="dxa"/>
        </w:tblCellMar>
      </w:tblPr>
      <w:tblGrid>
        <w:gridCol w:w="9576"/>
      </w:tblGrid>
      <w:tr>
        <w:tc>
          <w:tcPr>
            <w:tcW w:w="7920" w:type="dxa"/>
          </w:tcPr>
          <w:p>
            <w:pPr>
              <w:pStyle w:val="48"/>
              <w:spacing w:before="200"/>
              <w:jc w:val="both"/>
              <w:rPr>
                <w:sz w:val="20"/>
                <w:szCs w:val="20"/>
              </w:rPr>
            </w:pPr>
            <w:bookmarkStart w:id="5" w:name="tbl-availability"/>
            <w:r>
              <w:rPr>
                <w:sz w:val="20"/>
                <w:szCs w:val="20"/>
              </w:rPr>
              <w:t>Table 1: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44"/>
              <w:tblW w:w="4778" w:type="pct"/>
              <w:tblInd w:w="0" w:type="dxa"/>
              <w:tblLayout w:type="fixed"/>
              <w:tblCellMar>
                <w:top w:w="0" w:type="dxa"/>
                <w:left w:w="108" w:type="dxa"/>
                <w:bottom w:w="0" w:type="dxa"/>
                <w:right w:w="108" w:type="dxa"/>
              </w:tblCellMar>
            </w:tblPr>
            <w:tblGrid>
              <w:gridCol w:w="1143"/>
              <w:gridCol w:w="851"/>
              <w:gridCol w:w="852"/>
              <w:gridCol w:w="852"/>
              <w:gridCol w:w="851"/>
              <w:gridCol w:w="852"/>
              <w:gridCol w:w="851"/>
              <w:gridCol w:w="852"/>
              <w:gridCol w:w="990"/>
              <w:gridCol w:w="853"/>
            </w:tblGrid>
            <w:tr>
              <w:trPr>
                <w:tblHeader/>
              </w:trPr>
              <w:tc>
                <w:tcPr>
                  <w:tcW w:w="1147" w:type="dxa"/>
                  <w:tcBorders>
                    <w:bottom w:val="single" w:color="auto" w:sz="0" w:space="0"/>
                    <w:insideH w:val="single" w:sz="0" w:space="0"/>
                  </w:tcBorders>
                  <w:vAlign w:val="bottom"/>
                </w:tcPr>
                <w:p>
                  <w:pPr>
                    <w:pStyle w:val="27"/>
                    <w:jc w:val="both"/>
                    <w:rPr>
                      <w:sz w:val="20"/>
                      <w:szCs w:val="20"/>
                    </w:rPr>
                  </w:pPr>
                  <w:r>
                    <w:rPr>
                      <w:sz w:val="20"/>
                      <w:szCs w:val="20"/>
                    </w:rPr>
                    <w:t>Station</w:t>
                  </w:r>
                </w:p>
              </w:tc>
              <w:tc>
                <w:tcPr>
                  <w:tcW w:w="851" w:type="dxa"/>
                  <w:tcBorders>
                    <w:bottom w:val="single" w:color="auto" w:sz="0" w:space="0"/>
                    <w:insideH w:val="single" w:sz="0" w:space="0"/>
                  </w:tcBorders>
                  <w:vAlign w:val="bottom"/>
                </w:tcPr>
                <w:p>
                  <w:pPr>
                    <w:pStyle w:val="27"/>
                    <w:jc w:val="both"/>
                    <w:rPr>
                      <w:sz w:val="20"/>
                      <w:szCs w:val="20"/>
                    </w:rPr>
                  </w:pPr>
                  <w:r>
                    <w:rPr>
                      <w:sz w:val="20"/>
                      <w:szCs w:val="20"/>
                    </w:rPr>
                    <w:t>Dist (km)</w:t>
                  </w:r>
                </w:p>
              </w:tc>
              <w:tc>
                <w:tcPr>
                  <w:tcW w:w="851" w:type="dxa"/>
                  <w:tcBorders>
                    <w:bottom w:val="single" w:color="auto" w:sz="0" w:space="0"/>
                    <w:insideH w:val="single" w:sz="0" w:space="0"/>
                  </w:tcBorders>
                  <w:vAlign w:val="bottom"/>
                </w:tcPr>
                <w:p>
                  <w:pPr>
                    <w:pStyle w:val="27"/>
                    <w:jc w:val="both"/>
                    <w:rPr>
                      <w:sz w:val="20"/>
                      <w:szCs w:val="20"/>
                    </w:rPr>
                  </w:pPr>
                  <w:r>
                    <w:rPr>
                      <w:sz w:val="20"/>
                      <w:szCs w:val="20"/>
                    </w:rPr>
                    <w:t>Temp (°C)</w:t>
                  </w:r>
                </w:p>
              </w:tc>
              <w:tc>
                <w:tcPr>
                  <w:tcW w:w="851" w:type="dxa"/>
                  <w:tcBorders>
                    <w:bottom w:val="single" w:color="auto" w:sz="0" w:space="0"/>
                    <w:insideH w:val="single" w:sz="0" w:space="0"/>
                  </w:tcBorders>
                  <w:vAlign w:val="bottom"/>
                </w:tcPr>
                <w:p>
                  <w:pPr>
                    <w:pStyle w:val="27"/>
                    <w:jc w:val="both"/>
                    <w:rPr>
                      <w:sz w:val="20"/>
                      <w:szCs w:val="20"/>
                    </w:rPr>
                  </w:pPr>
                  <w:r>
                    <w:rPr>
                      <w:sz w:val="20"/>
                      <w:szCs w:val="20"/>
                    </w:rPr>
                    <w:t>HR (%)</w:t>
                  </w:r>
                </w:p>
              </w:tc>
              <w:tc>
                <w:tcPr>
                  <w:tcW w:w="850" w:type="dxa"/>
                  <w:tcBorders>
                    <w:bottom w:val="single" w:color="auto" w:sz="0" w:space="0"/>
                    <w:insideH w:val="single" w:sz="0" w:space="0"/>
                  </w:tcBorders>
                  <w:vAlign w:val="bottom"/>
                </w:tcPr>
                <w:p>
                  <w:pPr>
                    <w:pStyle w:val="27"/>
                    <w:jc w:val="both"/>
                    <w:rPr>
                      <w:sz w:val="20"/>
                      <w:szCs w:val="20"/>
                    </w:rPr>
                  </w:pPr>
                  <w:r>
                    <w:rPr>
                      <w:sz w:val="20"/>
                      <w:szCs w:val="20"/>
                    </w:rPr>
                    <w:t>U (m/s)</w:t>
                  </w:r>
                </w:p>
              </w:tc>
              <w:tc>
                <w:tcPr>
                  <w:tcW w:w="851" w:type="dxa"/>
                  <w:tcBorders>
                    <w:bottom w:val="single" w:color="auto" w:sz="0" w:space="0"/>
                    <w:insideH w:val="single" w:sz="0" w:space="0"/>
                  </w:tcBorders>
                  <w:vAlign w:val="bottom"/>
                </w:tcPr>
                <w:p>
                  <w:pPr>
                    <w:pStyle w:val="27"/>
                    <w:jc w:val="both"/>
                    <w:rPr>
                      <w:sz w:val="20"/>
                      <w:szCs w:val="20"/>
                    </w:rPr>
                  </w:pPr>
                  <w:r>
                    <w:rPr>
                      <w:sz w:val="20"/>
                      <w:szCs w:val="20"/>
                    </w:rPr>
                    <w:t>DV (°)</w:t>
                  </w:r>
                </w:p>
              </w:tc>
              <w:tc>
                <w:tcPr>
                  <w:tcW w:w="850" w:type="dxa"/>
                  <w:tcBorders>
                    <w:bottom w:val="single" w:color="auto" w:sz="0" w:space="0"/>
                    <w:insideH w:val="single" w:sz="0" w:space="0"/>
                  </w:tcBorders>
                  <w:vAlign w:val="bottom"/>
                </w:tcPr>
                <w:p>
                  <w:pPr>
                    <w:pStyle w:val="27"/>
                    <w:jc w:val="both"/>
                    <w:rPr>
                      <w:sz w:val="20"/>
                      <w:szCs w:val="20"/>
                    </w:rPr>
                  </w:pPr>
                  <w:r>
                    <w:rPr>
                      <w:sz w:val="20"/>
                      <w:szCs w:val="20"/>
                    </w:rPr>
                    <w:t>Fog (mm)</w:t>
                  </w:r>
                </w:p>
              </w:tc>
              <w:tc>
                <w:tcPr>
                  <w:tcW w:w="851" w:type="dxa"/>
                  <w:tcBorders>
                    <w:bottom w:val="single" w:color="auto" w:sz="0" w:space="0"/>
                    <w:insideH w:val="single" w:sz="0" w:space="0"/>
                  </w:tcBorders>
                  <w:vAlign w:val="bottom"/>
                </w:tcPr>
                <w:p>
                  <w:pPr>
                    <w:pStyle w:val="27"/>
                    <w:jc w:val="both"/>
                    <w:rPr>
                      <w:sz w:val="20"/>
                      <w:szCs w:val="20"/>
                    </w:rPr>
                  </w:pPr>
                  <w:r>
                    <w:rPr>
                      <w:sz w:val="20"/>
                      <w:szCs w:val="20"/>
                    </w:rPr>
                    <w:t>Pres (hPa)</w:t>
                  </w:r>
                </w:p>
              </w:tc>
              <w:tc>
                <w:tcPr>
                  <w:tcW w:w="991" w:type="dxa"/>
                  <w:tcBorders>
                    <w:bottom w:val="single" w:color="auto" w:sz="0" w:space="0"/>
                    <w:insideH w:val="single" w:sz="0" w:space="0"/>
                  </w:tcBorders>
                  <w:vAlign w:val="bottom"/>
                </w:tcPr>
                <w:p>
                  <w:pPr>
                    <w:pStyle w:val="27"/>
                    <w:jc w:val="both"/>
                    <w:rPr>
                      <w:sz w:val="20"/>
                      <w:szCs w:val="20"/>
                    </w:rPr>
                  </w:pPr>
                  <w:r>
                    <w:rPr>
                      <w:sz w:val="20"/>
                      <w:szCs w:val="20"/>
                    </w:rPr>
                    <w:t>Vis (m)</w:t>
                  </w:r>
                </w:p>
              </w:tc>
              <w:tc>
                <w:tcPr>
                  <w:tcW w:w="852" w:type="dxa"/>
                  <w:tcBorders>
                    <w:bottom w:val="single" w:color="auto" w:sz="0" w:space="0"/>
                    <w:insideH w:val="single" w:sz="0" w:space="0"/>
                  </w:tcBorders>
                  <w:vAlign w:val="bottom"/>
                </w:tcPr>
                <w:p>
                  <w:pPr>
                    <w:pStyle w:val="27"/>
                    <w:jc w:val="both"/>
                    <w:rPr>
                      <w:sz w:val="20"/>
                      <w:szCs w:val="20"/>
                    </w:rPr>
                  </w:pPr>
                  <w:r>
                    <w:rPr>
                      <w:sz w:val="20"/>
                      <w:szCs w:val="20"/>
                    </w:rPr>
                    <w:t>Dew (mm)</w:t>
                  </w:r>
                </w:p>
              </w:tc>
            </w:tr>
            <w:tr>
              <w:tc>
                <w:tcPr>
                  <w:tcW w:w="1147" w:type="dxa"/>
                </w:tcPr>
                <w:p>
                  <w:pPr>
                    <w:pStyle w:val="27"/>
                    <w:jc w:val="both"/>
                    <w:rPr>
                      <w:sz w:val="20"/>
                      <w:szCs w:val="20"/>
                    </w:rPr>
                  </w:pPr>
                  <w:commentRangeStart w:id="4"/>
                  <w:r>
                    <w:rPr>
                      <w:b/>
                      <w:bCs/>
                      <w:sz w:val="20"/>
                      <w:szCs w:val="20"/>
                    </w:rPr>
                    <w:t>AEROP</w:t>
                  </w:r>
                  <w:commentRangeEnd w:id="4"/>
                  <w:r>
                    <w:commentReference w:id="4"/>
                  </w:r>
                  <w:r>
                    <w:rPr>
                      <w:b/>
                      <w:bCs/>
                      <w:sz w:val="20"/>
                      <w:szCs w:val="20"/>
                    </w:rPr>
                    <w:t>.</w:t>
                  </w:r>
                </w:p>
              </w:tc>
              <w:tc>
                <w:tcPr>
                  <w:tcW w:w="851" w:type="dxa"/>
                </w:tcPr>
                <w:p>
                  <w:pPr>
                    <w:pStyle w:val="27"/>
                    <w:jc w:val="both"/>
                    <w:rPr>
                      <w:sz w:val="20"/>
                      <w:szCs w:val="20"/>
                    </w:rPr>
                  </w:pPr>
                  <w:r>
                    <w:rPr>
                      <w:sz w:val="20"/>
                      <w:szCs w:val="20"/>
                    </w:rPr>
                    <w:t>0.86</w:t>
                  </w:r>
                </w:p>
              </w:tc>
              <w:tc>
                <w:tcPr>
                  <w:tcW w:w="851" w:type="dxa"/>
                </w:tcPr>
                <w:p>
                  <w:pPr>
                    <w:pStyle w:val="27"/>
                    <w:jc w:val="both"/>
                    <w:rPr>
                      <w:sz w:val="20"/>
                      <w:szCs w:val="20"/>
                    </w:rPr>
                  </w:pPr>
                  <w:r>
                    <w:rPr>
                      <w:sz w:val="20"/>
                      <w:szCs w:val="20"/>
                    </w:rPr>
                    <w:t>100%</w:t>
                  </w:r>
                </w:p>
              </w:tc>
              <w:tc>
                <w:tcPr>
                  <w:tcW w:w="851" w:type="dxa"/>
                </w:tcPr>
                <w:p>
                  <w:pPr>
                    <w:pStyle w:val="27"/>
                    <w:jc w:val="both"/>
                    <w:rPr>
                      <w:sz w:val="20"/>
                      <w:szCs w:val="20"/>
                    </w:rPr>
                  </w:pPr>
                  <w:r>
                    <w:rPr>
                      <w:sz w:val="20"/>
                      <w:szCs w:val="20"/>
                    </w:rPr>
                    <w:t>100%</w:t>
                  </w:r>
                </w:p>
              </w:tc>
              <w:tc>
                <w:tcPr>
                  <w:tcW w:w="850" w:type="dxa"/>
                </w:tcPr>
                <w:p>
                  <w:pPr>
                    <w:pStyle w:val="27"/>
                    <w:jc w:val="both"/>
                    <w:rPr>
                      <w:sz w:val="20"/>
                      <w:szCs w:val="20"/>
                    </w:rPr>
                  </w:pPr>
                  <w:r>
                    <w:rPr>
                      <w:sz w:val="20"/>
                      <w:szCs w:val="20"/>
                    </w:rPr>
                    <w:t>100%</w:t>
                  </w:r>
                </w:p>
              </w:tc>
              <w:tc>
                <w:tcPr>
                  <w:tcW w:w="851" w:type="dxa"/>
                </w:tcPr>
                <w:p>
                  <w:pPr>
                    <w:pStyle w:val="27"/>
                    <w:jc w:val="both"/>
                    <w:rPr>
                      <w:sz w:val="20"/>
                      <w:szCs w:val="20"/>
                    </w:rPr>
                  </w:pPr>
                  <w:r>
                    <w:rPr>
                      <w:sz w:val="20"/>
                      <w:szCs w:val="20"/>
                    </w:rPr>
                    <w:t>100%</w:t>
                  </w:r>
                </w:p>
              </w:tc>
              <w:tc>
                <w:tcPr>
                  <w:tcW w:w="850" w:type="dxa"/>
                </w:tcPr>
                <w:p>
                  <w:pPr>
                    <w:pStyle w:val="27"/>
                    <w:jc w:val="both"/>
                    <w:rPr>
                      <w:sz w:val="20"/>
                      <w:szCs w:val="20"/>
                    </w:rPr>
                  </w:pPr>
                  <w:r>
                    <w:rPr>
                      <w:sz w:val="20"/>
                      <w:szCs w:val="20"/>
                    </w:rPr>
                    <w:t>–</w:t>
                  </w:r>
                </w:p>
              </w:tc>
              <w:tc>
                <w:tcPr>
                  <w:tcW w:w="851" w:type="dxa"/>
                </w:tcPr>
                <w:p>
                  <w:pPr>
                    <w:pStyle w:val="27"/>
                    <w:jc w:val="both"/>
                    <w:rPr>
                      <w:sz w:val="20"/>
                      <w:szCs w:val="20"/>
                    </w:rPr>
                  </w:pPr>
                  <w:r>
                    <w:rPr>
                      <w:sz w:val="20"/>
                      <w:szCs w:val="20"/>
                    </w:rPr>
                    <w:t>100%</w:t>
                  </w:r>
                </w:p>
              </w:tc>
              <w:tc>
                <w:tcPr>
                  <w:tcW w:w="991" w:type="dxa"/>
                </w:tcPr>
                <w:p>
                  <w:pPr>
                    <w:pStyle w:val="27"/>
                    <w:jc w:val="both"/>
                    <w:rPr>
                      <w:sz w:val="20"/>
                      <w:szCs w:val="20"/>
                    </w:rPr>
                  </w:pPr>
                  <w:r>
                    <w:rPr>
                      <w:sz w:val="20"/>
                      <w:szCs w:val="20"/>
                    </w:rPr>
                    <w:t>0%</w:t>
                  </w:r>
                </w:p>
              </w:tc>
              <w:tc>
                <w:tcPr>
                  <w:tcW w:w="852" w:type="dxa"/>
                </w:tcPr>
                <w:p>
                  <w:pPr>
                    <w:pStyle w:val="27"/>
                    <w:jc w:val="both"/>
                    <w:rPr>
                      <w:sz w:val="20"/>
                      <w:szCs w:val="20"/>
                    </w:rPr>
                  </w:pPr>
                  <w:r>
                    <w:rPr>
                      <w:sz w:val="20"/>
                      <w:szCs w:val="20"/>
                    </w:rPr>
                    <w:t>–</w:t>
                  </w:r>
                </w:p>
              </w:tc>
            </w:tr>
            <w:tr>
              <w:tc>
                <w:tcPr>
                  <w:tcW w:w="1147" w:type="dxa"/>
                </w:tcPr>
                <w:p>
                  <w:pPr>
                    <w:pStyle w:val="27"/>
                    <w:jc w:val="both"/>
                    <w:rPr>
                      <w:sz w:val="20"/>
                      <w:szCs w:val="20"/>
                    </w:rPr>
                  </w:pPr>
                  <w:r>
                    <w:rPr>
                      <w:b/>
                      <w:bCs/>
                      <w:sz w:val="20"/>
                      <w:szCs w:val="20"/>
                    </w:rPr>
                    <w:t>OYA518</w:t>
                  </w:r>
                </w:p>
              </w:tc>
              <w:tc>
                <w:tcPr>
                  <w:tcW w:w="851" w:type="dxa"/>
                </w:tcPr>
                <w:p>
                  <w:pPr>
                    <w:pStyle w:val="27"/>
                    <w:jc w:val="both"/>
                    <w:rPr>
                      <w:sz w:val="20"/>
                      <w:szCs w:val="20"/>
                    </w:rPr>
                  </w:pPr>
                  <w:r>
                    <w:rPr>
                      <w:sz w:val="20"/>
                      <w:szCs w:val="20"/>
                    </w:rPr>
                    <w:t>4.18</w:t>
                  </w:r>
                </w:p>
              </w:tc>
              <w:tc>
                <w:tcPr>
                  <w:tcW w:w="851" w:type="dxa"/>
                </w:tcPr>
                <w:p>
                  <w:pPr>
                    <w:pStyle w:val="27"/>
                    <w:jc w:val="both"/>
                    <w:rPr>
                      <w:sz w:val="20"/>
                      <w:szCs w:val="20"/>
                    </w:rPr>
                  </w:pPr>
                  <w:r>
                    <w:rPr>
                      <w:sz w:val="20"/>
                      <w:szCs w:val="20"/>
                    </w:rPr>
                    <w:t>99%</w:t>
                  </w:r>
                </w:p>
              </w:tc>
              <w:tc>
                <w:tcPr>
                  <w:tcW w:w="851" w:type="dxa"/>
                </w:tcPr>
                <w:p>
                  <w:pPr>
                    <w:pStyle w:val="27"/>
                    <w:jc w:val="both"/>
                    <w:rPr>
                      <w:sz w:val="20"/>
                      <w:szCs w:val="20"/>
                    </w:rPr>
                  </w:pPr>
                  <w:r>
                    <w:rPr>
                      <w:sz w:val="20"/>
                      <w:szCs w:val="20"/>
                    </w:rPr>
                    <w:t>99%</w:t>
                  </w:r>
                </w:p>
              </w:tc>
              <w:tc>
                <w:tcPr>
                  <w:tcW w:w="850" w:type="dxa"/>
                </w:tcPr>
                <w:p>
                  <w:pPr>
                    <w:pStyle w:val="27"/>
                    <w:jc w:val="both"/>
                    <w:rPr>
                      <w:sz w:val="20"/>
                      <w:szCs w:val="20"/>
                    </w:rPr>
                  </w:pPr>
                  <w:r>
                    <w:rPr>
                      <w:sz w:val="20"/>
                      <w:szCs w:val="20"/>
                    </w:rPr>
                    <w:t>97%</w:t>
                  </w:r>
                </w:p>
              </w:tc>
              <w:tc>
                <w:tcPr>
                  <w:tcW w:w="851" w:type="dxa"/>
                </w:tcPr>
                <w:p>
                  <w:pPr>
                    <w:pStyle w:val="27"/>
                    <w:jc w:val="both"/>
                    <w:rPr>
                      <w:sz w:val="20"/>
                      <w:szCs w:val="20"/>
                    </w:rPr>
                  </w:pPr>
                  <w:r>
                    <w:rPr>
                      <w:sz w:val="20"/>
                      <w:szCs w:val="20"/>
                    </w:rPr>
                    <w:t>99%</w:t>
                  </w:r>
                </w:p>
              </w:tc>
              <w:tc>
                <w:tcPr>
                  <w:tcW w:w="850" w:type="dxa"/>
                </w:tcPr>
                <w:p>
                  <w:pPr>
                    <w:pStyle w:val="27"/>
                    <w:jc w:val="both"/>
                    <w:rPr>
                      <w:sz w:val="20"/>
                      <w:szCs w:val="20"/>
                    </w:rPr>
                  </w:pPr>
                  <w:r>
                    <w:rPr>
                      <w:sz w:val="20"/>
                      <w:szCs w:val="20"/>
                    </w:rPr>
                    <w:t>99%</w:t>
                  </w:r>
                </w:p>
              </w:tc>
              <w:tc>
                <w:tcPr>
                  <w:tcW w:w="851" w:type="dxa"/>
                </w:tcPr>
                <w:p>
                  <w:pPr>
                    <w:pStyle w:val="27"/>
                    <w:jc w:val="both"/>
                    <w:rPr>
                      <w:sz w:val="20"/>
                      <w:szCs w:val="20"/>
                    </w:rPr>
                  </w:pPr>
                  <w:r>
                    <w:rPr>
                      <w:sz w:val="20"/>
                      <w:szCs w:val="20"/>
                    </w:rPr>
                    <w:t>99%</w:t>
                  </w:r>
                </w:p>
              </w:tc>
              <w:tc>
                <w:tcPr>
                  <w:tcW w:w="991" w:type="dxa"/>
                </w:tcPr>
                <w:p>
                  <w:pPr>
                    <w:pStyle w:val="27"/>
                    <w:jc w:val="both"/>
                    <w:rPr>
                      <w:sz w:val="20"/>
                      <w:szCs w:val="20"/>
                    </w:rPr>
                  </w:pPr>
                  <w:r>
                    <w:rPr>
                      <w:sz w:val="20"/>
                      <w:szCs w:val="20"/>
                    </w:rPr>
                    <w:t>0%</w:t>
                  </w:r>
                </w:p>
              </w:tc>
              <w:tc>
                <w:tcPr>
                  <w:tcW w:w="852" w:type="dxa"/>
                </w:tcPr>
                <w:p>
                  <w:pPr>
                    <w:pStyle w:val="27"/>
                    <w:jc w:val="both"/>
                    <w:rPr>
                      <w:sz w:val="20"/>
                      <w:szCs w:val="20"/>
                    </w:rPr>
                  </w:pPr>
                  <w:r>
                    <w:rPr>
                      <w:sz w:val="20"/>
                      <w:szCs w:val="20"/>
                    </w:rPr>
                    <w:t>–</w:t>
                  </w:r>
                </w:p>
              </w:tc>
            </w:tr>
            <w:tr>
              <w:tc>
                <w:tcPr>
                  <w:tcW w:w="1147" w:type="dxa"/>
                </w:tcPr>
                <w:p>
                  <w:pPr>
                    <w:pStyle w:val="27"/>
                    <w:jc w:val="both"/>
                    <w:rPr>
                      <w:sz w:val="20"/>
                      <w:szCs w:val="20"/>
                    </w:rPr>
                  </w:pPr>
                  <w:r>
                    <w:rPr>
                      <w:b/>
                      <w:bCs/>
                      <w:sz w:val="20"/>
                      <w:szCs w:val="20"/>
                    </w:rPr>
                    <w:t>OYA780</w:t>
                  </w:r>
                </w:p>
              </w:tc>
              <w:tc>
                <w:tcPr>
                  <w:tcW w:w="851" w:type="dxa"/>
                </w:tcPr>
                <w:p>
                  <w:pPr>
                    <w:pStyle w:val="27"/>
                    <w:jc w:val="both"/>
                    <w:rPr>
                      <w:sz w:val="20"/>
                      <w:szCs w:val="20"/>
                    </w:rPr>
                  </w:pPr>
                  <w:r>
                    <w:rPr>
                      <w:sz w:val="20"/>
                      <w:szCs w:val="20"/>
                    </w:rPr>
                    <w:t>9.83</w:t>
                  </w:r>
                </w:p>
              </w:tc>
              <w:tc>
                <w:tcPr>
                  <w:tcW w:w="851" w:type="dxa"/>
                </w:tcPr>
                <w:p>
                  <w:pPr>
                    <w:pStyle w:val="27"/>
                    <w:jc w:val="both"/>
                    <w:rPr>
                      <w:sz w:val="20"/>
                      <w:szCs w:val="20"/>
                    </w:rPr>
                  </w:pPr>
                  <w:r>
                    <w:rPr>
                      <w:sz w:val="20"/>
                      <w:szCs w:val="20"/>
                    </w:rPr>
                    <w:t>99%</w:t>
                  </w:r>
                </w:p>
              </w:tc>
              <w:tc>
                <w:tcPr>
                  <w:tcW w:w="851" w:type="dxa"/>
                </w:tcPr>
                <w:p>
                  <w:pPr>
                    <w:pStyle w:val="27"/>
                    <w:jc w:val="both"/>
                    <w:rPr>
                      <w:sz w:val="20"/>
                      <w:szCs w:val="20"/>
                    </w:rPr>
                  </w:pPr>
                  <w:r>
                    <w:rPr>
                      <w:sz w:val="20"/>
                      <w:szCs w:val="20"/>
                    </w:rPr>
                    <w:t>99%</w:t>
                  </w:r>
                </w:p>
              </w:tc>
              <w:tc>
                <w:tcPr>
                  <w:tcW w:w="850" w:type="dxa"/>
                </w:tcPr>
                <w:p>
                  <w:pPr>
                    <w:pStyle w:val="27"/>
                    <w:jc w:val="both"/>
                    <w:rPr>
                      <w:sz w:val="20"/>
                      <w:szCs w:val="20"/>
                    </w:rPr>
                  </w:pPr>
                  <w:r>
                    <w:rPr>
                      <w:sz w:val="20"/>
                      <w:szCs w:val="20"/>
                    </w:rPr>
                    <w:t>98%</w:t>
                  </w:r>
                </w:p>
              </w:tc>
              <w:tc>
                <w:tcPr>
                  <w:tcW w:w="851" w:type="dxa"/>
                </w:tcPr>
                <w:p>
                  <w:pPr>
                    <w:pStyle w:val="27"/>
                    <w:jc w:val="both"/>
                    <w:rPr>
                      <w:sz w:val="20"/>
                      <w:szCs w:val="20"/>
                    </w:rPr>
                  </w:pPr>
                  <w:r>
                    <w:rPr>
                      <w:sz w:val="20"/>
                      <w:szCs w:val="20"/>
                    </w:rPr>
                    <w:t>99%</w:t>
                  </w:r>
                </w:p>
              </w:tc>
              <w:tc>
                <w:tcPr>
                  <w:tcW w:w="850" w:type="dxa"/>
                </w:tcPr>
                <w:p>
                  <w:pPr>
                    <w:pStyle w:val="27"/>
                    <w:jc w:val="both"/>
                    <w:rPr>
                      <w:sz w:val="20"/>
                      <w:szCs w:val="20"/>
                    </w:rPr>
                  </w:pPr>
                  <w:r>
                    <w:rPr>
                      <w:sz w:val="20"/>
                      <w:szCs w:val="20"/>
                    </w:rPr>
                    <w:t>99%</w:t>
                  </w:r>
                </w:p>
              </w:tc>
              <w:tc>
                <w:tcPr>
                  <w:tcW w:w="851" w:type="dxa"/>
                </w:tcPr>
                <w:p>
                  <w:pPr>
                    <w:pStyle w:val="27"/>
                    <w:jc w:val="both"/>
                    <w:rPr>
                      <w:sz w:val="20"/>
                      <w:szCs w:val="20"/>
                    </w:rPr>
                  </w:pPr>
                  <w:r>
                    <w:rPr>
                      <w:sz w:val="20"/>
                      <w:szCs w:val="20"/>
                    </w:rPr>
                    <w:t>99%</w:t>
                  </w:r>
                </w:p>
              </w:tc>
              <w:tc>
                <w:tcPr>
                  <w:tcW w:w="991" w:type="dxa"/>
                </w:tcPr>
                <w:p>
                  <w:pPr>
                    <w:pStyle w:val="27"/>
                    <w:jc w:val="both"/>
                    <w:rPr>
                      <w:sz w:val="20"/>
                      <w:szCs w:val="20"/>
                    </w:rPr>
                  </w:pPr>
                  <w:r>
                    <w:rPr>
                      <w:sz w:val="20"/>
                      <w:szCs w:val="20"/>
                    </w:rPr>
                    <w:t>0%</w:t>
                  </w:r>
                </w:p>
              </w:tc>
              <w:tc>
                <w:tcPr>
                  <w:tcW w:w="852" w:type="dxa"/>
                </w:tcPr>
                <w:p>
                  <w:pPr>
                    <w:pStyle w:val="27"/>
                    <w:jc w:val="both"/>
                    <w:rPr>
                      <w:sz w:val="20"/>
                      <w:szCs w:val="20"/>
                    </w:rPr>
                  </w:pPr>
                  <w:r>
                    <w:rPr>
                      <w:sz w:val="20"/>
                      <w:szCs w:val="20"/>
                    </w:rPr>
                    <w:t>–</w:t>
                  </w:r>
                </w:p>
              </w:tc>
            </w:tr>
            <w:tr>
              <w:tc>
                <w:tcPr>
                  <w:tcW w:w="1147" w:type="dxa"/>
                </w:tcPr>
                <w:p>
                  <w:pPr>
                    <w:pStyle w:val="27"/>
                    <w:jc w:val="both"/>
                    <w:rPr>
                      <w:sz w:val="20"/>
                      <w:szCs w:val="20"/>
                    </w:rPr>
                  </w:pPr>
                  <w:r>
                    <w:rPr>
                      <w:b/>
                      <w:bCs/>
                      <w:sz w:val="20"/>
                      <w:szCs w:val="20"/>
                    </w:rPr>
                    <w:t>OYA862</w:t>
                  </w:r>
                </w:p>
              </w:tc>
              <w:tc>
                <w:tcPr>
                  <w:tcW w:w="851" w:type="dxa"/>
                </w:tcPr>
                <w:p>
                  <w:pPr>
                    <w:pStyle w:val="27"/>
                    <w:jc w:val="both"/>
                    <w:rPr>
                      <w:sz w:val="20"/>
                      <w:szCs w:val="20"/>
                    </w:rPr>
                  </w:pPr>
                  <w:r>
                    <w:rPr>
                      <w:sz w:val="20"/>
                      <w:szCs w:val="20"/>
                    </w:rPr>
                    <w:t>8.67</w:t>
                  </w:r>
                </w:p>
              </w:tc>
              <w:tc>
                <w:tcPr>
                  <w:tcW w:w="851" w:type="dxa"/>
                </w:tcPr>
                <w:p>
                  <w:pPr>
                    <w:pStyle w:val="27"/>
                    <w:jc w:val="both"/>
                    <w:rPr>
                      <w:sz w:val="20"/>
                      <w:szCs w:val="20"/>
                    </w:rPr>
                  </w:pPr>
                  <w:r>
                    <w:rPr>
                      <w:sz w:val="20"/>
                      <w:szCs w:val="20"/>
                    </w:rPr>
                    <w:t>86%</w:t>
                  </w:r>
                </w:p>
              </w:tc>
              <w:tc>
                <w:tcPr>
                  <w:tcW w:w="851" w:type="dxa"/>
                </w:tcPr>
                <w:p>
                  <w:pPr>
                    <w:pStyle w:val="27"/>
                    <w:jc w:val="both"/>
                    <w:rPr>
                      <w:sz w:val="20"/>
                      <w:szCs w:val="20"/>
                    </w:rPr>
                  </w:pPr>
                  <w:r>
                    <w:rPr>
                      <w:sz w:val="20"/>
                      <w:szCs w:val="20"/>
                    </w:rPr>
                    <w:t>91%</w:t>
                  </w:r>
                </w:p>
              </w:tc>
              <w:tc>
                <w:tcPr>
                  <w:tcW w:w="850" w:type="dxa"/>
                </w:tcPr>
                <w:p>
                  <w:pPr>
                    <w:pStyle w:val="27"/>
                    <w:jc w:val="both"/>
                    <w:rPr>
                      <w:sz w:val="20"/>
                      <w:szCs w:val="20"/>
                    </w:rPr>
                  </w:pPr>
                  <w:r>
                    <w:rPr>
                      <w:sz w:val="20"/>
                      <w:szCs w:val="20"/>
                    </w:rPr>
                    <w:t>86%</w:t>
                  </w:r>
                </w:p>
              </w:tc>
              <w:tc>
                <w:tcPr>
                  <w:tcW w:w="851" w:type="dxa"/>
                </w:tcPr>
                <w:p>
                  <w:pPr>
                    <w:pStyle w:val="27"/>
                    <w:jc w:val="both"/>
                    <w:rPr>
                      <w:sz w:val="20"/>
                      <w:szCs w:val="20"/>
                    </w:rPr>
                  </w:pPr>
                  <w:r>
                    <w:rPr>
                      <w:sz w:val="20"/>
                      <w:szCs w:val="20"/>
                    </w:rPr>
                    <w:t>91%</w:t>
                  </w:r>
                </w:p>
              </w:tc>
              <w:tc>
                <w:tcPr>
                  <w:tcW w:w="850" w:type="dxa"/>
                </w:tcPr>
                <w:p>
                  <w:pPr>
                    <w:pStyle w:val="27"/>
                    <w:jc w:val="both"/>
                    <w:rPr>
                      <w:sz w:val="20"/>
                      <w:szCs w:val="20"/>
                    </w:rPr>
                  </w:pPr>
                  <w:r>
                    <w:rPr>
                      <w:sz w:val="20"/>
                      <w:szCs w:val="20"/>
                    </w:rPr>
                    <w:t>9%</w:t>
                  </w:r>
                </w:p>
              </w:tc>
              <w:tc>
                <w:tcPr>
                  <w:tcW w:w="851" w:type="dxa"/>
                </w:tcPr>
                <w:p>
                  <w:pPr>
                    <w:pStyle w:val="27"/>
                    <w:jc w:val="both"/>
                    <w:rPr>
                      <w:sz w:val="20"/>
                      <w:szCs w:val="20"/>
                    </w:rPr>
                  </w:pPr>
                  <w:r>
                    <w:rPr>
                      <w:sz w:val="20"/>
                      <w:szCs w:val="20"/>
                    </w:rPr>
                    <w:t>0%</w:t>
                  </w:r>
                </w:p>
              </w:tc>
              <w:tc>
                <w:tcPr>
                  <w:tcW w:w="991" w:type="dxa"/>
                </w:tcPr>
                <w:p>
                  <w:pPr>
                    <w:pStyle w:val="27"/>
                    <w:jc w:val="both"/>
                    <w:rPr>
                      <w:sz w:val="20"/>
                      <w:szCs w:val="20"/>
                    </w:rPr>
                  </w:pPr>
                  <w:r>
                    <w:rPr>
                      <w:sz w:val="20"/>
                      <w:szCs w:val="20"/>
                    </w:rPr>
                    <w:t>0%</w:t>
                  </w:r>
                </w:p>
              </w:tc>
              <w:tc>
                <w:tcPr>
                  <w:tcW w:w="852" w:type="dxa"/>
                </w:tcPr>
                <w:p>
                  <w:pPr>
                    <w:pStyle w:val="27"/>
                    <w:jc w:val="both"/>
                    <w:rPr>
                      <w:sz w:val="20"/>
                      <w:szCs w:val="20"/>
                    </w:rPr>
                  </w:pPr>
                  <w:r>
                    <w:rPr>
                      <w:sz w:val="20"/>
                      <w:szCs w:val="20"/>
                    </w:rPr>
                    <w:t>–</w:t>
                  </w:r>
                </w:p>
              </w:tc>
            </w:tr>
            <w:tr>
              <w:tc>
                <w:tcPr>
                  <w:tcW w:w="1147" w:type="dxa"/>
                </w:tcPr>
                <w:p>
                  <w:pPr>
                    <w:pStyle w:val="27"/>
                    <w:jc w:val="both"/>
                    <w:rPr>
                      <w:sz w:val="20"/>
                      <w:szCs w:val="20"/>
                    </w:rPr>
                  </w:pPr>
                  <w:r>
                    <w:rPr>
                      <w:b/>
                      <w:bCs/>
                      <w:sz w:val="20"/>
                      <w:szCs w:val="20"/>
                    </w:rPr>
                    <w:t>OYA1069</w:t>
                  </w:r>
                </w:p>
              </w:tc>
              <w:tc>
                <w:tcPr>
                  <w:tcW w:w="851" w:type="dxa"/>
                </w:tcPr>
                <w:p>
                  <w:pPr>
                    <w:pStyle w:val="27"/>
                    <w:jc w:val="both"/>
                    <w:rPr>
                      <w:sz w:val="20"/>
                      <w:szCs w:val="20"/>
                    </w:rPr>
                  </w:pPr>
                  <w:r>
                    <w:rPr>
                      <w:sz w:val="20"/>
                      <w:szCs w:val="20"/>
                    </w:rPr>
                    <w:t>10.75</w:t>
                  </w:r>
                </w:p>
              </w:tc>
              <w:tc>
                <w:tcPr>
                  <w:tcW w:w="851" w:type="dxa"/>
                </w:tcPr>
                <w:p>
                  <w:pPr>
                    <w:pStyle w:val="27"/>
                    <w:jc w:val="both"/>
                    <w:rPr>
                      <w:sz w:val="20"/>
                      <w:szCs w:val="20"/>
                    </w:rPr>
                  </w:pPr>
                  <w:r>
                    <w:rPr>
                      <w:sz w:val="20"/>
                      <w:szCs w:val="20"/>
                    </w:rPr>
                    <w:t>0%</w:t>
                  </w:r>
                </w:p>
              </w:tc>
              <w:tc>
                <w:tcPr>
                  <w:tcW w:w="851" w:type="dxa"/>
                </w:tcPr>
                <w:p>
                  <w:pPr>
                    <w:pStyle w:val="27"/>
                    <w:jc w:val="both"/>
                    <w:rPr>
                      <w:sz w:val="20"/>
                      <w:szCs w:val="20"/>
                    </w:rPr>
                  </w:pPr>
                  <w:r>
                    <w:rPr>
                      <w:sz w:val="20"/>
                      <w:szCs w:val="20"/>
                    </w:rPr>
                    <w:t>17%</w:t>
                  </w:r>
                </w:p>
              </w:tc>
              <w:tc>
                <w:tcPr>
                  <w:tcW w:w="850" w:type="dxa"/>
                </w:tcPr>
                <w:p>
                  <w:pPr>
                    <w:pStyle w:val="27"/>
                    <w:jc w:val="both"/>
                    <w:rPr>
                      <w:sz w:val="20"/>
                      <w:szCs w:val="20"/>
                    </w:rPr>
                  </w:pPr>
                  <w:r>
                    <w:rPr>
                      <w:sz w:val="20"/>
                      <w:szCs w:val="20"/>
                    </w:rPr>
                    <w:t>0%</w:t>
                  </w:r>
                </w:p>
              </w:tc>
              <w:tc>
                <w:tcPr>
                  <w:tcW w:w="851" w:type="dxa"/>
                </w:tcPr>
                <w:p>
                  <w:pPr>
                    <w:pStyle w:val="27"/>
                    <w:jc w:val="both"/>
                    <w:rPr>
                      <w:sz w:val="20"/>
                      <w:szCs w:val="20"/>
                    </w:rPr>
                  </w:pPr>
                  <w:r>
                    <w:rPr>
                      <w:sz w:val="20"/>
                      <w:szCs w:val="20"/>
                    </w:rPr>
                    <w:t>17%</w:t>
                  </w:r>
                </w:p>
              </w:tc>
              <w:tc>
                <w:tcPr>
                  <w:tcW w:w="850" w:type="dxa"/>
                </w:tcPr>
                <w:p>
                  <w:pPr>
                    <w:pStyle w:val="27"/>
                    <w:jc w:val="both"/>
                    <w:rPr>
                      <w:sz w:val="20"/>
                      <w:szCs w:val="20"/>
                    </w:rPr>
                  </w:pPr>
                  <w:r>
                    <w:rPr>
                      <w:sz w:val="20"/>
                      <w:szCs w:val="20"/>
                    </w:rPr>
                    <w:t>17%</w:t>
                  </w:r>
                </w:p>
              </w:tc>
              <w:tc>
                <w:tcPr>
                  <w:tcW w:w="851" w:type="dxa"/>
                </w:tcPr>
                <w:p>
                  <w:pPr>
                    <w:pStyle w:val="27"/>
                    <w:jc w:val="both"/>
                    <w:rPr>
                      <w:sz w:val="20"/>
                      <w:szCs w:val="20"/>
                    </w:rPr>
                  </w:pPr>
                  <w:r>
                    <w:rPr>
                      <w:sz w:val="20"/>
                      <w:szCs w:val="20"/>
                    </w:rPr>
                    <w:t>0%</w:t>
                  </w:r>
                </w:p>
              </w:tc>
              <w:tc>
                <w:tcPr>
                  <w:tcW w:w="991" w:type="dxa"/>
                </w:tcPr>
                <w:p>
                  <w:pPr>
                    <w:pStyle w:val="27"/>
                    <w:jc w:val="both"/>
                    <w:rPr>
                      <w:sz w:val="20"/>
                      <w:szCs w:val="20"/>
                    </w:rPr>
                  </w:pPr>
                  <w:r>
                    <w:rPr>
                      <w:sz w:val="20"/>
                      <w:szCs w:val="20"/>
                    </w:rPr>
                    <w:t>0%</w:t>
                  </w:r>
                </w:p>
              </w:tc>
              <w:tc>
                <w:tcPr>
                  <w:tcW w:w="852" w:type="dxa"/>
                </w:tcPr>
                <w:p>
                  <w:pPr>
                    <w:pStyle w:val="27"/>
                    <w:jc w:val="both"/>
                    <w:rPr>
                      <w:sz w:val="20"/>
                      <w:szCs w:val="20"/>
                    </w:rPr>
                  </w:pPr>
                  <w:r>
                    <w:rPr>
                      <w:sz w:val="20"/>
                      <w:szCs w:val="20"/>
                    </w:rPr>
                    <w:t>–</w:t>
                  </w:r>
                </w:p>
              </w:tc>
            </w:tr>
            <w:tr>
              <w:tc>
                <w:tcPr>
                  <w:tcW w:w="1147" w:type="dxa"/>
                </w:tcPr>
                <w:p>
                  <w:pPr>
                    <w:pStyle w:val="27"/>
                    <w:jc w:val="both"/>
                    <w:rPr>
                      <w:sz w:val="20"/>
                      <w:szCs w:val="20"/>
                    </w:rPr>
                  </w:pPr>
                  <w:r>
                    <w:rPr>
                      <w:b/>
                      <w:bCs/>
                      <w:sz w:val="20"/>
                      <w:szCs w:val="20"/>
                    </w:rPr>
                    <w:t>OYA1128</w:t>
                  </w:r>
                </w:p>
              </w:tc>
              <w:tc>
                <w:tcPr>
                  <w:tcW w:w="851" w:type="dxa"/>
                </w:tcPr>
                <w:p>
                  <w:pPr>
                    <w:pStyle w:val="27"/>
                    <w:jc w:val="both"/>
                    <w:rPr>
                      <w:sz w:val="20"/>
                      <w:szCs w:val="20"/>
                    </w:rPr>
                  </w:pPr>
                  <w:r>
                    <w:rPr>
                      <w:sz w:val="20"/>
                      <w:szCs w:val="20"/>
                    </w:rPr>
                    <w:t>12.92</w:t>
                  </w:r>
                </w:p>
              </w:tc>
              <w:tc>
                <w:tcPr>
                  <w:tcW w:w="851" w:type="dxa"/>
                </w:tcPr>
                <w:p>
                  <w:pPr>
                    <w:pStyle w:val="27"/>
                    <w:jc w:val="both"/>
                    <w:rPr>
                      <w:sz w:val="20"/>
                      <w:szCs w:val="20"/>
                    </w:rPr>
                  </w:pPr>
                  <w:r>
                    <w:rPr>
                      <w:sz w:val="20"/>
                      <w:szCs w:val="20"/>
                    </w:rPr>
                    <w:t>100%</w:t>
                  </w:r>
                </w:p>
              </w:tc>
              <w:tc>
                <w:tcPr>
                  <w:tcW w:w="851" w:type="dxa"/>
                </w:tcPr>
                <w:p>
                  <w:pPr>
                    <w:pStyle w:val="27"/>
                    <w:jc w:val="both"/>
                    <w:rPr>
                      <w:sz w:val="20"/>
                      <w:szCs w:val="20"/>
                    </w:rPr>
                  </w:pPr>
                  <w:r>
                    <w:rPr>
                      <w:sz w:val="20"/>
                      <w:szCs w:val="20"/>
                    </w:rPr>
                    <w:t>100%</w:t>
                  </w:r>
                </w:p>
              </w:tc>
              <w:tc>
                <w:tcPr>
                  <w:tcW w:w="850" w:type="dxa"/>
                </w:tcPr>
                <w:p>
                  <w:pPr>
                    <w:pStyle w:val="27"/>
                    <w:jc w:val="both"/>
                    <w:rPr>
                      <w:sz w:val="20"/>
                      <w:szCs w:val="20"/>
                    </w:rPr>
                  </w:pPr>
                  <w:r>
                    <w:rPr>
                      <w:sz w:val="20"/>
                      <w:szCs w:val="20"/>
                    </w:rPr>
                    <w:t>100%</w:t>
                  </w:r>
                </w:p>
              </w:tc>
              <w:tc>
                <w:tcPr>
                  <w:tcW w:w="851" w:type="dxa"/>
                </w:tcPr>
                <w:p>
                  <w:pPr>
                    <w:pStyle w:val="27"/>
                    <w:jc w:val="both"/>
                    <w:rPr>
                      <w:sz w:val="20"/>
                      <w:szCs w:val="20"/>
                    </w:rPr>
                  </w:pPr>
                  <w:r>
                    <w:rPr>
                      <w:sz w:val="20"/>
                      <w:szCs w:val="20"/>
                    </w:rPr>
                    <w:t>100%</w:t>
                  </w:r>
                </w:p>
              </w:tc>
              <w:tc>
                <w:tcPr>
                  <w:tcW w:w="850" w:type="dxa"/>
                </w:tcPr>
                <w:p>
                  <w:pPr>
                    <w:pStyle w:val="27"/>
                    <w:jc w:val="both"/>
                    <w:rPr>
                      <w:sz w:val="20"/>
                      <w:szCs w:val="20"/>
                    </w:rPr>
                  </w:pPr>
                  <w:r>
                    <w:rPr>
                      <w:sz w:val="20"/>
                      <w:szCs w:val="20"/>
                    </w:rPr>
                    <w:t>100%</w:t>
                  </w:r>
                </w:p>
              </w:tc>
              <w:tc>
                <w:tcPr>
                  <w:tcW w:w="851" w:type="dxa"/>
                </w:tcPr>
                <w:p>
                  <w:pPr>
                    <w:pStyle w:val="27"/>
                    <w:jc w:val="both"/>
                    <w:rPr>
                      <w:sz w:val="20"/>
                      <w:szCs w:val="20"/>
                    </w:rPr>
                  </w:pPr>
                  <w:r>
                    <w:rPr>
                      <w:sz w:val="20"/>
                      <w:szCs w:val="20"/>
                    </w:rPr>
                    <w:t>0%</w:t>
                  </w:r>
                </w:p>
              </w:tc>
              <w:tc>
                <w:tcPr>
                  <w:tcW w:w="991" w:type="dxa"/>
                </w:tcPr>
                <w:p>
                  <w:pPr>
                    <w:pStyle w:val="27"/>
                    <w:jc w:val="both"/>
                    <w:rPr>
                      <w:sz w:val="20"/>
                      <w:szCs w:val="20"/>
                    </w:rPr>
                  </w:pPr>
                  <w:r>
                    <w:rPr>
                      <w:sz w:val="20"/>
                      <w:szCs w:val="20"/>
                    </w:rPr>
                    <w:t>0%</w:t>
                  </w:r>
                </w:p>
              </w:tc>
              <w:tc>
                <w:tcPr>
                  <w:tcW w:w="852" w:type="dxa"/>
                </w:tcPr>
                <w:p>
                  <w:pPr>
                    <w:pStyle w:val="27"/>
                    <w:jc w:val="both"/>
                    <w:rPr>
                      <w:sz w:val="20"/>
                      <w:szCs w:val="20"/>
                    </w:rPr>
                  </w:pPr>
                  <w:r>
                    <w:rPr>
                      <w:sz w:val="20"/>
                      <w:szCs w:val="20"/>
                    </w:rPr>
                    <w:t>–</w:t>
                  </w:r>
                </w:p>
              </w:tc>
            </w:tr>
            <w:tr>
              <w:tc>
                <w:tcPr>
                  <w:tcW w:w="1147" w:type="dxa"/>
                </w:tcPr>
                <w:p>
                  <w:pPr>
                    <w:pStyle w:val="27"/>
                    <w:jc w:val="both"/>
                    <w:rPr>
                      <w:sz w:val="20"/>
                      <w:szCs w:val="20"/>
                    </w:rPr>
                  </w:pPr>
                  <w:r>
                    <w:rPr>
                      <w:b/>
                      <w:bCs/>
                      <w:sz w:val="20"/>
                      <w:szCs w:val="20"/>
                    </w:rPr>
                    <w:t>OYA1193</w:t>
                  </w:r>
                </w:p>
              </w:tc>
              <w:tc>
                <w:tcPr>
                  <w:tcW w:w="851" w:type="dxa"/>
                </w:tcPr>
                <w:p>
                  <w:pPr>
                    <w:pStyle w:val="27"/>
                    <w:jc w:val="both"/>
                    <w:rPr>
                      <w:sz w:val="20"/>
                      <w:szCs w:val="20"/>
                    </w:rPr>
                  </w:pPr>
                  <w:r>
                    <w:rPr>
                      <w:sz w:val="20"/>
                      <w:szCs w:val="20"/>
                    </w:rPr>
                    <w:t>13.12</w:t>
                  </w:r>
                </w:p>
              </w:tc>
              <w:tc>
                <w:tcPr>
                  <w:tcW w:w="851" w:type="dxa"/>
                </w:tcPr>
                <w:p>
                  <w:pPr>
                    <w:pStyle w:val="27"/>
                    <w:jc w:val="both"/>
                    <w:rPr>
                      <w:sz w:val="20"/>
                      <w:szCs w:val="20"/>
                    </w:rPr>
                  </w:pPr>
                  <w:r>
                    <w:rPr>
                      <w:sz w:val="20"/>
                      <w:szCs w:val="20"/>
                    </w:rPr>
                    <w:t>90%</w:t>
                  </w:r>
                </w:p>
              </w:tc>
              <w:tc>
                <w:tcPr>
                  <w:tcW w:w="851" w:type="dxa"/>
                </w:tcPr>
                <w:p>
                  <w:pPr>
                    <w:pStyle w:val="27"/>
                    <w:jc w:val="both"/>
                    <w:rPr>
                      <w:sz w:val="20"/>
                      <w:szCs w:val="20"/>
                    </w:rPr>
                  </w:pPr>
                  <w:r>
                    <w:rPr>
                      <w:sz w:val="20"/>
                      <w:szCs w:val="20"/>
                    </w:rPr>
                    <w:t>92%</w:t>
                  </w:r>
                </w:p>
              </w:tc>
              <w:tc>
                <w:tcPr>
                  <w:tcW w:w="850" w:type="dxa"/>
                </w:tcPr>
                <w:p>
                  <w:pPr>
                    <w:pStyle w:val="27"/>
                    <w:jc w:val="both"/>
                    <w:rPr>
                      <w:sz w:val="20"/>
                      <w:szCs w:val="20"/>
                    </w:rPr>
                  </w:pPr>
                  <w:r>
                    <w:rPr>
                      <w:sz w:val="20"/>
                      <w:szCs w:val="20"/>
                    </w:rPr>
                    <w:t>90%</w:t>
                  </w:r>
                </w:p>
              </w:tc>
              <w:tc>
                <w:tcPr>
                  <w:tcW w:w="851" w:type="dxa"/>
                </w:tcPr>
                <w:p>
                  <w:pPr>
                    <w:pStyle w:val="27"/>
                    <w:jc w:val="both"/>
                    <w:rPr>
                      <w:sz w:val="20"/>
                      <w:szCs w:val="20"/>
                    </w:rPr>
                  </w:pPr>
                  <w:r>
                    <w:rPr>
                      <w:sz w:val="20"/>
                      <w:szCs w:val="20"/>
                    </w:rPr>
                    <w:t>92%</w:t>
                  </w:r>
                </w:p>
              </w:tc>
              <w:tc>
                <w:tcPr>
                  <w:tcW w:w="850" w:type="dxa"/>
                </w:tcPr>
                <w:p>
                  <w:pPr>
                    <w:pStyle w:val="27"/>
                    <w:jc w:val="both"/>
                    <w:rPr>
                      <w:sz w:val="20"/>
                      <w:szCs w:val="20"/>
                    </w:rPr>
                  </w:pPr>
                  <w:r>
                    <w:rPr>
                      <w:sz w:val="20"/>
                      <w:szCs w:val="20"/>
                    </w:rPr>
                    <w:t>92%</w:t>
                  </w:r>
                </w:p>
              </w:tc>
              <w:tc>
                <w:tcPr>
                  <w:tcW w:w="851" w:type="dxa"/>
                </w:tcPr>
                <w:p>
                  <w:pPr>
                    <w:pStyle w:val="27"/>
                    <w:jc w:val="both"/>
                    <w:rPr>
                      <w:sz w:val="20"/>
                      <w:szCs w:val="20"/>
                    </w:rPr>
                  </w:pPr>
                  <w:r>
                    <w:rPr>
                      <w:sz w:val="20"/>
                      <w:szCs w:val="20"/>
                    </w:rPr>
                    <w:t>0%</w:t>
                  </w:r>
                </w:p>
              </w:tc>
              <w:tc>
                <w:tcPr>
                  <w:tcW w:w="991" w:type="dxa"/>
                </w:tcPr>
                <w:p>
                  <w:pPr>
                    <w:pStyle w:val="27"/>
                    <w:jc w:val="both"/>
                    <w:rPr>
                      <w:sz w:val="20"/>
                      <w:szCs w:val="20"/>
                    </w:rPr>
                  </w:pPr>
                  <w:r>
                    <w:rPr>
                      <w:sz w:val="20"/>
                      <w:szCs w:val="20"/>
                    </w:rPr>
                    <w:t>0%</w:t>
                  </w:r>
                </w:p>
              </w:tc>
              <w:tc>
                <w:tcPr>
                  <w:tcW w:w="852" w:type="dxa"/>
                </w:tcPr>
                <w:p>
                  <w:pPr>
                    <w:pStyle w:val="27"/>
                    <w:jc w:val="both"/>
                    <w:rPr>
                      <w:sz w:val="20"/>
                      <w:szCs w:val="20"/>
                    </w:rPr>
                  </w:pPr>
                  <w:r>
                    <w:rPr>
                      <w:sz w:val="20"/>
                      <w:szCs w:val="20"/>
                    </w:rPr>
                    <w:t>–</w:t>
                  </w:r>
                </w:p>
              </w:tc>
            </w:tr>
            <w:tr>
              <w:tc>
                <w:tcPr>
                  <w:tcW w:w="1147" w:type="dxa"/>
                </w:tcPr>
                <w:p>
                  <w:pPr>
                    <w:pStyle w:val="27"/>
                    <w:jc w:val="both"/>
                    <w:rPr>
                      <w:sz w:val="20"/>
                      <w:szCs w:val="20"/>
                    </w:rPr>
                  </w:pPr>
                  <w:r>
                    <w:rPr>
                      <w:b/>
                      <w:bCs/>
                      <w:sz w:val="20"/>
                      <w:szCs w:val="20"/>
                    </w:rPr>
                    <w:t>OYA1211</w:t>
                  </w:r>
                </w:p>
              </w:tc>
              <w:tc>
                <w:tcPr>
                  <w:tcW w:w="851" w:type="dxa"/>
                </w:tcPr>
                <w:p>
                  <w:pPr>
                    <w:pStyle w:val="27"/>
                    <w:jc w:val="both"/>
                    <w:rPr>
                      <w:sz w:val="20"/>
                      <w:szCs w:val="20"/>
                    </w:rPr>
                  </w:pPr>
                  <w:r>
                    <w:rPr>
                      <w:sz w:val="20"/>
                      <w:szCs w:val="20"/>
                    </w:rPr>
                    <w:t>13.11</w:t>
                  </w:r>
                </w:p>
              </w:tc>
              <w:tc>
                <w:tcPr>
                  <w:tcW w:w="851" w:type="dxa"/>
                </w:tcPr>
                <w:p>
                  <w:pPr>
                    <w:pStyle w:val="27"/>
                    <w:jc w:val="both"/>
                    <w:rPr>
                      <w:sz w:val="20"/>
                      <w:szCs w:val="20"/>
                    </w:rPr>
                  </w:pPr>
                  <w:r>
                    <w:rPr>
                      <w:sz w:val="20"/>
                      <w:szCs w:val="20"/>
                    </w:rPr>
                    <w:t>100%</w:t>
                  </w:r>
                </w:p>
              </w:tc>
              <w:tc>
                <w:tcPr>
                  <w:tcW w:w="851" w:type="dxa"/>
                </w:tcPr>
                <w:p>
                  <w:pPr>
                    <w:pStyle w:val="27"/>
                    <w:jc w:val="both"/>
                    <w:rPr>
                      <w:sz w:val="20"/>
                      <w:szCs w:val="20"/>
                    </w:rPr>
                  </w:pPr>
                  <w:r>
                    <w:rPr>
                      <w:sz w:val="20"/>
                      <w:szCs w:val="20"/>
                    </w:rPr>
                    <w:t>100%</w:t>
                  </w:r>
                </w:p>
              </w:tc>
              <w:tc>
                <w:tcPr>
                  <w:tcW w:w="850" w:type="dxa"/>
                </w:tcPr>
                <w:p>
                  <w:pPr>
                    <w:pStyle w:val="27"/>
                    <w:jc w:val="both"/>
                    <w:rPr>
                      <w:sz w:val="20"/>
                      <w:szCs w:val="20"/>
                    </w:rPr>
                  </w:pPr>
                  <w:r>
                    <w:rPr>
                      <w:sz w:val="20"/>
                      <w:szCs w:val="20"/>
                    </w:rPr>
                    <w:t>100%</w:t>
                  </w:r>
                </w:p>
              </w:tc>
              <w:tc>
                <w:tcPr>
                  <w:tcW w:w="851" w:type="dxa"/>
                </w:tcPr>
                <w:p>
                  <w:pPr>
                    <w:pStyle w:val="27"/>
                    <w:jc w:val="both"/>
                    <w:rPr>
                      <w:sz w:val="20"/>
                      <w:szCs w:val="20"/>
                    </w:rPr>
                  </w:pPr>
                  <w:r>
                    <w:rPr>
                      <w:sz w:val="20"/>
                      <w:szCs w:val="20"/>
                    </w:rPr>
                    <w:t>100%</w:t>
                  </w:r>
                </w:p>
              </w:tc>
              <w:tc>
                <w:tcPr>
                  <w:tcW w:w="850" w:type="dxa"/>
                </w:tcPr>
                <w:p>
                  <w:pPr>
                    <w:pStyle w:val="27"/>
                    <w:jc w:val="both"/>
                    <w:rPr>
                      <w:sz w:val="20"/>
                      <w:szCs w:val="20"/>
                    </w:rPr>
                  </w:pPr>
                  <w:r>
                    <w:rPr>
                      <w:sz w:val="20"/>
                      <w:szCs w:val="20"/>
                    </w:rPr>
                    <w:t>100%</w:t>
                  </w:r>
                </w:p>
              </w:tc>
              <w:tc>
                <w:tcPr>
                  <w:tcW w:w="851" w:type="dxa"/>
                </w:tcPr>
                <w:p>
                  <w:pPr>
                    <w:pStyle w:val="27"/>
                    <w:jc w:val="both"/>
                    <w:rPr>
                      <w:sz w:val="20"/>
                      <w:szCs w:val="20"/>
                    </w:rPr>
                  </w:pPr>
                  <w:r>
                    <w:rPr>
                      <w:sz w:val="20"/>
                      <w:szCs w:val="20"/>
                    </w:rPr>
                    <w:t>100%</w:t>
                  </w:r>
                </w:p>
              </w:tc>
              <w:tc>
                <w:tcPr>
                  <w:tcW w:w="991" w:type="dxa"/>
                </w:tcPr>
                <w:p>
                  <w:pPr>
                    <w:pStyle w:val="27"/>
                    <w:jc w:val="both"/>
                    <w:rPr>
                      <w:sz w:val="20"/>
                      <w:szCs w:val="20"/>
                    </w:rPr>
                  </w:pPr>
                  <w:r>
                    <w:rPr>
                      <w:sz w:val="20"/>
                      <w:szCs w:val="20"/>
                    </w:rPr>
                    <w:t>93%</w:t>
                  </w:r>
                </w:p>
              </w:tc>
              <w:tc>
                <w:tcPr>
                  <w:tcW w:w="852" w:type="dxa"/>
                </w:tcPr>
                <w:p>
                  <w:pPr>
                    <w:pStyle w:val="27"/>
                    <w:jc w:val="both"/>
                    <w:rPr>
                      <w:sz w:val="20"/>
                      <w:szCs w:val="20"/>
                    </w:rPr>
                  </w:pPr>
                  <w:r>
                    <w:rPr>
                      <w:sz w:val="20"/>
                      <w:szCs w:val="20"/>
                    </w:rPr>
                    <w:t>100%</w:t>
                  </w:r>
                </w:p>
              </w:tc>
            </w:tr>
            <w:tr>
              <w:tc>
                <w:tcPr>
                  <w:tcW w:w="1147" w:type="dxa"/>
                </w:tcPr>
                <w:p>
                  <w:pPr>
                    <w:pStyle w:val="27"/>
                    <w:jc w:val="both"/>
                    <w:rPr>
                      <w:sz w:val="20"/>
                      <w:szCs w:val="20"/>
                    </w:rPr>
                  </w:pPr>
                  <w:r>
                    <w:rPr>
                      <w:b/>
                      <w:bCs/>
                      <w:sz w:val="20"/>
                      <w:szCs w:val="20"/>
                    </w:rPr>
                    <w:t>OYA1354</w:t>
                  </w:r>
                </w:p>
              </w:tc>
              <w:tc>
                <w:tcPr>
                  <w:tcW w:w="851" w:type="dxa"/>
                </w:tcPr>
                <w:p>
                  <w:pPr>
                    <w:pStyle w:val="27"/>
                    <w:jc w:val="both"/>
                    <w:rPr>
                      <w:sz w:val="20"/>
                      <w:szCs w:val="20"/>
                    </w:rPr>
                  </w:pPr>
                  <w:r>
                    <w:rPr>
                      <w:sz w:val="20"/>
                      <w:szCs w:val="20"/>
                    </w:rPr>
                    <w:t>11.41</w:t>
                  </w:r>
                </w:p>
              </w:tc>
              <w:tc>
                <w:tcPr>
                  <w:tcW w:w="851" w:type="dxa"/>
                </w:tcPr>
                <w:p>
                  <w:pPr>
                    <w:pStyle w:val="27"/>
                    <w:jc w:val="both"/>
                    <w:rPr>
                      <w:sz w:val="20"/>
                      <w:szCs w:val="20"/>
                    </w:rPr>
                  </w:pPr>
                  <w:r>
                    <w:rPr>
                      <w:sz w:val="20"/>
                      <w:szCs w:val="20"/>
                    </w:rPr>
                    <w:t>83%</w:t>
                  </w:r>
                </w:p>
              </w:tc>
              <w:tc>
                <w:tcPr>
                  <w:tcW w:w="851" w:type="dxa"/>
                </w:tcPr>
                <w:p>
                  <w:pPr>
                    <w:pStyle w:val="27"/>
                    <w:jc w:val="both"/>
                    <w:rPr>
                      <w:sz w:val="20"/>
                      <w:szCs w:val="20"/>
                    </w:rPr>
                  </w:pPr>
                  <w:r>
                    <w:rPr>
                      <w:sz w:val="20"/>
                      <w:szCs w:val="20"/>
                    </w:rPr>
                    <w:t>83%</w:t>
                  </w:r>
                </w:p>
              </w:tc>
              <w:tc>
                <w:tcPr>
                  <w:tcW w:w="850" w:type="dxa"/>
                </w:tcPr>
                <w:p>
                  <w:pPr>
                    <w:pStyle w:val="27"/>
                    <w:jc w:val="both"/>
                    <w:rPr>
                      <w:sz w:val="20"/>
                      <w:szCs w:val="20"/>
                    </w:rPr>
                  </w:pPr>
                  <w:r>
                    <w:rPr>
                      <w:sz w:val="20"/>
                      <w:szCs w:val="20"/>
                    </w:rPr>
                    <w:t>83%</w:t>
                  </w:r>
                </w:p>
              </w:tc>
              <w:tc>
                <w:tcPr>
                  <w:tcW w:w="851" w:type="dxa"/>
                </w:tcPr>
                <w:p>
                  <w:pPr>
                    <w:pStyle w:val="27"/>
                    <w:jc w:val="both"/>
                    <w:rPr>
                      <w:sz w:val="20"/>
                      <w:szCs w:val="20"/>
                    </w:rPr>
                  </w:pPr>
                  <w:r>
                    <w:rPr>
                      <w:sz w:val="20"/>
                      <w:szCs w:val="20"/>
                    </w:rPr>
                    <w:t>83%</w:t>
                  </w:r>
                </w:p>
              </w:tc>
              <w:tc>
                <w:tcPr>
                  <w:tcW w:w="850" w:type="dxa"/>
                </w:tcPr>
                <w:p>
                  <w:pPr>
                    <w:pStyle w:val="27"/>
                    <w:jc w:val="both"/>
                    <w:rPr>
                      <w:sz w:val="20"/>
                      <w:szCs w:val="20"/>
                    </w:rPr>
                  </w:pPr>
                  <w:r>
                    <w:rPr>
                      <w:sz w:val="20"/>
                      <w:szCs w:val="20"/>
                    </w:rPr>
                    <w:t>92%</w:t>
                  </w:r>
                </w:p>
              </w:tc>
              <w:tc>
                <w:tcPr>
                  <w:tcW w:w="851" w:type="dxa"/>
                </w:tcPr>
                <w:p>
                  <w:pPr>
                    <w:pStyle w:val="27"/>
                    <w:jc w:val="both"/>
                    <w:rPr>
                      <w:sz w:val="20"/>
                      <w:szCs w:val="20"/>
                    </w:rPr>
                  </w:pPr>
                  <w:r>
                    <w:rPr>
                      <w:sz w:val="20"/>
                      <w:szCs w:val="20"/>
                    </w:rPr>
                    <w:t>0%</w:t>
                  </w:r>
                </w:p>
              </w:tc>
              <w:tc>
                <w:tcPr>
                  <w:tcW w:w="991" w:type="dxa"/>
                </w:tcPr>
                <w:p>
                  <w:pPr>
                    <w:pStyle w:val="27"/>
                    <w:jc w:val="both"/>
                    <w:rPr>
                      <w:sz w:val="20"/>
                      <w:szCs w:val="20"/>
                    </w:rPr>
                  </w:pPr>
                  <w:r>
                    <w:rPr>
                      <w:sz w:val="20"/>
                      <w:szCs w:val="20"/>
                    </w:rPr>
                    <w:t>0%</w:t>
                  </w:r>
                </w:p>
              </w:tc>
              <w:tc>
                <w:tcPr>
                  <w:tcW w:w="852" w:type="dxa"/>
                </w:tcPr>
                <w:p>
                  <w:pPr>
                    <w:pStyle w:val="27"/>
                    <w:jc w:val="both"/>
                    <w:rPr>
                      <w:sz w:val="20"/>
                      <w:szCs w:val="20"/>
                    </w:rPr>
                  </w:pPr>
                  <w:r>
                    <w:rPr>
                      <w:sz w:val="20"/>
                      <w:szCs w:val="20"/>
                    </w:rPr>
                    <w:t>–</w:t>
                  </w:r>
                </w:p>
              </w:tc>
            </w:tr>
            <w:bookmarkEnd w:id="5"/>
          </w:tbl>
          <w:p>
            <w:pPr>
              <w:jc w:val="both"/>
              <w:rPr>
                <w:sz w:val="20"/>
                <w:szCs w:val="20"/>
              </w:rPr>
            </w:pPr>
          </w:p>
        </w:tc>
      </w:tr>
      <w:bookmarkEnd w:id="4"/>
    </w:tbl>
    <w:p>
      <w:pPr>
        <w:pStyle w:val="4"/>
        <w:jc w:val="both"/>
        <w:rPr>
          <w:sz w:val="20"/>
          <w:szCs w:val="20"/>
        </w:rPr>
      </w:pPr>
      <w:bookmarkStart w:id="6" w:name="data-processing"/>
      <w:r>
        <w:rPr>
          <w:sz w:val="20"/>
          <w:szCs w:val="20"/>
        </w:rPr>
        <w:t>Data Processing</w:t>
      </w:r>
    </w:p>
    <w:p>
      <w:pPr>
        <w:pStyle w:val="26"/>
        <w:jc w:val="both"/>
        <w:rPr>
          <w:sz w:val="20"/>
          <w:szCs w:val="20"/>
        </w:rPr>
      </w:pPr>
      <w:r>
        <w:rPr>
          <w:sz w:val="20"/>
          <w:szCs w:val="20"/>
        </w:rPr>
        <w:t xml:space="preserve">The research strategy has been divided into three specific objectives, associated to each hypothesis: (1) characterize the temporal distribution of fog and dew events and their co-occurrence from visibility and GOES </w:t>
      </w:r>
      <w:del w:id="43" w:author="felipe" w:date="2026-09-28T10:37:08Z">
        <w:r>
          <w:rPr>
            <w:rFonts w:hint="default"/>
            <w:sz w:val="20"/>
            <w:szCs w:val="20"/>
            <w:lang w:val="en-US"/>
          </w:rPr>
          <w:delText>records</w:delText>
        </w:r>
      </w:del>
      <w:ins w:id="44" w:author="felipe" w:date="2026-09-28T10:37:08Z">
        <w:r>
          <w:rPr>
            <w:rFonts w:hint="default"/>
            <w:sz w:val="20"/>
            <w:szCs w:val="20"/>
            <w:lang w:val="es"/>
          </w:rPr>
          <w:t>obs</w:t>
        </w:r>
      </w:ins>
      <w:ins w:id="45" w:author="felipe" w:date="2026-09-28T10:37:09Z">
        <w:r>
          <w:rPr>
            <w:rFonts w:hint="default"/>
            <w:sz w:val="20"/>
            <w:szCs w:val="20"/>
            <w:lang w:val="es"/>
          </w:rPr>
          <w:t>ervatio</w:t>
        </w:r>
      </w:ins>
      <w:ins w:id="46" w:author="felipe" w:date="2026-09-28T10:37:10Z">
        <w:r>
          <w:rPr>
            <w:rFonts w:hint="default"/>
            <w:sz w:val="20"/>
            <w:szCs w:val="20"/>
            <w:lang w:val="es"/>
          </w:rPr>
          <w:t>ns</w:t>
        </w:r>
      </w:ins>
      <w:r>
        <w:commentReference w:id="5"/>
      </w:r>
      <w:r>
        <w:rPr>
          <w:sz w:val="20"/>
          <w:szCs w:val="20"/>
        </w:rPr>
        <w:t xml:space="preserve">; (2) evaluate the atmospheric stability under each event type through potential temperature, specific humidity, and wind speed vertical gradients </w:t>
      </w:r>
      <w:del w:id="47" w:author="felipe" w:date="2026-09-28T10:37:54Z">
        <w:r>
          <w:rPr>
            <w:sz w:val="20"/>
            <w:szCs w:val="20"/>
          </w:rPr>
          <w:delText xml:space="preserve">reconstructed </w:delText>
        </w:r>
      </w:del>
      <w:r>
        <w:rPr>
          <w:sz w:val="20"/>
          <w:szCs w:val="20"/>
        </w:rPr>
        <w:t>along the topographic station transect; (3) analyze the tendency</w:t>
      </w:r>
      <w:ins w:id="48" w:author="felipe" w:date="2026-09-28T10:38:16Z">
        <w:r>
          <w:rPr>
            <w:rFonts w:hint="default"/>
            <w:sz w:val="20"/>
            <w:szCs w:val="20"/>
            <w:lang w:val="es"/>
          </w:rPr>
          <w:t xml:space="preserve"> on</w:t>
        </w:r>
      </w:ins>
      <w:ins w:id="49" w:author="felipe" w:date="2026-09-28T10:38:17Z">
        <w:r>
          <w:rPr>
            <w:rFonts w:hint="default"/>
            <w:sz w:val="20"/>
            <w:szCs w:val="20"/>
            <w:lang w:val="es"/>
          </w:rPr>
          <w:t xml:space="preserve"> time</w:t>
        </w:r>
      </w:ins>
      <w:r>
        <w:rPr>
          <w:sz w:val="20"/>
          <w:szCs w:val="20"/>
        </w:rPr>
        <w:t xml:space="preserve"> of humidity, potential temperature and wind speed </w:t>
      </w:r>
      <w:del w:id="50" w:author="felipe" w:date="2026-09-28T10:38:37Z">
        <w:r>
          <w:rPr>
            <w:rFonts w:hint="default"/>
            <w:sz w:val="20"/>
            <w:szCs w:val="20"/>
            <w:lang w:val="en-US"/>
          </w:rPr>
          <w:delText>associated with each event through the temporal evolution of specific humidity, quantifying tendencies that distinguish their dynamic origin.</w:delText>
        </w:r>
      </w:del>
      <w:ins w:id="51" w:author="felipe" w:date="2026-09-28T10:38:37Z">
        <w:r>
          <w:rPr>
            <w:rFonts w:hint="default"/>
            <w:sz w:val="20"/>
            <w:szCs w:val="20"/>
            <w:lang w:val="es"/>
          </w:rPr>
          <w:t>u</w:t>
        </w:r>
      </w:ins>
      <w:ins w:id="52" w:author="felipe" w:date="2026-09-28T10:38:38Z">
        <w:r>
          <w:rPr>
            <w:rFonts w:hint="default"/>
            <w:sz w:val="20"/>
            <w:szCs w:val="20"/>
            <w:lang w:val="es"/>
          </w:rPr>
          <w:t>nder fo</w:t>
        </w:r>
      </w:ins>
      <w:ins w:id="53" w:author="felipe" w:date="2026-09-28T10:38:39Z">
        <w:r>
          <w:rPr>
            <w:rFonts w:hint="default"/>
            <w:sz w:val="20"/>
            <w:szCs w:val="20"/>
            <w:lang w:val="es"/>
          </w:rPr>
          <w:t>g and de</w:t>
        </w:r>
      </w:ins>
      <w:ins w:id="54" w:author="felipe" w:date="2026-09-28T10:38:40Z">
        <w:r>
          <w:rPr>
            <w:rFonts w:hint="default"/>
            <w:sz w:val="20"/>
            <w:szCs w:val="20"/>
            <w:lang w:val="es"/>
          </w:rPr>
          <w:t>w e</w:t>
        </w:r>
      </w:ins>
      <w:ins w:id="55" w:author="felipe" w:date="2026-09-28T10:38:41Z">
        <w:r>
          <w:rPr>
            <w:rFonts w:hint="default"/>
            <w:sz w:val="20"/>
            <w:szCs w:val="20"/>
            <w:lang w:val="es"/>
          </w:rPr>
          <w:t>vents</w:t>
        </w:r>
      </w:ins>
      <w:r>
        <w:rPr>
          <w:sz w:val="20"/>
          <w:szCs w:val="20"/>
        </w:rPr>
        <w:t>.</w:t>
      </w:r>
    </w:p>
    <w:p>
      <w:pPr>
        <w:pStyle w:val="5"/>
        <w:jc w:val="both"/>
        <w:rPr>
          <w:sz w:val="20"/>
          <w:szCs w:val="20"/>
        </w:rPr>
      </w:pPr>
      <w:bookmarkStart w:id="7" w:name="X380d4756a9019223baf518e7cbe355334460b18"/>
      <w:r>
        <w:rPr>
          <w:sz w:val="20"/>
          <w:szCs w:val="20"/>
        </w:rPr>
        <w:t>OE1: Hierarchical classification of fog and dew events</w:t>
      </w:r>
    </w:p>
    <w:p>
      <w:pPr>
        <w:pStyle w:val="26"/>
        <w:jc w:val="both"/>
        <w:rPr>
          <w:sz w:val="20"/>
          <w:szCs w:val="20"/>
        </w:rPr>
      </w:pPr>
      <w:r>
        <w:rPr>
          <w:sz w:val="20"/>
          <w:szCs w:val="20"/>
        </w:rPr>
        <w:t>To achieve the first specific objective, we used two criteria based on visibility and FLC detection, where visibility was the priority. Regardless of whether water is collected by the SFC or the SDC, the event is classified as fog if visibility falls below 1000 m. The event is classified as dew if visibility is equal to or above 1000 m. GOES-16 FLC served as a secondary criterion when visibility is unavailable, given its coarser spatial resolution and vertical uncertainty, since a detected low cloud pixel does not necessarily intersect the topography.</w:t>
      </w:r>
    </w:p>
    <w:p>
      <w:pPr>
        <w:pStyle w:val="3"/>
        <w:jc w:val="both"/>
        <w:rPr>
          <w:sz w:val="20"/>
          <w:szCs w:val="20"/>
        </w:rPr>
      </w:pPr>
      <w:bookmarkStart w:id="8" w:name="eq-classification"/>
      <m:oMathPara>
        <m:oMathParaPr>
          <m:jc m:val="center"/>
        </m:oMathParaPr>
        <m:oMath>
          <m:r>
            <m:rPr>
              <m:nor/>
              <m:sty m:val="p"/>
            </m:rPr>
            <w:rPr>
              <w:sz w:val="20"/>
              <w:szCs w:val="20"/>
            </w:rPr>
            <m:t>Event Type</m:t>
          </m:r>
          <m:r>
            <m:rPr>
              <m:sty m:val="p"/>
            </m:rPr>
            <w:rPr>
              <w:rFonts w:ascii="Cambria Math" w:hAnsi="Cambria Math"/>
              <w:sz w:val="20"/>
              <w:szCs w:val="20"/>
            </w:rPr>
            <m:t>=</m:t>
          </m:r>
          <m:d>
            <m:dPr>
              <m:begChr m:val="{"/>
              <m:endChr m:val=""/>
              <m:ctrlPr>
                <w:rPr>
                  <w:rFonts w:ascii="Cambria Math" w:hAnsi="Cambria Math"/>
                  <w:sz w:val="20"/>
                  <w:szCs w:val="20"/>
                </w:rPr>
              </m:ctrlPr>
            </m:dPr>
            <m:e>
              <m:m>
                <m:mPr>
                  <m:mcs>
                    <m:mc>
                      <m:mcPr>
                        <m:count m:val="2"/>
                        <m:mcJc m:val="left"/>
                      </m:mcPr>
                    </m:mc>
                  </m:mcs>
                  <m:plcHide m:val="1"/>
                  <m:ctrlPr>
                    <w:rPr>
                      <w:rFonts w:ascii="Cambria Math" w:hAnsi="Cambria Math"/>
                      <w:sz w:val="20"/>
                      <w:szCs w:val="20"/>
                    </w:rPr>
                  </m:ctrlPr>
                </m:mPr>
                <m:mr>
                  <m:e>
                    <m:r>
                      <m:rPr>
                        <m:nor/>
                        <m:sty m:val="p"/>
                      </m:rPr>
                      <w:rPr>
                        <w:sz w:val="20"/>
                        <w:szCs w:val="20"/>
                      </w:rPr>
                      <m:t>fog</m:t>
                    </m:r>
                    <m:r>
                      <m:rPr>
                        <m:sty m:val="p"/>
                      </m:rPr>
                      <w:rPr>
                        <w:rFonts w:ascii="Cambria Math" w:hAnsi="Cambria Math"/>
                        <w:sz w:val="20"/>
                        <w:szCs w:val="20"/>
                      </w:rPr>
                      <m:t>,</m:t>
                    </m:r>
                    <m:ctrlPr>
                      <w:rPr>
                        <w:rFonts w:ascii="Cambria Math" w:hAnsi="Cambria Math"/>
                        <w:sz w:val="20"/>
                        <w:szCs w:val="20"/>
                      </w:rPr>
                    </m:ctrlPr>
                  </m:e>
                  <m:e>
                    <m:r>
                      <m:rPr>
                        <m:nor/>
                        <m:sty m:val="p"/>
                      </m:rPr>
                      <w:rPr>
                        <w:sz w:val="20"/>
                        <w:szCs w:val="20"/>
                      </w:rPr>
                      <m:t>if visibility</m:t>
                    </m:r>
                    <m:r>
                      <m:rPr>
                        <m:sty m:val="p"/>
                      </m:rPr>
                      <w:rPr>
                        <w:rFonts w:ascii="Cambria Math" w:hAnsi="Cambria Math"/>
                        <w:sz w:val="20"/>
                        <w:szCs w:val="20"/>
                      </w:rPr>
                      <m:t>&lt;</m:t>
                    </m:r>
                    <m:r>
                      <m:rPr/>
                      <w:rPr>
                        <w:rFonts w:ascii="Cambria Math" w:hAnsi="Cambria Math"/>
                        <w:sz w:val="20"/>
                        <w:szCs w:val="20"/>
                      </w:rPr>
                      <m:t>1000</m:t>
                    </m:r>
                    <m:r>
                      <m:rPr>
                        <m:nor/>
                        <m:sty m:val="p"/>
                      </m:rPr>
                      <w:rPr>
                        <w:sz w:val="20"/>
                        <w:szCs w:val="20"/>
                      </w:rPr>
                      <m:t xml:space="preserve"> m, or </m:t>
                    </m:r>
                    <w:ins w:id="56" w:author="felipe" w:date="2026-09-28T10:39:20Z">
                      <m:r>
                        <m:rPr>
                          <m:nor/>
                          <m:sty m:val="p"/>
                        </m:rPr>
                        <w:rPr>
                          <w:rFonts w:hint="default" w:ascii="Cambria Math" w:hAnsi="Cambria Math"/>
                          <w:sz w:val="20"/>
                          <w:szCs w:val="20"/>
                          <w:lang w:val="es"/>
                        </w:rPr>
                        <m:t>v</m:t>
                      </m:r>
                    </w:ins>
                    <w:del w:id="57" w:author="felipe" w:date="2026-09-28T10:39:19Z">
                      <m:r>
                        <m:rPr>
                          <m:nor/>
                          <m:sty m:val="p"/>
                        </m:rPr>
                        <w:rPr>
                          <w:sz w:val="20"/>
                          <w:szCs w:val="20"/>
                        </w:rPr>
                        <m:t>V</m:t>
                      </m:r>
                    </w:del>
                    <m:r>
                      <m:rPr>
                        <m:nor/>
                        <m:sty m:val="p"/>
                      </m:rPr>
                      <w:rPr>
                        <w:sz w:val="20"/>
                        <w:szCs w:val="20"/>
                      </w:rPr>
                      <m:t>isibility is unavailable and GOES FLC</m:t>
                    </m:r>
                    <m:r>
                      <m:rPr>
                        <m:sty m:val="p"/>
                      </m:rPr>
                      <w:rPr>
                        <w:rFonts w:ascii="Cambria Math" w:hAnsi="Cambria Math"/>
                        <w:sz w:val="20"/>
                        <w:szCs w:val="20"/>
                      </w:rPr>
                      <m:t>=</m:t>
                    </m:r>
                    <m:r>
                      <m:rPr/>
                      <w:rPr>
                        <w:rFonts w:ascii="Cambria Math" w:hAnsi="Cambria Math"/>
                        <w:sz w:val="20"/>
                        <w:szCs w:val="20"/>
                      </w:rPr>
                      <m:t>1</m:t>
                    </m:r>
                    <m:ctrlPr>
                      <w:rPr>
                        <w:rFonts w:ascii="Cambria Math" w:hAnsi="Cambria Math"/>
                        <w:sz w:val="20"/>
                        <w:szCs w:val="20"/>
                      </w:rPr>
                    </m:ctrlPr>
                  </m:e>
                </m:mr>
                <m:mr>
                  <m:e>
                    <m:r>
                      <m:rPr>
                        <m:nor/>
                        <m:sty m:val="p"/>
                      </m:rPr>
                      <w:rPr>
                        <w:sz w:val="20"/>
                        <w:szCs w:val="20"/>
                      </w:rPr>
                      <m:t>dew</m:t>
                    </m:r>
                    <m:r>
                      <m:rPr>
                        <m:sty m:val="p"/>
                      </m:rPr>
                      <w:rPr>
                        <w:rFonts w:ascii="Cambria Math" w:hAnsi="Cambria Math"/>
                        <w:sz w:val="20"/>
                        <w:szCs w:val="20"/>
                      </w:rPr>
                      <m:t>,</m:t>
                    </m:r>
                    <m:ctrlPr>
                      <w:rPr>
                        <w:rFonts w:ascii="Cambria Math" w:hAnsi="Cambria Math"/>
                        <w:sz w:val="20"/>
                        <w:szCs w:val="20"/>
                      </w:rPr>
                    </m:ctrlPr>
                  </m:e>
                  <m:e>
                    <m:r>
                      <m:rPr>
                        <m:nor/>
                        <m:sty m:val="p"/>
                      </m:rPr>
                      <w:rPr>
                        <w:sz w:val="20"/>
                        <w:szCs w:val="20"/>
                      </w:rPr>
                      <m:t>if visibility</m:t>
                    </m:r>
                    <m:r>
                      <m:rPr>
                        <m:sty m:val="p"/>
                      </m:rPr>
                      <w:rPr>
                        <w:rFonts w:ascii="Cambria Math" w:hAnsi="Cambria Math"/>
                        <w:sz w:val="20"/>
                        <w:szCs w:val="20"/>
                      </w:rPr>
                      <m:t>≥</m:t>
                    </m:r>
                    <m:r>
                      <m:rPr/>
                      <w:rPr>
                        <w:rFonts w:ascii="Cambria Math" w:hAnsi="Cambria Math"/>
                        <w:sz w:val="20"/>
                        <w:szCs w:val="20"/>
                      </w:rPr>
                      <m:t>1000</m:t>
                    </m:r>
                    <m:r>
                      <m:rPr>
                        <m:nor/>
                        <m:sty m:val="p"/>
                      </m:rPr>
                      <w:rPr>
                        <w:sz w:val="20"/>
                        <w:szCs w:val="20"/>
                      </w:rPr>
                      <m:t xml:space="preserve"> m, or </m:t>
                    </m:r>
                    <w:ins w:id="58" w:author="felipe" w:date="2026-09-28T10:39:26Z">
                      <m:r>
                        <m:rPr>
                          <m:nor/>
                          <m:sty m:val="p"/>
                        </m:rPr>
                        <w:rPr>
                          <w:rFonts w:hint="default" w:ascii="Cambria Math" w:hAnsi="Cambria Math"/>
                          <w:sz w:val="20"/>
                          <w:szCs w:val="20"/>
                          <w:lang w:val="es"/>
                        </w:rPr>
                        <m:t>v</m:t>
                      </m:r>
                    </w:ins>
                    <w:del w:id="59" w:author="felipe" w:date="2026-09-28T10:39:25Z">
                      <m:r>
                        <m:rPr>
                          <m:nor/>
                          <m:sty m:val="p"/>
                        </m:rPr>
                        <w:rPr>
                          <w:sz w:val="20"/>
                          <w:szCs w:val="20"/>
                        </w:rPr>
                        <m:t>V</m:t>
                      </m:r>
                    </w:del>
                    <m:r>
                      <m:rPr>
                        <m:nor/>
                        <m:sty m:val="p"/>
                      </m:rPr>
                      <w:rPr>
                        <w:sz w:val="20"/>
                        <w:szCs w:val="20"/>
                      </w:rPr>
                      <m:t>isibility is unavailable and GOES FLC</m:t>
                    </m:r>
                    <m:r>
                      <m:rPr>
                        <m:sty m:val="p"/>
                      </m:rPr>
                      <w:rPr>
                        <w:rFonts w:ascii="Cambria Math" w:hAnsi="Cambria Math"/>
                        <w:sz w:val="20"/>
                        <w:szCs w:val="20"/>
                      </w:rPr>
                      <m:t>=</m:t>
                    </m:r>
                    <m:r>
                      <m:rPr/>
                      <w:rPr>
                        <w:rFonts w:ascii="Cambria Math" w:hAnsi="Cambria Math"/>
                        <w:sz w:val="20"/>
                        <w:szCs w:val="20"/>
                      </w:rPr>
                      <m:t>0</m:t>
                    </m:r>
                    <m:ctrlPr>
                      <w:rPr>
                        <w:rFonts w:ascii="Cambria Math" w:hAnsi="Cambria Math"/>
                        <w:sz w:val="20"/>
                        <w:szCs w:val="20"/>
                      </w:rPr>
                    </m:ctrlPr>
                  </m:e>
                </m:mr>
              </m:m>
              <m:ctrlPr>
                <w:rPr>
                  <w:rFonts w:ascii="Cambria Math" w:hAnsi="Cambria Math"/>
                  <w:sz w:val="20"/>
                  <w:szCs w:val="20"/>
                </w:rPr>
              </m:ctrlPr>
            </m:e>
          </m:d>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1</m:t>
          </m:r>
          <m:r>
            <m:rPr>
              <m:sty m:val="p"/>
            </m:rPr>
            <w:rPr>
              <w:rFonts w:ascii="Cambria Math" w:hAnsi="Cambria Math"/>
              <w:sz w:val="20"/>
              <w:szCs w:val="20"/>
            </w:rPr>
            <m:t>)</m:t>
          </m:r>
          <w:bookmarkEnd w:id="8"/>
        </m:oMath>
      </m:oMathPara>
    </w:p>
    <w:p>
      <w:pPr>
        <w:pStyle w:val="26"/>
        <w:jc w:val="both"/>
        <w:rPr>
          <w:sz w:val="20"/>
          <w:szCs w:val="20"/>
        </w:rPr>
      </w:pPr>
      <w:r>
        <w:rPr>
          <w:sz w:val="20"/>
          <w:szCs w:val="20"/>
        </w:rPr>
        <w:t>In addition to the classification algorithm, a manual review is performed</w:t>
      </w:r>
      <w:del w:id="60" w:author="felipe" w:date="2026-09-28T10:39:43Z">
        <w:r>
          <w:rPr>
            <w:sz w:val="20"/>
            <w:szCs w:val="20"/>
          </w:rPr>
          <w:delText xml:space="preserve"> for each day of 2024</w:delText>
        </w:r>
      </w:del>
      <w:r>
        <w:rPr>
          <w:sz w:val="20"/>
          <w:szCs w:val="20"/>
        </w:rPr>
        <w:t xml:space="preserve">. The automatic classification is compared against the visibility curve and the GOES signal. Isolated errors are corrected, and days of atypical behavior are documented. For example, an abrupt drop and recovery of visibility within a short period is likely caused by sensor </w:t>
      </w:r>
      <w:del w:id="61" w:author="felipe" w:date="2026-09-28T10:40:04Z">
        <w:r>
          <w:rPr>
            <w:sz w:val="20"/>
            <w:szCs w:val="20"/>
          </w:rPr>
          <w:delText>len</w:delText>
        </w:r>
      </w:del>
      <w:ins w:id="62" w:author="felipe" w:date="2026-09-28T10:40:04Z">
        <w:r>
          <w:rPr>
            <w:sz w:val="20"/>
            <w:szCs w:val="20"/>
            <w:lang w:val="es"/>
          </w:rPr>
          <w:t>lens</w:t>
        </w:r>
      </w:ins>
      <w:r>
        <w:rPr>
          <w:sz w:val="20"/>
          <w:szCs w:val="20"/>
        </w:rPr>
        <w:t xml:space="preserve"> dew condensation, or </w:t>
      </w:r>
      <w:commentRangeStart w:id="6"/>
      <w:r>
        <w:rPr>
          <w:sz w:val="20"/>
          <w:szCs w:val="20"/>
        </w:rPr>
        <w:t>debris</w:t>
      </w:r>
      <w:commentRangeEnd w:id="6"/>
      <w:r>
        <w:commentReference w:id="6"/>
      </w:r>
      <w:r>
        <w:rPr>
          <w:sz w:val="20"/>
          <w:szCs w:val="20"/>
        </w:rPr>
        <w:t xml:space="preserve"> rather than an actual fog event, and is reclassified as dew. Likewise, when a continuous event is interrupted by an isolated 10-minute segment classified differently, this segment is corrected to match the surrounding event.</w:t>
      </w:r>
    </w:p>
    <w:bookmarkEnd w:id="7"/>
    <w:p>
      <w:pPr>
        <w:pStyle w:val="5"/>
        <w:jc w:val="both"/>
        <w:rPr>
          <w:sz w:val="20"/>
          <w:szCs w:val="20"/>
        </w:rPr>
      </w:pPr>
      <w:bookmarkStart w:id="9" w:name="Xb6bc1beffb3397ffc24ca68bc6f665c5fea9262"/>
      <w:r>
        <w:rPr>
          <w:sz w:val="20"/>
          <w:szCs w:val="20"/>
        </w:rPr>
        <w:t xml:space="preserve">OE2: </w:t>
      </w:r>
      <w:ins w:id="63" w:author="felipe" w:date="2026-09-28T10:47:47Z">
        <w:r>
          <w:rPr>
            <w:rFonts w:hint="default"/>
            <w:sz w:val="20"/>
            <w:szCs w:val="20"/>
            <w:lang w:val="es"/>
          </w:rPr>
          <w:t>Analy</w:t>
        </w:r>
      </w:ins>
      <w:ins w:id="64" w:author="felipe" w:date="2026-09-28T10:47:48Z">
        <w:r>
          <w:rPr>
            <w:rFonts w:hint="default"/>
            <w:sz w:val="20"/>
            <w:szCs w:val="20"/>
            <w:lang w:val="es"/>
          </w:rPr>
          <w:t xml:space="preserve">se </w:t>
        </w:r>
      </w:ins>
      <w:ins w:id="65" w:author="felipe" w:date="2026-09-28T10:47:49Z">
        <w:r>
          <w:rPr>
            <w:rFonts w:hint="default"/>
            <w:sz w:val="20"/>
            <w:szCs w:val="20"/>
            <w:lang w:val="es"/>
          </w:rPr>
          <w:t>the</w:t>
        </w:r>
      </w:ins>
      <w:ins w:id="66" w:author="felipe" w:date="2026-09-28T10:47:50Z">
        <w:r>
          <w:rPr>
            <w:rFonts w:hint="default"/>
            <w:sz w:val="20"/>
            <w:szCs w:val="20"/>
            <w:lang w:val="es"/>
          </w:rPr>
          <w:t xml:space="preserve"> atm</w:t>
        </w:r>
      </w:ins>
      <w:ins w:id="67" w:author="felipe" w:date="2026-09-28T10:47:51Z">
        <w:r>
          <w:rPr>
            <w:rFonts w:hint="default"/>
            <w:sz w:val="20"/>
            <w:szCs w:val="20"/>
            <w:lang w:val="es"/>
          </w:rPr>
          <w:t>ospheric</w:t>
        </w:r>
      </w:ins>
      <w:ins w:id="68" w:author="felipe" w:date="2026-09-28T10:47:52Z">
        <w:r>
          <w:rPr>
            <w:rFonts w:hint="default"/>
            <w:sz w:val="20"/>
            <w:szCs w:val="20"/>
            <w:lang w:val="es"/>
          </w:rPr>
          <w:t xml:space="preserve"> stab</w:t>
        </w:r>
      </w:ins>
      <w:ins w:id="69" w:author="felipe" w:date="2026-09-28T10:47:53Z">
        <w:r>
          <w:rPr>
            <w:rFonts w:hint="default"/>
            <w:sz w:val="20"/>
            <w:szCs w:val="20"/>
            <w:lang w:val="es"/>
          </w:rPr>
          <w:t xml:space="preserve">ility </w:t>
        </w:r>
      </w:ins>
      <w:ins w:id="70" w:author="felipe" w:date="2026-09-28T10:47:54Z">
        <w:r>
          <w:rPr>
            <w:rFonts w:hint="default"/>
            <w:sz w:val="20"/>
            <w:szCs w:val="20"/>
            <w:lang w:val="es"/>
          </w:rPr>
          <w:t>throu</w:t>
        </w:r>
      </w:ins>
      <w:ins w:id="71" w:author="felipe" w:date="2026-09-28T10:47:55Z">
        <w:r>
          <w:rPr>
            <w:rFonts w:hint="default"/>
            <w:sz w:val="20"/>
            <w:szCs w:val="20"/>
            <w:lang w:val="es"/>
          </w:rPr>
          <w:t>gh</w:t>
        </w:r>
      </w:ins>
      <w:del w:id="72" w:author="felipe" w:date="2026-09-28T10:47:58Z">
        <w:r>
          <w:rPr>
            <w:rFonts w:hint="default"/>
            <w:sz w:val="20"/>
            <w:szCs w:val="20"/>
            <w:lang w:val="en-US"/>
          </w:rPr>
          <w:delText>Calculation of</w:delText>
        </w:r>
      </w:del>
      <w:ins w:id="73" w:author="felipe" w:date="2026-09-28T10:47:58Z">
        <w:r>
          <w:rPr>
            <w:rFonts w:hint="default"/>
            <w:sz w:val="20"/>
            <w:szCs w:val="20"/>
            <w:lang w:val="es"/>
          </w:rPr>
          <w:t xml:space="preserve"> the</w:t>
        </w:r>
      </w:ins>
      <w:r>
        <w:rPr>
          <w:sz w:val="20"/>
          <w:szCs w:val="20"/>
        </w:rPr>
        <w:t xml:space="preserve"> thermodynamic</w:t>
      </w:r>
      <w:ins w:id="74" w:author="felipe" w:date="2026-09-28T10:40:40Z">
        <w:r>
          <w:rPr>
            <w:rFonts w:hint="default"/>
            <w:sz w:val="20"/>
            <w:szCs w:val="20"/>
            <w:lang w:val="es"/>
          </w:rPr>
          <w:t xml:space="preserve"> ve</w:t>
        </w:r>
      </w:ins>
      <w:ins w:id="75" w:author="felipe" w:date="2026-09-28T10:40:41Z">
        <w:r>
          <w:rPr>
            <w:rFonts w:hint="default"/>
            <w:sz w:val="20"/>
            <w:szCs w:val="20"/>
            <w:lang w:val="es"/>
          </w:rPr>
          <w:t>rtical</w:t>
        </w:r>
      </w:ins>
      <w:r>
        <w:rPr>
          <w:sz w:val="20"/>
          <w:szCs w:val="20"/>
        </w:rPr>
        <w:t xml:space="preserve"> gradients</w:t>
      </w:r>
    </w:p>
    <w:p>
      <w:pPr>
        <w:pStyle w:val="26"/>
        <w:jc w:val="both"/>
        <w:rPr>
          <w:sz w:val="20"/>
          <w:szCs w:val="20"/>
        </w:rPr>
      </w:pPr>
      <w:r>
        <w:rPr>
          <w:sz w:val="20"/>
          <w:szCs w:val="20"/>
        </w:rPr>
        <w:t>After reclassified fog and dew events using the satellite and visibility criteria, we analyse the atmospheric stability of fog and dew reclassified event. For analyzing the atmospheric stability we use two thermodynamic conserved variables of potential temperature (θ)</w:t>
      </w:r>
      <w:ins w:id="76" w:author="felipe" w:date="2026-09-28T10:48:36Z">
        <w:r>
          <w:rPr>
            <w:rFonts w:hint="default"/>
            <w:sz w:val="20"/>
            <w:szCs w:val="20"/>
            <w:lang w:val="es"/>
          </w:rPr>
          <w:t>,</w:t>
        </w:r>
      </w:ins>
      <w:del w:id="77" w:author="felipe" w:date="2026-09-28T10:48:35Z">
        <w:r>
          <w:rPr>
            <w:sz w:val="20"/>
            <w:szCs w:val="20"/>
          </w:rPr>
          <w:delText xml:space="preserve"> an</w:delText>
        </w:r>
      </w:del>
      <w:del w:id="78" w:author="felipe" w:date="2026-09-28T10:48:34Z">
        <w:r>
          <w:rPr>
            <w:sz w:val="20"/>
            <w:szCs w:val="20"/>
          </w:rPr>
          <w:delText>d</w:delText>
        </w:r>
      </w:del>
      <w:r>
        <w:rPr>
          <w:sz w:val="20"/>
          <w:szCs w:val="20"/>
        </w:rPr>
        <w:t xml:space="preserve"> specific humidity (q)</w:t>
      </w:r>
      <w:ins w:id="79" w:author="felipe" w:date="2026-09-28T10:48:39Z">
        <w:r>
          <w:rPr>
            <w:rFonts w:hint="default"/>
            <w:sz w:val="20"/>
            <w:szCs w:val="20"/>
            <w:lang w:val="es"/>
          </w:rPr>
          <w:t xml:space="preserve"> and </w:t>
        </w:r>
      </w:ins>
      <w:ins w:id="80" w:author="felipe" w:date="2026-09-28T10:48:40Z">
        <w:r>
          <w:rPr>
            <w:rFonts w:hint="default"/>
            <w:sz w:val="20"/>
            <w:szCs w:val="20"/>
            <w:lang w:val="es"/>
          </w:rPr>
          <w:t>wi</w:t>
        </w:r>
      </w:ins>
      <w:ins w:id="81" w:author="felipe" w:date="2026-09-28T10:48:41Z">
        <w:r>
          <w:rPr>
            <w:rFonts w:hint="default"/>
            <w:sz w:val="20"/>
            <w:szCs w:val="20"/>
            <w:lang w:val="es"/>
          </w:rPr>
          <w:t>nd speed</w:t>
        </w:r>
      </w:ins>
      <w:ins w:id="82" w:author="felipe" w:date="2026-09-28T10:48:42Z">
        <w:r>
          <w:rPr>
            <w:rFonts w:hint="default"/>
            <w:sz w:val="20"/>
            <w:szCs w:val="20"/>
            <w:lang w:val="es"/>
          </w:rPr>
          <w:t xml:space="preserve"> (</w:t>
        </w:r>
      </w:ins>
      <w:ins w:id="83" w:author="felipe" w:date="2026-09-28T10:48:44Z">
        <w:r>
          <w:rPr>
            <w:rFonts w:hint="default"/>
            <w:sz w:val="20"/>
            <w:szCs w:val="20"/>
            <w:lang w:val="es"/>
          </w:rPr>
          <w:t>U</w:t>
        </w:r>
      </w:ins>
      <w:ins w:id="84" w:author="felipe" w:date="2026-09-28T10:48:42Z">
        <w:r>
          <w:rPr>
            <w:rFonts w:hint="default"/>
            <w:sz w:val="20"/>
            <w:szCs w:val="20"/>
            <w:lang w:val="es"/>
          </w:rPr>
          <w:t>)</w:t>
        </w:r>
      </w:ins>
      <w:r>
        <w:rPr>
          <w:sz w:val="20"/>
          <w:szCs w:val="20"/>
        </w:rPr>
        <w:t>. Potential temperature is calculated as follows:</w:t>
      </w:r>
    </w:p>
    <w:p>
      <w:pPr>
        <w:pStyle w:val="3"/>
        <w:jc w:val="both"/>
        <w:rPr>
          <w:sz w:val="20"/>
          <w:szCs w:val="20"/>
        </w:rPr>
      </w:pPr>
      <w:bookmarkStart w:id="10" w:name="eq-theta"/>
      <m:oMathPara>
        <m:oMathParaPr>
          <m:jc m:val="center"/>
        </m:oMathParaPr>
        <m:oMath>
          <m:r>
            <m:rPr/>
            <w:rPr>
              <w:rFonts w:ascii="Cambria Math" w:hAnsi="Cambria Math"/>
              <w:sz w:val="20"/>
              <w:szCs w:val="20"/>
            </w:rPr>
            <m:t>θ</m:t>
          </m:r>
          <m:r>
            <m:rPr>
              <m:sty m:val="p"/>
            </m:rPr>
            <w:rPr>
              <w:rFonts w:ascii="Cambria Math" w:hAnsi="Cambria Math"/>
              <w:sz w:val="20"/>
              <w:szCs w:val="20"/>
            </w:rPr>
            <m:t>=</m:t>
          </m:r>
          <m:r>
            <m:rPr/>
            <w:rPr>
              <w:rFonts w:ascii="Cambria Math" w:hAnsi="Cambria Math"/>
              <w:sz w:val="20"/>
              <w:szCs w:val="20"/>
            </w:rPr>
            <m:t>T</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m:rPr/>
                            <w:rPr>
                              <w:rFonts w:ascii="Cambria Math" w:hAnsi="Cambria Math"/>
                              <w:sz w:val="20"/>
                              <w:szCs w:val="20"/>
                            </w:rPr>
                            <m:t>P</m:t>
                          </m:r>
                          <m:ctrlPr>
                            <w:rPr>
                              <w:rFonts w:ascii="Cambria Math" w:hAnsi="Cambria Math"/>
                              <w:sz w:val="20"/>
                              <w:szCs w:val="20"/>
                            </w:rPr>
                          </m:ctrlPr>
                        </m:e>
                        <m:sub>
                          <m:r>
                            <m:rPr/>
                            <w:rPr>
                              <w:rFonts w:ascii="Cambria Math" w:hAnsi="Cambria Math"/>
                              <w:sz w:val="20"/>
                              <w:szCs w:val="20"/>
                            </w:rPr>
                            <m:t>0</m:t>
                          </m:r>
                          <m:ctrlPr>
                            <w:rPr>
                              <w:rFonts w:ascii="Cambria Math" w:hAnsi="Cambria Math"/>
                              <w:sz w:val="20"/>
                              <w:szCs w:val="20"/>
                            </w:rPr>
                          </m:ctrlPr>
                        </m:sub>
                      </m:sSub>
                      <m:ctrlPr>
                        <w:rPr>
                          <w:rFonts w:ascii="Cambria Math" w:hAnsi="Cambria Math"/>
                          <w:sz w:val="20"/>
                          <w:szCs w:val="20"/>
                        </w:rPr>
                      </m:ctrlPr>
                    </m:num>
                    <m:den>
                      <m:r>
                        <m:rPr/>
                        <w:rPr>
                          <w:rFonts w:ascii="Cambria Math" w:hAnsi="Cambria Math"/>
                          <w:sz w:val="20"/>
                          <w:szCs w:val="20"/>
                        </w:rPr>
                        <m:t>P</m:t>
                      </m:r>
                      <m:ctrlPr>
                        <w:rPr>
                          <w:rFonts w:ascii="Cambria Math" w:hAnsi="Cambria Math"/>
                          <w:sz w:val="20"/>
                          <w:szCs w:val="20"/>
                        </w:rPr>
                      </m:ctrlPr>
                    </m:den>
                  </m:f>
                  <m:ctrlPr>
                    <w:rPr>
                      <w:rFonts w:ascii="Cambria Math" w:hAnsi="Cambria Math"/>
                      <w:sz w:val="20"/>
                      <w:szCs w:val="20"/>
                    </w:rPr>
                  </m:ctrlPr>
                </m:e>
              </m:d>
              <m:ctrlPr>
                <w:rPr>
                  <w:rFonts w:ascii="Cambria Math" w:hAnsi="Cambria Math"/>
                  <w:sz w:val="20"/>
                  <w:szCs w:val="20"/>
                </w:rPr>
              </m:ctrlPr>
            </m:e>
            <m:sup>
              <m:r>
                <m:rPr/>
                <w:rPr>
                  <w:rFonts w:ascii="Cambria Math" w:hAnsi="Cambria Math"/>
                  <w:sz w:val="20"/>
                  <w:szCs w:val="20"/>
                </w:rPr>
                <m:t>R</m:t>
              </m:r>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C</m:t>
                  </m:r>
                  <m:ctrlPr>
                    <w:rPr>
                      <w:rFonts w:ascii="Cambria Math" w:hAnsi="Cambria Math"/>
                      <w:sz w:val="20"/>
                      <w:szCs w:val="20"/>
                    </w:rPr>
                  </m:ctrlPr>
                </m:e>
                <m:sub>
                  <m:r>
                    <m:rPr/>
                    <w:rPr>
                      <w:rFonts w:ascii="Cambria Math" w:hAnsi="Cambria Math"/>
                      <w:sz w:val="20"/>
                      <w:szCs w:val="20"/>
                    </w:rPr>
                    <m:t>p</m:t>
                  </m:r>
                  <m:ctrlPr>
                    <w:rPr>
                      <w:rFonts w:ascii="Cambria Math" w:hAnsi="Cambria Math"/>
                      <w:sz w:val="20"/>
                      <w:szCs w:val="20"/>
                    </w:rPr>
                  </m:ctrlPr>
                </m:sub>
              </m:sSub>
              <m:ctrlPr>
                <w:rPr>
                  <w:rFonts w:ascii="Cambria Math" w:hAnsi="Cambria Math"/>
                  <w:sz w:val="20"/>
                  <w:szCs w:val="20"/>
                </w:rPr>
              </m:ctrlPr>
            </m:sup>
          </m:sSup>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2</m:t>
          </m:r>
          <m:r>
            <m:rPr>
              <m:sty m:val="p"/>
            </m:rPr>
            <w:rPr>
              <w:rFonts w:ascii="Cambria Math" w:hAnsi="Cambria Math"/>
              <w:sz w:val="20"/>
              <w:szCs w:val="20"/>
            </w:rPr>
            <m:t>)</m:t>
          </m:r>
          <w:bookmarkEnd w:id="10"/>
        </m:oMath>
      </m:oMathPara>
    </w:p>
    <w:p>
      <w:pPr>
        <w:pStyle w:val="26"/>
        <w:jc w:val="both"/>
        <w:rPr>
          <w:sz w:val="20"/>
          <w:szCs w:val="20"/>
        </w:rPr>
      </w:pPr>
      <w:r>
        <w:rPr>
          <w:sz w:val="20"/>
          <w:szCs w:val="20"/>
        </w:rPr>
        <w:t>where T is the absolute air temperature (K), P</w:t>
      </w:r>
      <w:r>
        <w:rPr>
          <w:sz w:val="20"/>
          <w:szCs w:val="20"/>
          <w:vertAlign w:val="subscript"/>
          <w:rPrChange w:id="85" w:author="felipe" w:date="2026-09-28T10:48:53Z">
            <w:rPr>
              <w:sz w:val="20"/>
              <w:szCs w:val="20"/>
            </w:rPr>
          </w:rPrChange>
        </w:rPr>
        <w:t>0</w:t>
      </w:r>
      <w:r>
        <w:rPr>
          <w:sz w:val="20"/>
          <w:szCs w:val="20"/>
        </w:rPr>
        <w:t xml:space="preserve"> is the pressure (hPa) measured at the lowest station,</w:t>
      </w:r>
      <w:ins w:id="86" w:author="felipe" w:date="2026-09-28T10:48:57Z">
        <w:r>
          <w:rPr>
            <w:rFonts w:hint="default"/>
            <w:sz w:val="20"/>
            <w:szCs w:val="20"/>
            <w:lang w:val="es"/>
          </w:rPr>
          <w:t xml:space="preserve"> </w:t>
        </w:r>
      </w:ins>
      <w:r>
        <w:rPr>
          <w:sz w:val="20"/>
          <w:szCs w:val="20"/>
        </w:rPr>
        <w:t xml:space="preserve">P is the </w:t>
      </w:r>
      <w:ins w:id="87" w:author="felipe" w:date="2026-09-28T10:49:01Z">
        <w:r>
          <w:rPr>
            <w:rFonts w:hint="default"/>
            <w:sz w:val="20"/>
            <w:szCs w:val="20"/>
            <w:lang w:val="es"/>
          </w:rPr>
          <w:t>a</w:t>
        </w:r>
      </w:ins>
      <w:ins w:id="88" w:author="felipe" w:date="2026-09-28T10:49:02Z">
        <w:r>
          <w:rPr>
            <w:rFonts w:hint="default"/>
            <w:sz w:val="20"/>
            <w:szCs w:val="20"/>
            <w:lang w:val="es"/>
          </w:rPr>
          <w:t>tmosph</w:t>
        </w:r>
      </w:ins>
      <w:ins w:id="89" w:author="felipe" w:date="2026-09-28T10:49:03Z">
        <w:r>
          <w:rPr>
            <w:rFonts w:hint="default"/>
            <w:sz w:val="20"/>
            <w:szCs w:val="20"/>
            <w:lang w:val="es"/>
          </w:rPr>
          <w:t>eric</w:t>
        </w:r>
      </w:ins>
      <w:ins w:id="90" w:author="felipe" w:date="2026-09-28T10:49:04Z">
        <w:r>
          <w:rPr>
            <w:rFonts w:hint="default"/>
            <w:sz w:val="20"/>
            <w:szCs w:val="20"/>
            <w:lang w:val="es"/>
          </w:rPr>
          <w:t xml:space="preserve"> </w:t>
        </w:r>
      </w:ins>
      <w:r>
        <w:rPr>
          <w:sz w:val="20"/>
          <w:szCs w:val="20"/>
        </w:rPr>
        <w:t>pressure level at every station (hPa), R is the constant gas of dry air (287.08 J kg⁻¹ K⁻¹) and c</w:t>
      </w:r>
      <w:r>
        <w:rPr>
          <w:sz w:val="20"/>
          <w:szCs w:val="20"/>
          <w:vertAlign w:val="subscript"/>
          <w:rPrChange w:id="91" w:author="felipe" w:date="2026-09-28T10:49:11Z">
            <w:rPr>
              <w:sz w:val="20"/>
              <w:szCs w:val="20"/>
            </w:rPr>
          </w:rPrChange>
        </w:rPr>
        <w:t>p</w:t>
      </w:r>
      <w:r>
        <w:rPr>
          <w:sz w:val="20"/>
          <w:szCs w:val="20"/>
        </w:rPr>
        <w:t xml:space="preserve"> is the specific heat of dry air (1004.67 J kg⁻¹ K⁻¹). Specific humidity (q) is approximated using the mixing ratio (r), since in the lower troposphere the water vapor mass is much smaller than the dry air mass and the total pressure greatly exceeds the vapor pressure, so that q ≈ r. ‘q’ is estimated using the following expression:</w:t>
      </w:r>
    </w:p>
    <w:p>
      <w:pPr>
        <w:pStyle w:val="3"/>
        <w:jc w:val="both"/>
        <w:rPr>
          <w:sz w:val="20"/>
          <w:szCs w:val="20"/>
        </w:rPr>
      </w:pPr>
      <m:oMathPara>
        <m:oMathParaPr>
          <m:jc m:val="center"/>
        </m:oMathParaPr>
        <m:oMath>
          <w:bookmarkStart w:id="11" w:name="eq-q"/>
          <m:r>
            <m:rPr/>
            <w:rPr>
              <w:rFonts w:ascii="Cambria Math" w:hAnsi="Cambria Math"/>
              <w:sz w:val="20"/>
              <w:szCs w:val="20"/>
            </w:rPr>
            <m:t>q</m:t>
          </m:r>
          <m:r>
            <m:rPr>
              <m:sty m:val="p"/>
            </m:rPr>
            <w:rPr>
              <w:rFonts w:ascii="Cambria Math" w:hAnsi="Cambria Math"/>
              <w:sz w:val="20"/>
              <w:szCs w:val="20"/>
            </w:rPr>
            <m:t>≈</m:t>
          </m:r>
          <m:r>
            <m:rPr/>
            <w:rPr>
              <w:rFonts w:ascii="Cambria Math" w:hAnsi="Cambria Math"/>
              <w:sz w:val="20"/>
              <w:szCs w:val="20"/>
            </w:rPr>
            <m:t>r</m:t>
          </m:r>
          <m:r>
            <m:rPr>
              <m:sty m:val="p"/>
            </m:rPr>
            <w:rPr>
              <w:rFonts w:ascii="Cambria Math" w:hAnsi="Cambria Math"/>
              <w:sz w:val="20"/>
              <w:szCs w:val="20"/>
            </w:rPr>
            <m:t>=</m:t>
          </m:r>
          <m:r>
            <m:rPr/>
            <w:rPr>
              <w:rFonts w:ascii="Cambria Math" w:hAnsi="Cambria Math"/>
              <w:sz w:val="20"/>
              <w:szCs w:val="20"/>
            </w:rPr>
            <m:t>ϵ</m:t>
          </m:r>
          <m:f>
            <m:fPr>
              <m:ctrlPr>
                <w:rPr>
                  <w:rFonts w:ascii="Cambria Math" w:hAnsi="Cambria Math"/>
                  <w:sz w:val="20"/>
                  <w:szCs w:val="20"/>
                </w:rPr>
              </m:ctrlPr>
            </m:fPr>
            <m:num>
              <m:r>
                <m:rPr/>
                <w:rPr>
                  <w:rFonts w:ascii="Cambria Math" w:hAnsi="Cambria Math"/>
                  <w:sz w:val="20"/>
                  <w:szCs w:val="20"/>
                </w:rPr>
                <m:t>e</m:t>
              </m:r>
              <m:ctrlPr>
                <w:rPr>
                  <w:rFonts w:ascii="Cambria Math" w:hAnsi="Cambria Math"/>
                  <w:sz w:val="20"/>
                  <w:szCs w:val="20"/>
                </w:rPr>
              </m:ctrlPr>
            </m:num>
            <m:den>
              <m:r>
                <m:rPr/>
                <w:rPr>
                  <w:rFonts w:ascii="Cambria Math" w:hAnsi="Cambria Math"/>
                  <w:sz w:val="20"/>
                  <w:szCs w:val="20"/>
                </w:rPr>
                <m:t>P</m:t>
              </m:r>
              <m:r>
                <m:rPr>
                  <m:sty m:val="p"/>
                </m:rPr>
                <w:rPr>
                  <w:rFonts w:ascii="Cambria Math" w:hAnsi="Cambria Math"/>
                  <w:sz w:val="20"/>
                  <w:szCs w:val="20"/>
                </w:rPr>
                <m:t>−</m:t>
              </m:r>
              <m:r>
                <m:rPr/>
                <w:rPr>
                  <w:rFonts w:ascii="Cambria Math" w:hAnsi="Cambria Math"/>
                  <w:sz w:val="20"/>
                  <w:szCs w:val="20"/>
                </w:rPr>
                <m:t>e</m:t>
              </m:r>
              <m:ctrlPr>
                <w:rPr>
                  <w:rFonts w:ascii="Cambria Math" w:hAnsi="Cambria Math"/>
                  <w:sz w:val="20"/>
                  <w:szCs w:val="20"/>
                </w:rPr>
              </m:ctrlPr>
            </m:den>
          </m:f>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3</m:t>
          </m:r>
          <m:r>
            <m:rPr>
              <m:sty m:val="p"/>
            </m:rPr>
            <w:rPr>
              <w:rFonts w:ascii="Cambria Math" w:hAnsi="Cambria Math"/>
              <w:sz w:val="20"/>
              <w:szCs w:val="20"/>
            </w:rPr>
            <m:t>)</m:t>
          </m:r>
        </m:oMath>
      </m:oMathPara>
      <w:bookmarkEnd w:id="11"/>
    </w:p>
    <w:p>
      <w:pPr>
        <w:pStyle w:val="26"/>
        <w:jc w:val="both"/>
        <w:rPr>
          <w:sz w:val="20"/>
          <w:szCs w:val="20"/>
        </w:rPr>
      </w:pPr>
      <w:r>
        <w:rPr>
          <w:sz w:val="20"/>
          <w:szCs w:val="20"/>
        </w:rPr>
        <w:t>where ϵ is he ratio of the molecular weight of water vapor to that of dry air (ϵ=0.622 kg kg</w:t>
      </w:r>
      <w:r>
        <w:rPr>
          <w:sz w:val="20"/>
          <w:szCs w:val="20"/>
          <w:vertAlign w:val="superscript"/>
        </w:rPr>
        <w:t>-1</w:t>
      </w:r>
      <w:r>
        <w:rPr>
          <w:sz w:val="20"/>
          <w:szCs w:val="20"/>
        </w:rPr>
        <w:t>), e is the water vapor pressure (hPa), obtained from relative humidity</w:t>
      </w:r>
      <w:r>
        <w:commentReference w:id="7"/>
      </w:r>
      <w:del w:id="92" w:author="felipe" w:date="2026-09-28T10:49:48Z">
        <w:r>
          <w:rPr>
            <w:sz w:val="20"/>
            <w:szCs w:val="20"/>
          </w:rPr>
          <w:delText>, and P (hPa) is the atmospheric pressure</w:delText>
        </w:r>
      </w:del>
      <w:r>
        <w:rPr>
          <w:sz w:val="20"/>
          <w:szCs w:val="20"/>
        </w:rPr>
        <w:t>.</w:t>
      </w:r>
    </w:p>
    <w:p>
      <w:pPr>
        <w:pStyle w:val="3"/>
        <w:jc w:val="both"/>
        <w:rPr>
          <w:sz w:val="20"/>
          <w:szCs w:val="20"/>
        </w:rPr>
      </w:pPr>
      <w:r>
        <w:rPr>
          <w:sz w:val="20"/>
          <w:szCs w:val="20"/>
        </w:rPr>
        <w:t>To calculate the vertical gradients that a</w:t>
      </w:r>
      <w:ins w:id="93" w:author="felipe" w:date="2026-09-28T10:50:08Z">
        <w:r>
          <w:rPr>
            <w:rFonts w:hint="default"/>
            <w:sz w:val="20"/>
            <w:szCs w:val="20"/>
            <w:lang w:val="es"/>
          </w:rPr>
          <w:t>r</w:t>
        </w:r>
      </w:ins>
      <w:r>
        <w:rPr>
          <w:sz w:val="20"/>
          <w:szCs w:val="20"/>
        </w:rPr>
        <w:t>e used as a proxy of atmospheric stability we used:</w:t>
      </w:r>
    </w:p>
    <w:p>
      <w:pPr>
        <w:pStyle w:val="3"/>
        <w:jc w:val="both"/>
        <w:rPr>
          <w:sz w:val="20"/>
          <w:szCs w:val="20"/>
        </w:rPr>
      </w:pPr>
      <w:bookmarkStart w:id="12" w:name="eq-dphi-dz"/>
      <m:oMathPara>
        <m:oMathParaPr>
          <m:jc m:val="center"/>
        </m:oMathParaPr>
        <m:oMath>
          <m:f>
            <m:fPr>
              <m:ctrlPr>
                <w:rPr>
                  <w:rFonts w:ascii="Cambria Math" w:hAnsi="Cambria Math"/>
                  <w:sz w:val="20"/>
                  <w:szCs w:val="20"/>
                </w:rPr>
              </m:ctrlPr>
            </m:fPr>
            <m:num>
              <m:r>
                <m:rPr>
                  <m:sty m:val="p"/>
                </m:rPr>
                <w:rPr>
                  <w:rFonts w:ascii="Cambria Math" w:hAnsi="Cambria Math"/>
                  <w:sz w:val="20"/>
                  <w:szCs w:val="20"/>
                </w:rPr>
                <m:t>∂</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m:t>
              </m:r>
              <m:r>
                <m:rPr/>
                <w:rPr>
                  <w:rFonts w:ascii="Cambria Math" w:hAnsi="Cambria Math"/>
                  <w:sz w:val="20"/>
                  <w:szCs w:val="20"/>
                </w:rPr>
                <m:t>z</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Δ</m:t>
              </m:r>
              <m:r>
                <m:rPr/>
                <w:rPr>
                  <w:rFonts w:ascii="Cambria Math" w:hAnsi="Cambria Math"/>
                  <w:sz w:val="20"/>
                  <w:szCs w:val="20"/>
                </w:rPr>
                <m:t>z</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num>
            <m:den>
              <m:sSub>
                <m:sSubPr>
                  <m:ctrlPr>
                    <w:rPr>
                      <w:rFonts w:ascii="Cambria Math" w:hAnsi="Cambria Math"/>
                      <w:sz w:val="20"/>
                      <w:szCs w:val="20"/>
                    </w:rPr>
                  </m:ctrlPr>
                </m:sSubPr>
                <m:e>
                  <m:r>
                    <m:rPr/>
                    <w:rPr>
                      <w:rFonts w:ascii="Cambria Math" w:hAnsi="Cambria Math"/>
                      <w:sz w:val="20"/>
                      <w:szCs w:val="20"/>
                    </w:rPr>
                    <m:t>z</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z</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den>
          </m:f>
          <m:r>
            <m:rPr>
              <m:sty m:val="p"/>
            </m:rPr>
            <w:rPr>
              <w:rFonts w:ascii="Cambria Math" w:hAnsi="Cambria Math"/>
              <w:sz w:val="20"/>
              <w:szCs w:val="20"/>
            </w:rPr>
            <m:t>,</m:t>
          </m:r>
          <m:r>
            <m:rPr/>
            <w:rPr>
              <w:rFonts w:ascii="Cambria Math" w:hAnsi="Cambria Math"/>
              <w:sz w:val="20"/>
              <w:szCs w:val="20"/>
            </w:rPr>
            <m:t> ϕ</m:t>
          </m:r>
          <m:r>
            <m:rPr>
              <m:sty m:val="p"/>
            </m:rPr>
            <w:rPr>
              <w:rFonts w:ascii="Cambria Math" w:hAnsi="Cambria Math"/>
              <w:sz w:val="20"/>
              <w:szCs w:val="20"/>
            </w:rPr>
            <m:t>∈{</m:t>
          </m:r>
          <m:r>
            <m:rPr/>
            <w:rPr>
              <w:rFonts w:ascii="Cambria Math" w:hAnsi="Cambria Math"/>
              <w:sz w:val="20"/>
              <w:szCs w:val="20"/>
            </w:rPr>
            <m:t>θ</m:t>
          </m:r>
          <m:r>
            <m:rPr>
              <m:sty m:val="p"/>
            </m:rPr>
            <w:rPr>
              <w:rFonts w:ascii="Cambria Math" w:hAnsi="Cambria Math"/>
              <w:sz w:val="20"/>
              <w:szCs w:val="20"/>
            </w:rPr>
            <m:t>,</m:t>
          </m:r>
          <m:r>
            <m:rPr/>
            <w:rPr>
              <w:rFonts w:ascii="Cambria Math" w:hAnsi="Cambria Math"/>
              <w:sz w:val="20"/>
              <w:szCs w:val="20"/>
            </w:rPr>
            <m:t>q</m:t>
          </m:r>
          <m:r>
            <m:rPr>
              <m:sty m:val="p"/>
            </m:rPr>
            <w:rPr>
              <w:rFonts w:ascii="Cambria Math" w:hAnsi="Cambria Math"/>
              <w:sz w:val="20"/>
              <w:szCs w:val="20"/>
            </w:rPr>
            <m:t>,</m:t>
          </m:r>
          <m:r>
            <m:rPr/>
            <w:rPr>
              <w:rFonts w:ascii="Cambria Math" w:hAnsi="Cambria Math"/>
              <w:sz w:val="20"/>
              <w:szCs w:val="20"/>
            </w:rPr>
            <m:t>U</m:t>
          </m:r>
          <m:r>
            <m:rPr>
              <m:sty m:val="p"/>
            </m:rPr>
            <w:rPr>
              <w:rFonts w:ascii="Cambria Math" w:hAnsi="Cambria Math"/>
              <w:sz w:val="20"/>
              <w:szCs w:val="20"/>
            </w:rPr>
            <m:t>}</m:t>
          </m:r>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4</m:t>
          </m:r>
          <m:r>
            <m:rPr>
              <m:sty m:val="p"/>
            </m:rPr>
            <w:rPr>
              <w:rFonts w:ascii="Cambria Math" w:hAnsi="Cambria Math"/>
              <w:sz w:val="20"/>
              <w:szCs w:val="20"/>
            </w:rPr>
            <m:t>)</m:t>
          </m:r>
        </m:oMath>
      </m:oMathPara>
      <w:bookmarkEnd w:id="12"/>
    </w:p>
    <w:p>
      <w:pPr>
        <w:pStyle w:val="26"/>
        <w:jc w:val="both"/>
        <w:rPr>
          <w:sz w:val="20"/>
          <w:szCs w:val="20"/>
        </w:rPr>
      </w:pPr>
      <w:r>
        <w:rPr>
          <w:sz w:val="20"/>
          <w:szCs w:val="20"/>
        </w:rPr>
        <w:t xml:space="preserve">where </w:t>
      </w:r>
      <m:oMath>
        <m:r>
          <m:rPr/>
          <w:rPr>
            <w:rFonts w:ascii="Cambria Math" w:hAnsi="Cambria Math"/>
            <w:sz w:val="20"/>
            <w:szCs w:val="20"/>
          </w:rPr>
          <m:t>ϕ</m:t>
        </m:r>
      </m:oMath>
      <w:r>
        <w:rPr>
          <w:sz w:val="20"/>
          <w:szCs w:val="20"/>
        </w:rPr>
        <w:t xml:space="preserve"> represents the conservative scalar of </w:t>
      </w:r>
      <m:oMath>
        <m:r>
          <m:rPr/>
          <w:rPr>
            <w:rFonts w:ascii="Cambria Math" w:hAnsi="Cambria Math"/>
            <w:sz w:val="20"/>
            <w:szCs w:val="20"/>
          </w:rPr>
          <m:t>θ</m:t>
        </m:r>
      </m:oMath>
      <w:r>
        <w:rPr>
          <w:sz w:val="20"/>
          <w:szCs w:val="20"/>
        </w:rPr>
        <w:t>, q or U, z</w:t>
      </w:r>
      <w:r>
        <w:rPr>
          <w:sz w:val="20"/>
          <w:szCs w:val="20"/>
          <w:vertAlign w:val="subscript"/>
          <w:rPrChange w:id="94" w:author="felipe" w:date="2026-09-28T10:50:27Z">
            <w:rPr>
              <w:sz w:val="20"/>
              <w:szCs w:val="20"/>
            </w:rPr>
          </w:rPrChange>
        </w:rPr>
        <w:t>1</w:t>
      </w:r>
      <w:r>
        <w:rPr>
          <w:sz w:val="20"/>
          <w:szCs w:val="20"/>
        </w:rPr>
        <w:t xml:space="preserve"> the reference altitude level (48 m asl) and z</w:t>
      </w:r>
      <w:r>
        <w:rPr>
          <w:sz w:val="20"/>
          <w:szCs w:val="20"/>
          <w:vertAlign w:val="subscript"/>
          <w:rPrChange w:id="95" w:author="felipe" w:date="2026-09-28T10:50:32Z">
            <w:rPr>
              <w:sz w:val="20"/>
              <w:szCs w:val="20"/>
            </w:rPr>
          </w:rPrChange>
        </w:rPr>
        <w:t>2</w:t>
      </w:r>
      <w:r>
        <w:rPr>
          <w:sz w:val="20"/>
          <w:szCs w:val="20"/>
        </w:rPr>
        <w:t xml:space="preserve"> the altitude of each station. Both the vertical gradients and the temporal rates presented below correspond, in principle, to partial derivatives; however, given the finite number of observations available, they are approximated here as finite differences (Δ). Vertical gradients Δφ/Δz are calculated along the 48–1354 m transect in relation to the coastal baseline, to determine the stability of the MBL, with φ ∈ {θ, q, U}</w:t>
      </w:r>
      <w:del w:id="96" w:author="felipe" w:date="2026-09-28T10:51:04Z">
        <w:r>
          <w:rPr>
            <w:sz w:val="20"/>
            <w:szCs w:val="20"/>
          </w:rPr>
          <w:delText>, where subfix 1 correspond to the reference lowest station</w:delText>
        </w:r>
      </w:del>
      <w:r>
        <w:rPr>
          <w:sz w:val="20"/>
          <w:szCs w:val="20"/>
        </w:rPr>
        <w:t>.</w:t>
      </w:r>
    </w:p>
    <w:bookmarkEnd w:id="9"/>
    <w:p>
      <w:pPr>
        <w:pStyle w:val="5"/>
        <w:jc w:val="both"/>
        <w:rPr>
          <w:rFonts w:hint="default"/>
          <w:sz w:val="20"/>
          <w:szCs w:val="20"/>
          <w:lang w:val="es"/>
        </w:rPr>
      </w:pPr>
      <w:bookmarkStart w:id="13" w:name="oe3-calculation-of-temporal-rates"/>
      <w:r>
        <w:rPr>
          <w:sz w:val="20"/>
          <w:szCs w:val="20"/>
        </w:rPr>
        <w:t xml:space="preserve">OE3: </w:t>
      </w:r>
      <w:del w:id="97" w:author="felipe" w:date="2026-09-28T11:00:38Z">
        <w:r>
          <w:rPr>
            <w:rFonts w:hint="default"/>
            <w:sz w:val="20"/>
            <w:szCs w:val="20"/>
            <w:lang w:val="en-US"/>
          </w:rPr>
          <w:delText>Calculation of temporal rates</w:delText>
        </w:r>
      </w:del>
      <w:ins w:id="98" w:author="felipe" w:date="2026-09-28T11:00:38Z">
        <w:r>
          <w:rPr>
            <w:rFonts w:hint="default"/>
            <w:sz w:val="20"/>
            <w:szCs w:val="20"/>
            <w:lang w:val="es"/>
          </w:rPr>
          <w:t>A</w:t>
        </w:r>
      </w:ins>
      <w:ins w:id="99" w:author="felipe" w:date="2026-09-28T11:00:39Z">
        <w:r>
          <w:rPr>
            <w:rFonts w:hint="default"/>
            <w:sz w:val="20"/>
            <w:szCs w:val="20"/>
            <w:lang w:val="es"/>
          </w:rPr>
          <w:t>nalyse</w:t>
        </w:r>
      </w:ins>
      <w:ins w:id="100" w:author="felipe" w:date="2026-09-28T11:00:40Z">
        <w:r>
          <w:rPr>
            <w:rFonts w:hint="default"/>
            <w:sz w:val="20"/>
            <w:szCs w:val="20"/>
            <w:lang w:val="es"/>
          </w:rPr>
          <w:t xml:space="preserve"> the</w:t>
        </w:r>
      </w:ins>
      <w:ins w:id="101" w:author="felipe" w:date="2026-09-28T11:00:41Z">
        <w:r>
          <w:rPr>
            <w:rFonts w:hint="default"/>
            <w:sz w:val="20"/>
            <w:szCs w:val="20"/>
            <w:lang w:val="es"/>
          </w:rPr>
          <w:t xml:space="preserve"> tempor</w:t>
        </w:r>
      </w:ins>
      <w:ins w:id="102" w:author="felipe" w:date="2026-09-28T11:00:42Z">
        <w:r>
          <w:rPr>
            <w:rFonts w:hint="default"/>
            <w:sz w:val="20"/>
            <w:szCs w:val="20"/>
            <w:lang w:val="es"/>
          </w:rPr>
          <w:t>al tend</w:t>
        </w:r>
      </w:ins>
      <w:ins w:id="103" w:author="felipe" w:date="2026-09-28T11:00:43Z">
        <w:r>
          <w:rPr>
            <w:rFonts w:hint="default"/>
            <w:sz w:val="20"/>
            <w:szCs w:val="20"/>
            <w:lang w:val="es"/>
          </w:rPr>
          <w:t>ency o</w:t>
        </w:r>
      </w:ins>
      <w:ins w:id="104" w:author="felipe" w:date="2026-09-28T11:00:44Z">
        <w:r>
          <w:rPr>
            <w:rFonts w:hint="default"/>
            <w:sz w:val="20"/>
            <w:szCs w:val="20"/>
            <w:lang w:val="es"/>
          </w:rPr>
          <w:t>f conser</w:t>
        </w:r>
      </w:ins>
      <w:ins w:id="105" w:author="felipe" w:date="2026-09-28T11:00:45Z">
        <w:r>
          <w:rPr>
            <w:rFonts w:hint="default"/>
            <w:sz w:val="20"/>
            <w:szCs w:val="20"/>
            <w:lang w:val="es"/>
          </w:rPr>
          <w:t>ved vari</w:t>
        </w:r>
      </w:ins>
      <w:ins w:id="106" w:author="felipe" w:date="2026-09-28T11:00:46Z">
        <w:r>
          <w:rPr>
            <w:rFonts w:hint="default"/>
            <w:sz w:val="20"/>
            <w:szCs w:val="20"/>
            <w:lang w:val="es"/>
          </w:rPr>
          <w:t>ables</w:t>
        </w:r>
      </w:ins>
    </w:p>
    <w:p>
      <w:pPr>
        <w:pStyle w:val="26"/>
        <w:jc w:val="both"/>
        <w:rPr>
          <w:sz w:val="20"/>
          <w:szCs w:val="20"/>
        </w:rPr>
      </w:pPr>
      <w:r>
        <w:rPr>
          <w:sz w:val="20"/>
          <w:szCs w:val="20"/>
        </w:rPr>
        <w:t>To achieve the third specific objective, we calculated temporal rates Δφ/Δt using forward finite differences, with φ ∈ {θ, q, U}. Fixed delays ranging from 10 min to 180 min are used to characterize the response to event onset. Differences of 1 hour, with a tolerance of up to 2 hours, are used for the diurnal cycle and annual distribution statistics. This temporal rate operationalizes the third objective, associated with the dynamics hypothesis. All timestamps are processed in UTC (mainland Chile local time = UTC−4).</w:t>
      </w:r>
    </w:p>
    <w:p>
      <w:pPr>
        <w:pStyle w:val="3"/>
        <w:jc w:val="both"/>
        <w:rPr>
          <w:sz w:val="20"/>
          <w:szCs w:val="20"/>
        </w:rPr>
      </w:pPr>
      <m:oMathPara>
        <m:oMathParaPr>
          <m:jc m:val="center"/>
        </m:oMathParaPr>
        <m:oMath>
          <m:f>
            <w:bookmarkStart w:id="14" w:name="eq-dphi-dt"/>
            <m:fPr>
              <m:ctrlPr>
                <w:rPr>
                  <w:rFonts w:ascii="Cambria Math" w:hAnsi="Cambria Math"/>
                  <w:sz w:val="20"/>
                  <w:szCs w:val="20"/>
                </w:rPr>
              </m:ctrlPr>
            </m:fPr>
            <m:num>
              <m:r>
                <m:rPr>
                  <m:sty m:val="p"/>
                </m:rPr>
                <w:rPr>
                  <w:rFonts w:ascii="Cambria Math" w:hAnsi="Cambria Math"/>
                  <w:sz w:val="20"/>
                  <w:szCs w:val="20"/>
                </w:rPr>
                <m:t>∂</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m:t>
              </m:r>
              <m:r>
                <m:rPr/>
                <w:rPr>
                  <w:rFonts w:ascii="Cambria Math" w:hAnsi="Cambria Math"/>
                  <w:sz w:val="20"/>
                  <w:szCs w:val="20"/>
                </w:rPr>
                <m:t>t</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Δ</m:t>
              </m:r>
              <m:r>
                <m:rPr/>
                <w:rPr>
                  <w:rFonts w:ascii="Cambria Math" w:hAnsi="Cambria Math"/>
                  <w:sz w:val="20"/>
                  <w:szCs w:val="20"/>
                </w:rPr>
                <m:t>t</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num>
            <m:den>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den>
          </m:f>
          <m:r>
            <m:rPr>
              <m:sty m:val="p"/>
            </m:rPr>
            <w:rPr>
              <w:rFonts w:ascii="Cambria Math" w:hAnsi="Cambria Math"/>
              <w:sz w:val="20"/>
              <w:szCs w:val="20"/>
            </w:rPr>
            <m:t>,</m:t>
          </m:r>
          <m:r>
            <m:rPr/>
            <w:rPr>
              <w:rFonts w:ascii="Cambria Math" w:hAnsi="Cambria Math"/>
              <w:sz w:val="20"/>
              <w:szCs w:val="20"/>
            </w:rPr>
            <m:t> ϕ</m:t>
          </m:r>
          <m:r>
            <m:rPr>
              <m:sty m:val="p"/>
            </m:rPr>
            <w:rPr>
              <w:rFonts w:ascii="Cambria Math" w:hAnsi="Cambria Math"/>
              <w:sz w:val="20"/>
              <w:szCs w:val="20"/>
            </w:rPr>
            <m:t>∈{</m:t>
          </m:r>
          <m:r>
            <m:rPr/>
            <w:rPr>
              <w:rFonts w:ascii="Cambria Math" w:hAnsi="Cambria Math"/>
              <w:sz w:val="20"/>
              <w:szCs w:val="20"/>
            </w:rPr>
            <m:t>θ</m:t>
          </m:r>
          <m:r>
            <m:rPr>
              <m:sty m:val="p"/>
            </m:rPr>
            <w:rPr>
              <w:rFonts w:ascii="Cambria Math" w:hAnsi="Cambria Math"/>
              <w:sz w:val="20"/>
              <w:szCs w:val="20"/>
            </w:rPr>
            <m:t>,</m:t>
          </m:r>
          <m:r>
            <m:rPr/>
            <w:rPr>
              <w:rFonts w:ascii="Cambria Math" w:hAnsi="Cambria Math"/>
              <w:sz w:val="20"/>
              <w:szCs w:val="20"/>
            </w:rPr>
            <m:t>q</m:t>
          </m:r>
          <m:r>
            <m:rPr>
              <m:sty m:val="p"/>
            </m:rPr>
            <w:rPr>
              <w:rFonts w:ascii="Cambria Math" w:hAnsi="Cambria Math"/>
              <w:sz w:val="20"/>
              <w:szCs w:val="20"/>
            </w:rPr>
            <m:t>,</m:t>
          </m:r>
          <m:r>
            <m:rPr/>
            <w:rPr>
              <w:rFonts w:ascii="Cambria Math" w:hAnsi="Cambria Math"/>
              <w:sz w:val="20"/>
              <w:szCs w:val="20"/>
            </w:rPr>
            <m:t>U</m:t>
          </m:r>
          <m:r>
            <m:rPr>
              <m:sty m:val="p"/>
            </m:rPr>
            <w:rPr>
              <w:rFonts w:ascii="Cambria Math" w:hAnsi="Cambria Math"/>
              <w:sz w:val="20"/>
              <w:szCs w:val="20"/>
            </w:rPr>
            <m:t>}</m:t>
          </m:r>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5</m:t>
          </m:r>
          <m:r>
            <m:rPr>
              <m:sty m:val="p"/>
            </m:rPr>
            <w:rPr>
              <w:rFonts w:ascii="Cambria Math" w:hAnsi="Cambria Math"/>
              <w:sz w:val="20"/>
              <w:szCs w:val="20"/>
            </w:rPr>
            <m:t>)</m:t>
          </m:r>
          <w:bookmarkEnd w:id="14"/>
        </m:oMath>
      </m:oMathPara>
    </w:p>
    <w:bookmarkEnd w:id="1"/>
    <w:bookmarkEnd w:id="6"/>
    <w:bookmarkEnd w:id="13"/>
    <w:p>
      <w:pPr>
        <w:pStyle w:val="2"/>
        <w:jc w:val="both"/>
        <w:rPr>
          <w:sz w:val="20"/>
          <w:szCs w:val="20"/>
        </w:rPr>
      </w:pPr>
      <w:bookmarkStart w:id="15" w:name="outline-resultsdiscussion"/>
      <w:r>
        <w:rPr>
          <w:sz w:val="20"/>
          <w:szCs w:val="20"/>
        </w:rPr>
        <w:t xml:space="preserve">Outline </w:t>
      </w:r>
      <w:commentRangeStart w:id="8"/>
      <w:r>
        <w:rPr>
          <w:sz w:val="20"/>
          <w:szCs w:val="20"/>
        </w:rPr>
        <w:t>results</w:t>
      </w:r>
      <w:commentRangeEnd w:id="8"/>
      <w:r>
        <w:commentReference w:id="8"/>
      </w:r>
      <w:r>
        <w:rPr>
          <w:sz w:val="20"/>
          <w:szCs w:val="20"/>
        </w:rPr>
        <w:t>/discussion</w:t>
      </w:r>
    </w:p>
    <w:p>
      <w:pPr>
        <w:pStyle w:val="4"/>
        <w:jc w:val="both"/>
        <w:rPr>
          <w:sz w:val="20"/>
          <w:szCs w:val="20"/>
        </w:rPr>
      </w:pPr>
      <w:bookmarkStart w:id="16" w:name="event-classification"/>
      <w:r>
        <w:rPr>
          <w:sz w:val="20"/>
          <w:szCs w:val="20"/>
        </w:rPr>
        <w:t>Event classification</w:t>
      </w:r>
    </w:p>
    <w:p>
      <w:pPr>
        <w:pStyle w:val="26"/>
        <w:jc w:val="both"/>
        <w:rPr>
          <w:sz w:val="20"/>
          <w:szCs w:val="20"/>
        </w:rPr>
      </w:pPr>
      <w:commentRangeStart w:id="9"/>
      <w:r>
        <w:rPr>
          <w:sz w:val="20"/>
          <w:szCs w:val="20"/>
        </w:rPr>
        <w:drawing>
          <wp:inline distT="0" distB="0" distL="0" distR="0">
            <wp:extent cx="5334000" cy="533400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7"/>
                    <a:stretch>
                      <a:fillRect/>
                    </a:stretch>
                  </pic:blipFill>
                  <pic:spPr>
                    <a:xfrm>
                      <a:off x="0" y="0"/>
                      <a:ext cx="5334000" cy="5334000"/>
                    </a:xfrm>
                    <a:prstGeom prst="rect">
                      <a:avLst/>
                    </a:prstGeom>
                    <a:noFill/>
                    <a:ln w="9525">
                      <a:noFill/>
                    </a:ln>
                  </pic:spPr>
                </pic:pic>
              </a:graphicData>
            </a:graphic>
          </wp:inline>
        </w:drawing>
      </w:r>
      <w:commentRangeEnd w:id="9"/>
      <w:r>
        <w:rPr>
          <w:rStyle w:val="16"/>
          <w:sz w:val="20"/>
          <w:szCs w:val="20"/>
        </w:rPr>
        <w:commentReference w:id="9"/>
      </w:r>
    </w:p>
    <w:p>
      <w:pPr>
        <w:pStyle w:val="3"/>
        <w:jc w:val="both"/>
        <w:rPr>
          <w:sz w:val="20"/>
          <w:szCs w:val="20"/>
        </w:rPr>
      </w:pPr>
    </w:p>
    <w:p>
      <w:pPr>
        <w:pStyle w:val="27"/>
        <w:numPr>
          <w:ilvl w:val="0"/>
          <w:numId w:val="2"/>
        </w:numPr>
        <w:jc w:val="both"/>
        <w:rPr>
          <w:sz w:val="20"/>
          <w:szCs w:val="20"/>
        </w:rPr>
      </w:pPr>
      <w:r>
        <w:rPr>
          <w:sz w:val="20"/>
          <w:szCs w:val="20"/>
        </w:rPr>
        <w:t>Fig. 4 shows daily examples of the mechanism that motivates this entire section. On two days of unambiguous fog and two of unambiguous dew, visibility, the GOES FLC band, and the final classification clearly agree; on a day without events, there is no signal at all; and in one particular case (17 May), erratic visibility alternates between fog and dew within the same day.</w:t>
      </w:r>
    </w:p>
    <w:p>
      <w:pPr>
        <w:pStyle w:val="27"/>
        <w:numPr>
          <w:ilvl w:val="0"/>
          <w:numId w:val="2"/>
        </w:numPr>
        <w:jc w:val="both"/>
        <w:rPr>
          <w:sz w:val="20"/>
          <w:szCs w:val="20"/>
        </w:rPr>
      </w:pPr>
      <w:r>
        <w:rPr>
          <w:sz w:val="20"/>
          <w:szCs w:val="20"/>
        </w:rPr>
        <w:t xml:space="preserve">Importantly, on several of these days, the SDC or the SFC records water on days that the independent classifier assigns to the </w:t>
      </w:r>
      <w:r>
        <w:rPr>
          <w:i/>
          <w:iCs/>
          <w:sz w:val="20"/>
          <w:szCs w:val="20"/>
        </w:rPr>
        <w:t>opposite</w:t>
      </w:r>
      <w:r>
        <w:rPr>
          <w:sz w:val="20"/>
          <w:szCs w:val="20"/>
        </w:rPr>
        <w:t xml:space="preserve"> phenomenon; this is the raw instrumental overlap, visible case by case before it is aggregated at the annual scale.</w:t>
      </w:r>
    </w:p>
    <w:p>
      <w:pPr>
        <w:pStyle w:val="26"/>
        <w:jc w:val="both"/>
        <w:rPr>
          <w:sz w:val="20"/>
          <w:szCs w:val="20"/>
        </w:rPr>
      </w:pPr>
      <w:r>
        <w:rPr>
          <w:sz w:val="20"/>
          <w:szCs w:val="20"/>
        </w:rPr>
        <w:drawing>
          <wp:inline distT="0" distB="0" distL="0" distR="0">
            <wp:extent cx="5334000" cy="2960370"/>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8"/>
                    <a:stretch>
                      <a:fillRect/>
                    </a:stretch>
                  </pic:blipFill>
                  <pic:spPr>
                    <a:xfrm>
                      <a:off x="0" y="0"/>
                      <a:ext cx="5334000" cy="2960370"/>
                    </a:xfrm>
                    <a:prstGeom prst="rect">
                      <a:avLst/>
                    </a:prstGeom>
                    <a:noFill/>
                    <a:ln w="9525">
                      <a:noFill/>
                    </a:ln>
                  </pic:spPr>
                </pic:pic>
              </a:graphicData>
            </a:graphic>
          </wp:inline>
        </w:drawing>
      </w:r>
    </w:p>
    <w:p>
      <w:pPr>
        <w:pStyle w:val="27"/>
        <w:numPr>
          <w:ilvl w:val="0"/>
          <w:numId w:val="2"/>
        </w:numPr>
        <w:jc w:val="both"/>
        <w:rPr>
          <w:sz w:val="20"/>
          <w:szCs w:val="20"/>
        </w:rPr>
      </w:pPr>
      <w:r>
        <w:rPr>
          <w:sz w:val="20"/>
          <w:szCs w:val="20"/>
        </w:rPr>
        <w:t>Fig. 5 (above) aggregates precisely this across the whole of 2024. Its top bar first places the problem in its true magnitude: the active window of atmospheric water occupies only 8.6% of the year (91.4% without events), so each misclassified interval weighs proportionally more than its duration suggests.</w:t>
      </w:r>
    </w:p>
    <w:p>
      <w:pPr>
        <w:pStyle w:val="27"/>
        <w:numPr>
          <w:ilvl w:val="0"/>
          <w:numId w:val="2"/>
        </w:numPr>
        <w:jc w:val="both"/>
        <w:rPr>
          <w:sz w:val="20"/>
          <w:szCs w:val="20"/>
        </w:rPr>
      </w:pPr>
      <w:r>
        <w:rPr>
          <w:sz w:val="20"/>
          <w:szCs w:val="20"/>
        </w:rPr>
        <w:t>Within this window, direct instrumental detection reports 49.2% fog, 46.8% mixed fog+dew, and only 4.0% pure dew; when this criterion is replaced by the Visibility+GOES classification (binary by design), the partition shifts to 53.3% fog and 46.7% pure dew.</w:t>
      </w:r>
    </w:p>
    <w:p>
      <w:pPr>
        <w:pStyle w:val="27"/>
        <w:numPr>
          <w:ilvl w:val="0"/>
          <w:numId w:val="2"/>
        </w:numPr>
        <w:jc w:val="both"/>
        <w:rPr>
          <w:sz w:val="20"/>
          <w:szCs w:val="20"/>
        </w:rPr>
      </w:pPr>
      <w:r>
        <w:rPr>
          <w:sz w:val="20"/>
          <w:szCs w:val="20"/>
        </w:rPr>
        <w:t>In other words, the instrumental overlap is not isolated noise: once corrected, the fraction of pure dew time increases more than tenfold (4.0% → 46.7%). H1 is thus supported, and this is the central quantitative result of the paper, from which all subsequent figures follow.</w:t>
      </w:r>
    </w:p>
    <w:p>
      <w:pPr>
        <w:pStyle w:val="27"/>
        <w:numPr>
          <w:ilvl w:val="0"/>
          <w:numId w:val="2"/>
        </w:numPr>
        <w:jc w:val="both"/>
        <w:rPr>
          <w:sz w:val="20"/>
          <w:szCs w:val="20"/>
        </w:rPr>
      </w:pPr>
      <w:r>
        <w:rPr>
          <w:sz w:val="20"/>
          <w:szCs w:val="20"/>
        </w:rPr>
        <w:t>The result nonetheless has two limitations that should be acknowledged, although they do not invalidate it: the visibility sensor is itself affected by condensation during dew (a slight drop that never crosses the fog threshold, visible in the dew panels of Fig. 4), and the coarser resolution of GOES-16 means that a detected low-cloud pixel does not necessarily intersect the topography.</w:t>
      </w:r>
    </w:p>
    <w:bookmarkEnd w:id="16"/>
    <w:p>
      <w:pPr>
        <w:pStyle w:val="4"/>
        <w:jc w:val="both"/>
        <w:rPr>
          <w:sz w:val="20"/>
          <w:szCs w:val="20"/>
          <w:lang w:val="es-ES"/>
        </w:rPr>
      </w:pPr>
      <w:bookmarkStart w:id="17" w:name="X58ca69cff4fc6e83cfc73b1f200d28d0eccc611"/>
      <w:r>
        <w:rPr>
          <w:sz w:val="20"/>
          <w:szCs w:val="20"/>
          <w:lang w:val="es-ES"/>
        </w:rPr>
        <w:t>Distribución estacional y diurna de los eventos reclasificados</w:t>
      </w:r>
    </w:p>
    <w:p>
      <w:pPr>
        <w:pStyle w:val="26"/>
        <w:jc w:val="both"/>
        <w:rPr>
          <w:sz w:val="20"/>
          <w:szCs w:val="20"/>
          <w:lang w:val="es-ES"/>
        </w:rPr>
      </w:pPr>
    </w:p>
    <w:p>
      <w:pPr>
        <w:pStyle w:val="3"/>
        <w:jc w:val="both"/>
        <w:rPr>
          <w:sz w:val="20"/>
          <w:szCs w:val="20"/>
        </w:rPr>
      </w:pPr>
      <w:commentRangeStart w:id="10"/>
      <w:r>
        <w:rPr>
          <w:sz w:val="20"/>
          <w:szCs w:val="20"/>
        </w:rPr>
        <w:drawing>
          <wp:inline distT="0" distB="0" distL="0" distR="0">
            <wp:extent cx="4800600" cy="2341245"/>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9"/>
                    <a:stretch>
                      <a:fillRect/>
                    </a:stretch>
                  </pic:blipFill>
                  <pic:spPr>
                    <a:xfrm>
                      <a:off x="0" y="0"/>
                      <a:ext cx="4800600" cy="2341444"/>
                    </a:xfrm>
                    <a:prstGeom prst="rect">
                      <a:avLst/>
                    </a:prstGeom>
                    <a:noFill/>
                    <a:ln w="9525">
                      <a:noFill/>
                    </a:ln>
                  </pic:spPr>
                </pic:pic>
              </a:graphicData>
            </a:graphic>
          </wp:inline>
        </w:drawing>
      </w:r>
      <w:commentRangeEnd w:id="10"/>
      <w:r>
        <w:rPr>
          <w:rStyle w:val="16"/>
          <w:sz w:val="20"/>
          <w:szCs w:val="20"/>
        </w:rPr>
        <w:commentReference w:id="10"/>
      </w:r>
    </w:p>
    <w:p>
      <w:pPr>
        <w:pStyle w:val="27"/>
        <w:numPr>
          <w:ilvl w:val="0"/>
          <w:numId w:val="2"/>
        </w:numPr>
        <w:jc w:val="both"/>
        <w:rPr>
          <w:sz w:val="20"/>
          <w:szCs w:val="20"/>
        </w:rPr>
      </w:pPr>
      <w:r>
        <w:rPr>
          <w:sz w:val="20"/>
          <w:szCs w:val="20"/>
        </w:rPr>
        <w:t>This figure shows that mean fog collection exceeds mean dew collection in all twelve months of the year, with August–October concentrating the maximum volumes of both phenomena.</w:t>
      </w:r>
    </w:p>
    <w:p>
      <w:pPr>
        <w:pStyle w:val="27"/>
        <w:numPr>
          <w:ilvl w:val="0"/>
          <w:numId w:val="2"/>
        </w:numPr>
        <w:jc w:val="both"/>
        <w:rPr>
          <w:sz w:val="20"/>
          <w:szCs w:val="20"/>
        </w:rPr>
      </w:pPr>
      <w:r>
        <w:rPr>
          <w:sz w:val="20"/>
          <w:szCs w:val="20"/>
        </w:rPr>
        <w:t>However, magnitude and frequency do not always coincide: in June, fog dominates in frequency without yielding much per event, whereas in August–September dew is comparatively infrequent yet episodically intense, a first indication that counting events and summing the volume they yield are two distinct questions, to which we return below.</w:t>
      </w:r>
    </w:p>
    <w:p>
      <w:pPr>
        <w:pStyle w:val="26"/>
        <w:jc w:val="both"/>
        <w:rPr>
          <w:sz w:val="20"/>
          <w:szCs w:val="20"/>
        </w:rPr>
      </w:pPr>
      <w:r>
        <w:rPr>
          <w:sz w:val="20"/>
          <w:szCs w:val="20"/>
        </w:rPr>
        <w:drawing>
          <wp:inline distT="0" distB="0" distL="0" distR="0">
            <wp:extent cx="4800600" cy="2341245"/>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10"/>
                    <a:stretch>
                      <a:fillRect/>
                    </a:stretch>
                  </pic:blipFill>
                  <pic:spPr>
                    <a:xfrm>
                      <a:off x="0" y="0"/>
                      <a:ext cx="4800600" cy="2341444"/>
                    </a:xfrm>
                    <a:prstGeom prst="rect">
                      <a:avLst/>
                    </a:prstGeom>
                    <a:noFill/>
                    <a:ln w="9525">
                      <a:noFill/>
                    </a:ln>
                  </pic:spPr>
                </pic:pic>
              </a:graphicData>
            </a:graphic>
          </wp:inline>
        </w:drawing>
      </w:r>
    </w:p>
    <w:p>
      <w:pPr>
        <w:pStyle w:val="27"/>
        <w:numPr>
          <w:ilvl w:val="0"/>
          <w:numId w:val="2"/>
        </w:numPr>
        <w:jc w:val="both"/>
        <w:rPr>
          <w:sz w:val="20"/>
          <w:szCs w:val="20"/>
        </w:rPr>
      </w:pPr>
      <w:r>
        <w:rPr>
          <w:sz w:val="20"/>
          <w:szCs w:val="20"/>
        </w:rPr>
        <w:t>The same dissociation recurs at the daily scale in the figure: dew maintains its most stable regime between 21:00 and 09:00 local time (00:00–12:00 UTC), with a high and constant relative frequency that exceeds that of fog within this window.</w:t>
      </w:r>
    </w:p>
    <w:p>
      <w:pPr>
        <w:pStyle w:val="27"/>
        <w:numPr>
          <w:ilvl w:val="0"/>
          <w:numId w:val="2"/>
        </w:numPr>
        <w:jc w:val="both"/>
        <w:rPr>
          <w:sz w:val="20"/>
          <w:szCs w:val="20"/>
        </w:rPr>
      </w:pPr>
      <w:r>
        <w:rPr>
          <w:sz w:val="20"/>
          <w:szCs w:val="20"/>
        </w:rPr>
        <w:t>Fog, in contrast, dominates between 09:00 and 20:00 local time in both frequency and collected volume, peaking near 20:00 UTC (~300 mL per 10-min interval), a day/night asymmetry consistent with advection versus radiative cooling mechanisms.</w:t>
      </w:r>
    </w:p>
    <w:p>
      <w:pPr>
        <w:pStyle w:val="27"/>
        <w:numPr>
          <w:ilvl w:val="0"/>
          <w:numId w:val="2"/>
        </w:numPr>
        <w:jc w:val="both"/>
        <w:rPr>
          <w:sz w:val="20"/>
          <w:szCs w:val="20"/>
        </w:rPr>
      </w:pPr>
      <w:r>
        <w:rPr>
          <w:sz w:val="20"/>
          <w:szCs w:val="20"/>
        </w:rPr>
        <w:t>An isolated spike at 15:00 UTC (12:00 local time) reflects a low sample size in that interval rather than a genuine physical signal.</w:t>
      </w:r>
    </w:p>
    <w:bookmarkEnd w:id="17"/>
    <w:p>
      <w:pPr>
        <w:pStyle w:val="4"/>
        <w:jc w:val="both"/>
        <w:rPr>
          <w:sz w:val="20"/>
          <w:szCs w:val="20"/>
          <w:lang w:val="es-ES"/>
        </w:rPr>
      </w:pPr>
      <w:bookmarkStart w:id="18" w:name="X376d336b347a91d1f0a9b1b2a51640f5b1b12c3"/>
      <w:r>
        <w:rPr>
          <w:sz w:val="20"/>
          <w:szCs w:val="20"/>
          <w:lang w:val="es-ES"/>
        </w:rPr>
        <w:t>Estructura termodinámica vertical de la capa límite</w:t>
      </w:r>
    </w:p>
    <w:p>
      <w:pPr>
        <w:pStyle w:val="26"/>
        <w:jc w:val="both"/>
        <w:rPr>
          <w:sz w:val="20"/>
          <w:szCs w:val="20"/>
          <w:lang w:val="es-ES"/>
        </w:rPr>
      </w:pPr>
    </w:p>
    <w:p>
      <w:pPr>
        <w:pStyle w:val="3"/>
        <w:jc w:val="both"/>
        <w:rPr>
          <w:sz w:val="20"/>
          <w:szCs w:val="20"/>
        </w:rPr>
      </w:pPr>
      <w:commentRangeStart w:id="11"/>
      <w:r>
        <w:rPr>
          <w:sz w:val="20"/>
          <w:szCs w:val="20"/>
        </w:rPr>
        <w:drawing>
          <wp:inline distT="0" distB="0" distL="0" distR="0">
            <wp:extent cx="5334000" cy="3199765"/>
            <wp:effectExtent l="0" t="0" r="0" b="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11"/>
                    <a:stretch>
                      <a:fillRect/>
                    </a:stretch>
                  </pic:blipFill>
                  <pic:spPr>
                    <a:xfrm>
                      <a:off x="0" y="0"/>
                      <a:ext cx="5334000" cy="3200399"/>
                    </a:xfrm>
                    <a:prstGeom prst="rect">
                      <a:avLst/>
                    </a:prstGeom>
                    <a:noFill/>
                    <a:ln w="9525">
                      <a:noFill/>
                    </a:ln>
                  </pic:spPr>
                </pic:pic>
              </a:graphicData>
            </a:graphic>
          </wp:inline>
        </w:drawing>
      </w:r>
      <w:commentRangeEnd w:id="11"/>
      <w:r>
        <w:rPr>
          <w:rStyle w:val="16"/>
          <w:sz w:val="20"/>
          <w:szCs w:val="20"/>
        </w:rPr>
        <w:commentReference w:id="11"/>
      </w:r>
    </w:p>
    <w:p>
      <w:pPr>
        <w:pStyle w:val="27"/>
        <w:numPr>
          <w:ilvl w:val="0"/>
          <w:numId w:val="2"/>
        </w:numPr>
        <w:jc w:val="both"/>
        <w:rPr>
          <w:sz w:val="20"/>
          <w:szCs w:val="20"/>
        </w:rPr>
      </w:pPr>
      <w:r>
        <w:rPr>
          <w:sz w:val="20"/>
          <w:szCs w:val="20"/>
        </w:rPr>
        <w:t>At the scale of a single day, the previous figure already reveals the pattern: 28 April (fog) exhibits a nearly uniform θ profile between 48 and 1354 m a.s.l. (the signature of a well-mixed layer), whereas 24 April (dew) shows a vertical gradient similar to that of the non-event hours of the same day. The q and U profiles, however, show no equivalent contrast between the two regimes.</w:t>
      </w:r>
    </w:p>
    <w:p>
      <w:pPr>
        <w:pStyle w:val="26"/>
        <w:jc w:val="both"/>
        <w:rPr>
          <w:sz w:val="20"/>
          <w:szCs w:val="20"/>
        </w:rPr>
      </w:pPr>
      <w:commentRangeStart w:id="12"/>
      <w:r>
        <w:rPr>
          <w:sz w:val="20"/>
          <w:szCs w:val="20"/>
        </w:rPr>
        <w:drawing>
          <wp:inline distT="0" distB="0" distL="0" distR="0">
            <wp:extent cx="5334000" cy="4000500"/>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12"/>
                    <a:stretch>
                      <a:fillRect/>
                    </a:stretch>
                  </pic:blipFill>
                  <pic:spPr>
                    <a:xfrm>
                      <a:off x="0" y="0"/>
                      <a:ext cx="5334000" cy="4000500"/>
                    </a:xfrm>
                    <a:prstGeom prst="rect">
                      <a:avLst/>
                    </a:prstGeom>
                    <a:noFill/>
                    <a:ln w="9525">
                      <a:noFill/>
                    </a:ln>
                  </pic:spPr>
                </pic:pic>
              </a:graphicData>
            </a:graphic>
          </wp:inline>
        </w:drawing>
      </w:r>
      <w:commentRangeEnd w:id="12"/>
      <w:r>
        <w:rPr>
          <w:rStyle w:val="16"/>
          <w:sz w:val="20"/>
          <w:szCs w:val="20"/>
        </w:rPr>
        <w:commentReference w:id="12"/>
      </w:r>
    </w:p>
    <w:p>
      <w:pPr>
        <w:pStyle w:val="27"/>
        <w:numPr>
          <w:ilvl w:val="0"/>
          <w:numId w:val="2"/>
        </w:numPr>
        <w:jc w:val="both"/>
        <w:rPr>
          <w:sz w:val="20"/>
          <w:szCs w:val="20"/>
        </w:rPr>
      </w:pPr>
      <w:r>
        <w:rPr>
          <w:sz w:val="20"/>
          <w:szCs w:val="20"/>
        </w:rPr>
        <w:t>The previous figure generalizes this pattern to the eight stations of the transect throughout 2024: fog is concentrated at Δθ/Δz &lt; 0.0026 K m⁻¹, dew at 0.0026–0.0034 K m⁻¹, and non-event conditions jump to ≈ 0.0094 K m⁻¹, yielding three distinct regimes.</w:t>
      </w:r>
    </w:p>
    <w:p>
      <w:pPr>
        <w:pStyle w:val="27"/>
        <w:numPr>
          <w:ilvl w:val="0"/>
          <w:numId w:val="2"/>
        </w:numPr>
        <w:jc w:val="both"/>
        <w:rPr>
          <w:sz w:val="20"/>
          <w:szCs w:val="20"/>
        </w:rPr>
      </w:pPr>
      <w:r>
        <w:rPr>
          <w:sz w:val="20"/>
          <w:szCs w:val="20"/>
        </w:rPr>
        <w:t>Mann–Whitney/Kruskal–Wallis tests confirm that this contrast is robust for θ (r = 0.25, p &lt; 0.001), but not for q or U (r ≈ 0.04–0.13); H2 is therefore fully supported, including its negative prediction.</w:t>
      </w:r>
    </w:p>
    <w:p>
      <w:pPr>
        <w:pStyle w:val="27"/>
        <w:numPr>
          <w:ilvl w:val="0"/>
          <w:numId w:val="2"/>
        </w:numPr>
        <w:jc w:val="both"/>
        <w:rPr>
          <w:sz w:val="20"/>
          <w:szCs w:val="20"/>
        </w:rPr>
      </w:pPr>
      <w:r>
        <w:rPr>
          <w:sz w:val="20"/>
          <w:szCs w:val="20"/>
        </w:rPr>
        <w:t>This repositions the general threshold of Lobos-Roco et al. (2018), 0.0031 K m⁻¹: in this dataset, it falls within the dew range rather than at the boundary between dew and non-event conditions, as previously assumed. That value separated fog from “everything else” without distinguishing, within that remainder, a dew regime in its own right.</w:t>
      </w:r>
    </w:p>
    <w:p>
      <w:pPr>
        <w:pStyle w:val="27"/>
        <w:numPr>
          <w:ilvl w:val="0"/>
          <w:numId w:val="2"/>
        </w:numPr>
        <w:jc w:val="both"/>
        <w:rPr>
          <w:sz w:val="20"/>
          <w:szCs w:val="20"/>
        </w:rPr>
      </w:pPr>
      <w:r>
        <w:rPr>
          <w:sz w:val="20"/>
          <w:szCs w:val="20"/>
        </w:rPr>
        <w:t>The physical reason is that both phenomena require a nearly saturated, well-mixed vapor column to initiate, so discrimination cannot be based on humidity; only thermal stability separates the regimes. As a secondary result, we also propose an updated Δq/Δz threshold to distinguish active events from non-event conditions (−0.0004 g kg⁻¹ m⁻¹), which refines (without replacing) the primary θ-based criterion.</w:t>
      </w:r>
    </w:p>
    <w:bookmarkEnd w:id="18"/>
    <w:p>
      <w:pPr>
        <w:pStyle w:val="4"/>
        <w:jc w:val="both"/>
        <w:rPr>
          <w:sz w:val="20"/>
          <w:szCs w:val="20"/>
          <w:lang w:val="es-ES"/>
        </w:rPr>
      </w:pPr>
      <w:bookmarkStart w:id="19" w:name="X2c49e8fabc4db4aebd5f12340ee778171daabbe"/>
      <w:r>
        <w:rPr>
          <w:sz w:val="20"/>
          <w:szCs w:val="20"/>
          <w:lang w:val="es-ES"/>
        </w:rPr>
        <w:t>Evolución temporal y firmas de flujo de humedad/calor</w:t>
      </w:r>
    </w:p>
    <w:p>
      <w:pPr>
        <w:pStyle w:val="26"/>
        <w:jc w:val="both"/>
        <w:rPr>
          <w:sz w:val="20"/>
          <w:szCs w:val="20"/>
        </w:rPr>
      </w:pPr>
      <w:r>
        <w:rPr>
          <w:sz w:val="20"/>
          <w:szCs w:val="20"/>
        </w:rPr>
        <w:drawing>
          <wp:inline distT="0" distB="0" distL="0" distR="0">
            <wp:extent cx="4800600" cy="3571240"/>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13"/>
                    <a:stretch>
                      <a:fillRect/>
                    </a:stretch>
                  </pic:blipFill>
                  <pic:spPr>
                    <a:xfrm>
                      <a:off x="0" y="0"/>
                      <a:ext cx="4800600" cy="3571460"/>
                    </a:xfrm>
                    <a:prstGeom prst="rect">
                      <a:avLst/>
                    </a:prstGeom>
                    <a:noFill/>
                    <a:ln w="9525">
                      <a:noFill/>
                    </a:ln>
                  </pic:spPr>
                </pic:pic>
              </a:graphicData>
            </a:graphic>
          </wp:inline>
        </w:drawing>
      </w:r>
    </w:p>
    <w:p>
      <w:pPr>
        <w:pStyle w:val="27"/>
        <w:numPr>
          <w:ilvl w:val="0"/>
          <w:numId w:val="2"/>
        </w:numPr>
        <w:jc w:val="both"/>
        <w:rPr>
          <w:sz w:val="20"/>
          <w:szCs w:val="20"/>
        </w:rPr>
      </w:pPr>
      <w:r>
        <w:rPr>
          <w:sz w:val="20"/>
          <w:szCs w:val="20"/>
        </w:rPr>
        <w:t>The previous figure answers this question with all three variables simultaneously. Specific humidity behaves in opposite ways in each regime: fog accumulates +0.48 g kg⁻¹ 180 minutes after event onset, a sustained increase consistent with continuous advection of marine moisture, whereas dew reaches only +0.06 g kg⁻¹, close to neutrality rather than the marked drying expected from an active sink.</w:t>
      </w:r>
    </w:p>
    <w:p>
      <w:pPr>
        <w:pStyle w:val="27"/>
        <w:numPr>
          <w:ilvl w:val="0"/>
          <w:numId w:val="2"/>
        </w:numPr>
        <w:jc w:val="both"/>
        <w:rPr>
          <w:sz w:val="20"/>
          <w:szCs w:val="20"/>
        </w:rPr>
      </w:pPr>
      <w:r>
        <w:rPr>
          <w:sz w:val="20"/>
          <w:szCs w:val="20"/>
        </w:rPr>
        <w:t>Potential temperature also shows a strong contrast: dew exceeds fog at all times (+2.15 versus +1.89 K at 180 min), consistent with an episodic, radiatively forced mechanism rather than a steady advective one.</w:t>
      </w:r>
    </w:p>
    <w:p>
      <w:pPr>
        <w:pStyle w:val="27"/>
        <w:numPr>
          <w:ilvl w:val="0"/>
          <w:numId w:val="2"/>
        </w:numPr>
        <w:jc w:val="both"/>
        <w:rPr>
          <w:sz w:val="20"/>
          <w:szCs w:val="20"/>
        </w:rPr>
      </w:pPr>
      <w:r>
        <w:rPr>
          <w:sz w:val="20"/>
          <w:szCs w:val="20"/>
        </w:rPr>
        <w:t>Regarding wind, fog decelerates clearly (−0.30 m s⁻¹) as the cloud layer stabilizes the flow, whereas dew remains nearly neutral (−0.08 m s⁻¹), without reconfiguring the background wind field.</w:t>
      </w:r>
    </w:p>
    <w:p>
      <w:pPr>
        <w:pStyle w:val="27"/>
        <w:numPr>
          <w:ilvl w:val="0"/>
          <w:numId w:val="2"/>
        </w:numPr>
        <w:jc w:val="both"/>
        <w:rPr>
          <w:sz w:val="20"/>
          <w:szCs w:val="20"/>
        </w:rPr>
      </w:pPr>
      <w:r>
        <w:rPr>
          <w:sz w:val="20"/>
          <w:szCs w:val="20"/>
        </w:rPr>
        <w:t>Overall, the sign of the humidity tendency agrees with the prediction for both regimes, although the magnitude of the dew sink is smaller than previously reported for the region: H3 is supported in direction and refined in magnitude, and it is the θ and U signatures (not q alone) that most strongly support the advective-versus-radiative distinction.</w:t>
      </w:r>
    </w:p>
    <w:p>
      <w:pPr>
        <w:pStyle w:val="26"/>
        <w:jc w:val="both"/>
        <w:rPr>
          <w:sz w:val="20"/>
          <w:szCs w:val="20"/>
        </w:rPr>
      </w:pPr>
    </w:p>
    <w:p>
      <w:pPr>
        <w:pStyle w:val="3"/>
        <w:jc w:val="both"/>
        <w:rPr>
          <w:sz w:val="20"/>
          <w:szCs w:val="20"/>
        </w:rPr>
      </w:pPr>
      <w:commentRangeStart w:id="13"/>
      <w:r>
        <w:rPr>
          <w:sz w:val="20"/>
          <w:szCs w:val="20"/>
        </w:rPr>
        <w:drawing>
          <wp:inline distT="0" distB="0" distL="0" distR="0">
            <wp:extent cx="3733800" cy="2502535"/>
            <wp:effectExtent l="0" t="0" r="0" b="0"/>
            <wp:docPr id="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4"/>
                    <a:stretch>
                      <a:fillRect/>
                    </a:stretch>
                  </pic:blipFill>
                  <pic:spPr>
                    <a:xfrm>
                      <a:off x="0" y="0"/>
                      <a:ext cx="3733800" cy="2502695"/>
                    </a:xfrm>
                    <a:prstGeom prst="rect">
                      <a:avLst/>
                    </a:prstGeom>
                    <a:noFill/>
                    <a:ln w="9525">
                      <a:noFill/>
                    </a:ln>
                  </pic:spPr>
                </pic:pic>
              </a:graphicData>
            </a:graphic>
          </wp:inline>
        </w:drawing>
      </w:r>
      <w:commentRangeEnd w:id="13"/>
      <w:r>
        <w:rPr>
          <w:rStyle w:val="16"/>
          <w:sz w:val="20"/>
          <w:szCs w:val="20"/>
        </w:rPr>
        <w:commentReference w:id="13"/>
      </w:r>
    </w:p>
    <w:p>
      <w:pPr>
        <w:pStyle w:val="3"/>
        <w:jc w:val="both"/>
        <w:rPr>
          <w:sz w:val="20"/>
          <w:szCs w:val="20"/>
        </w:rPr>
      </w:pPr>
      <w:r>
        <w:rPr>
          <w:sz w:val="20"/>
          <w:szCs w:val="20"/>
        </w:rPr>
        <w:drawing>
          <wp:inline distT="0" distB="0" distL="0" distR="0">
            <wp:extent cx="3733800" cy="2397125"/>
            <wp:effectExtent l="0" t="0" r="0" b="0"/>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15"/>
                    <a:stretch>
                      <a:fillRect/>
                    </a:stretch>
                  </pic:blipFill>
                  <pic:spPr>
                    <a:xfrm>
                      <a:off x="0" y="0"/>
                      <a:ext cx="3733800" cy="2397528"/>
                    </a:xfrm>
                    <a:prstGeom prst="rect">
                      <a:avLst/>
                    </a:prstGeom>
                    <a:noFill/>
                    <a:ln w="9525">
                      <a:noFill/>
                    </a:ln>
                  </pic:spPr>
                </pic:pic>
              </a:graphicData>
            </a:graphic>
          </wp:inline>
        </w:drawing>
      </w:r>
    </w:p>
    <w:p>
      <w:pPr>
        <w:pStyle w:val="27"/>
        <w:numPr>
          <w:ilvl w:val="0"/>
          <w:numId w:val="2"/>
        </w:numPr>
        <w:jc w:val="both"/>
        <w:rPr>
          <w:sz w:val="20"/>
          <w:szCs w:val="20"/>
        </w:rPr>
      </w:pPr>
      <w:r>
        <w:rPr>
          <w:sz w:val="20"/>
          <w:szCs w:val="20"/>
        </w:rPr>
        <w:t>The dew moisture sink is weaker than expected and its θ variability is high, which points to a real but episodic and locally forced mechanism, consistent with the seasonal/diurnal decoupling already shown in the previous figures. ***duda</w:t>
      </w:r>
    </w:p>
    <w:bookmarkEnd w:id="19"/>
    <w:p>
      <w:pPr>
        <w:pStyle w:val="4"/>
        <w:jc w:val="both"/>
        <w:rPr>
          <w:sz w:val="20"/>
          <w:szCs w:val="20"/>
        </w:rPr>
      </w:pPr>
      <w:bookmarkStart w:id="20" w:name="extra"/>
      <w:r>
        <w:rPr>
          <w:sz w:val="20"/>
          <w:szCs w:val="20"/>
        </w:rPr>
        <w:t>Extra</w:t>
      </w:r>
    </w:p>
    <w:p>
      <w:pPr>
        <w:pStyle w:val="27"/>
        <w:numPr>
          <w:ilvl w:val="0"/>
          <w:numId w:val="2"/>
        </w:numPr>
        <w:jc w:val="both"/>
        <w:rPr>
          <w:sz w:val="20"/>
          <w:szCs w:val="20"/>
        </w:rPr>
      </w:pPr>
      <w:r>
        <w:rPr>
          <w:sz w:val="20"/>
          <w:szCs w:val="20"/>
        </w:rPr>
        <w:t>All of these thresholds and rates were derived under the 2024 ENSO context (El Niño → neutral transition), so their interannual generalization to other phases remains an explicit open question rather than an implicit assumption.</w:t>
      </w:r>
    </w:p>
    <w:p>
      <w:pPr>
        <w:pStyle w:val="27"/>
        <w:numPr>
          <w:ilvl w:val="0"/>
          <w:numId w:val="2"/>
        </w:numPr>
        <w:jc w:val="both"/>
        <w:rPr>
          <w:sz w:val="20"/>
          <w:szCs w:val="20"/>
        </w:rPr>
      </w:pPr>
      <w:r>
        <w:rPr>
          <w:sz w:val="20"/>
          <w:szCs w:val="20"/>
        </w:rPr>
        <w:t>Although fog remains the dominant phenomenon in terms of volume (Fig. 6), the ecohydrological relevance of dew rests not on its yield but on its temporal persistence, 46.7% of the active window (Fig. 5), which is ultimately why it merits sustained study despite its modest volumetric contribution.</w:t>
      </w:r>
    </w:p>
    <w:bookmarkEnd w:id="15"/>
    <w:bookmarkEnd w:id="20"/>
    <w:p>
      <w:pPr>
        <w:pStyle w:val="2"/>
        <w:jc w:val="both"/>
        <w:rPr>
          <w:sz w:val="20"/>
          <w:szCs w:val="20"/>
          <w:lang w:val="es-ES"/>
        </w:rPr>
      </w:pPr>
      <w:bookmarkStart w:id="21" w:name="references"/>
      <w:r>
        <w:rPr>
          <w:sz w:val="20"/>
          <w:szCs w:val="20"/>
          <w:lang w:val="es-ES"/>
        </w:rPr>
        <w:t>References</w:t>
      </w:r>
    </w:p>
    <w:p>
      <w:pPr>
        <w:pStyle w:val="33"/>
        <w:jc w:val="both"/>
        <w:rPr>
          <w:sz w:val="20"/>
          <w:szCs w:val="20"/>
        </w:rPr>
      </w:pPr>
      <w:bookmarkStart w:id="22" w:name="ref-Albornoz2023"/>
      <w:bookmarkStart w:id="23" w:name="refs"/>
      <w:r>
        <w:rPr>
          <w:sz w:val="20"/>
          <w:szCs w:val="20"/>
          <w:lang w:val="es-ES"/>
        </w:rPr>
        <w:t xml:space="preserve">Albornoz, F., Río, C. del, Carter, V., Escobar, R., &amp; Vásquez, L. (2023). </w:t>
      </w:r>
      <w:r>
        <w:rPr>
          <w:sz w:val="20"/>
          <w:szCs w:val="20"/>
        </w:rPr>
        <w:t xml:space="preserve">Fog water collection for local greenhouse vegetable production in the atacama desert. </w:t>
      </w:r>
      <w:r>
        <w:rPr>
          <w:i/>
          <w:iCs/>
          <w:sz w:val="20"/>
          <w:szCs w:val="20"/>
        </w:rPr>
        <w:t>Sustainability</w:t>
      </w:r>
      <w:r>
        <w:rPr>
          <w:sz w:val="20"/>
          <w:szCs w:val="20"/>
        </w:rPr>
        <w:t xml:space="preserve">, </w:t>
      </w:r>
      <w:r>
        <w:rPr>
          <w:i/>
          <w:iCs/>
          <w:sz w:val="20"/>
          <w:szCs w:val="20"/>
        </w:rPr>
        <w:t>15</w:t>
      </w:r>
      <w:r>
        <w:rPr>
          <w:sz w:val="20"/>
          <w:szCs w:val="20"/>
        </w:rPr>
        <w:t xml:space="preserve">(22), 15720. </w:t>
      </w:r>
      <w:r>
        <w:rPr>
          <w:sz w:val="20"/>
          <w:szCs w:val="20"/>
        </w:rPr>
        <w:fldChar w:fldCharType="begin"/>
      </w:r>
      <w:r>
        <w:rPr>
          <w:sz w:val="20"/>
          <w:szCs w:val="20"/>
        </w:rPr>
        <w:instrText xml:space="preserve"> HYPERLINK "https://doi.org/10.3390/su152215720" \h </w:instrText>
      </w:r>
      <w:r>
        <w:rPr>
          <w:sz w:val="20"/>
          <w:szCs w:val="20"/>
        </w:rPr>
        <w:fldChar w:fldCharType="separate"/>
      </w:r>
      <w:r>
        <w:rPr>
          <w:rStyle w:val="24"/>
          <w:sz w:val="20"/>
          <w:szCs w:val="20"/>
        </w:rPr>
        <w:t>https://doi.org/10.3390/su152215720</w:t>
      </w:r>
      <w:r>
        <w:rPr>
          <w:rStyle w:val="24"/>
          <w:sz w:val="20"/>
          <w:szCs w:val="20"/>
        </w:rPr>
        <w:fldChar w:fldCharType="end"/>
      </w:r>
    </w:p>
    <w:bookmarkEnd w:id="22"/>
    <w:p>
      <w:pPr>
        <w:pStyle w:val="33"/>
        <w:jc w:val="both"/>
        <w:rPr>
          <w:sz w:val="20"/>
          <w:szCs w:val="20"/>
        </w:rPr>
      </w:pPr>
      <w:bookmarkStart w:id="24" w:name="ref-Cereceda2008"/>
      <w:r>
        <w:rPr>
          <w:sz w:val="20"/>
          <w:szCs w:val="20"/>
        </w:rPr>
        <w:t xml:space="preserve">Cereceda, P., Larrain, H., Osses, P., Farías, M., &amp; Egaña, I. (2008). The spatial and temporal variability of fog and its relation to fog oases in the atacama desert, chile. </w:t>
      </w:r>
      <w:r>
        <w:rPr>
          <w:i/>
          <w:iCs/>
          <w:sz w:val="20"/>
          <w:szCs w:val="20"/>
        </w:rPr>
        <w:t>Atmospheric Research</w:t>
      </w:r>
      <w:r>
        <w:rPr>
          <w:sz w:val="20"/>
          <w:szCs w:val="20"/>
        </w:rPr>
        <w:t xml:space="preserve">, </w:t>
      </w:r>
      <w:r>
        <w:rPr>
          <w:i/>
          <w:iCs/>
          <w:sz w:val="20"/>
          <w:szCs w:val="20"/>
        </w:rPr>
        <w:t>87</w:t>
      </w:r>
      <w:r>
        <w:rPr>
          <w:sz w:val="20"/>
          <w:szCs w:val="20"/>
        </w:rPr>
        <w:t xml:space="preserve">(3-4), 312–323. </w:t>
      </w:r>
      <w:r>
        <w:rPr>
          <w:sz w:val="20"/>
          <w:szCs w:val="20"/>
        </w:rPr>
        <w:fldChar w:fldCharType="begin"/>
      </w:r>
      <w:r>
        <w:rPr>
          <w:sz w:val="20"/>
          <w:szCs w:val="20"/>
        </w:rPr>
        <w:instrText xml:space="preserve"> HYPERLINK "https://doi.org/10.1016/j.atmosres.2007.11.012" \h </w:instrText>
      </w:r>
      <w:r>
        <w:rPr>
          <w:sz w:val="20"/>
          <w:szCs w:val="20"/>
        </w:rPr>
        <w:fldChar w:fldCharType="separate"/>
      </w:r>
      <w:r>
        <w:rPr>
          <w:rStyle w:val="24"/>
          <w:sz w:val="20"/>
          <w:szCs w:val="20"/>
        </w:rPr>
        <w:t>https://doi.org/10.1016/j.atmosres.2007.11.012</w:t>
      </w:r>
      <w:r>
        <w:rPr>
          <w:rStyle w:val="24"/>
          <w:sz w:val="20"/>
          <w:szCs w:val="20"/>
        </w:rPr>
        <w:fldChar w:fldCharType="end"/>
      </w:r>
    </w:p>
    <w:bookmarkEnd w:id="24"/>
    <w:p>
      <w:pPr>
        <w:pStyle w:val="33"/>
        <w:jc w:val="both"/>
        <w:rPr>
          <w:sz w:val="20"/>
          <w:szCs w:val="20"/>
          <w:lang w:val="es-ES"/>
        </w:rPr>
      </w:pPr>
      <w:bookmarkStart w:id="25" w:name="ref-Cereceda2002"/>
      <w:r>
        <w:rPr>
          <w:sz w:val="20"/>
          <w:szCs w:val="20"/>
        </w:rPr>
        <w:t xml:space="preserve">Cereceda, P., Osses, P., Larrain, H., Farı́as, M., Lagos, M., Pinto, R., &amp; Schemenauer, R. S. (2002). Advective, orographic and radiation fog in the tarapacá region, chile. </w:t>
      </w:r>
      <w:r>
        <w:rPr>
          <w:i/>
          <w:iCs/>
          <w:sz w:val="20"/>
          <w:szCs w:val="20"/>
          <w:lang w:val="es-ES"/>
        </w:rPr>
        <w:t>Atmospheric Research</w:t>
      </w:r>
      <w:r>
        <w:rPr>
          <w:sz w:val="20"/>
          <w:szCs w:val="20"/>
          <w:lang w:val="es-ES"/>
        </w:rPr>
        <w:t xml:space="preserve">, </w:t>
      </w:r>
      <w:r>
        <w:rPr>
          <w:i/>
          <w:iCs/>
          <w:sz w:val="20"/>
          <w:szCs w:val="20"/>
          <w:lang w:val="es-ES"/>
        </w:rPr>
        <w:t>64</w:t>
      </w:r>
      <w:r>
        <w:rPr>
          <w:sz w:val="20"/>
          <w:szCs w:val="20"/>
          <w:lang w:val="es-ES"/>
        </w:rPr>
        <w:t xml:space="preserve">(1-4), 261–271. </w:t>
      </w:r>
      <w:r>
        <w:rPr>
          <w:sz w:val="20"/>
          <w:szCs w:val="20"/>
        </w:rPr>
        <w:fldChar w:fldCharType="begin"/>
      </w:r>
      <w:r>
        <w:rPr>
          <w:sz w:val="20"/>
          <w:szCs w:val="20"/>
        </w:rPr>
        <w:instrText xml:space="preserve"> HYPERLINK "https://doi.org/10.1016/s0169-8095(02)00097-2" \h </w:instrText>
      </w:r>
      <w:r>
        <w:rPr>
          <w:sz w:val="20"/>
          <w:szCs w:val="20"/>
        </w:rPr>
        <w:fldChar w:fldCharType="separate"/>
      </w:r>
      <w:r>
        <w:rPr>
          <w:rStyle w:val="24"/>
          <w:sz w:val="20"/>
          <w:szCs w:val="20"/>
          <w:lang w:val="es-ES"/>
        </w:rPr>
        <w:t>https://doi.org/10.1016/s0169-8095(02)00097-2</w:t>
      </w:r>
      <w:r>
        <w:rPr>
          <w:rStyle w:val="24"/>
          <w:sz w:val="20"/>
          <w:szCs w:val="20"/>
          <w:lang w:val="es-ES"/>
        </w:rPr>
        <w:fldChar w:fldCharType="end"/>
      </w:r>
    </w:p>
    <w:bookmarkEnd w:id="25"/>
    <w:p>
      <w:pPr>
        <w:pStyle w:val="33"/>
        <w:jc w:val="both"/>
        <w:rPr>
          <w:sz w:val="20"/>
          <w:szCs w:val="20"/>
        </w:rPr>
      </w:pPr>
      <w:bookmarkStart w:id="26" w:name="ref-Chamizo2021"/>
      <w:r>
        <w:rPr>
          <w:sz w:val="20"/>
          <w:szCs w:val="20"/>
          <w:lang w:val="es-ES"/>
        </w:rPr>
        <w:t xml:space="preserve">Chamizo, S., Rodríguez-Caballero, E., Moro, M. J., &amp; Cantón, Y. (2021). </w:t>
      </w:r>
      <w:r>
        <w:rPr>
          <w:sz w:val="20"/>
          <w:szCs w:val="20"/>
        </w:rPr>
        <w:t xml:space="preserve">Non-rainfall water inputs: A key water source for biocrust carbon fixation. </w:t>
      </w:r>
      <w:r>
        <w:rPr>
          <w:i/>
          <w:iCs/>
          <w:sz w:val="20"/>
          <w:szCs w:val="20"/>
        </w:rPr>
        <w:t>Science of The Total Environment</w:t>
      </w:r>
      <w:r>
        <w:rPr>
          <w:sz w:val="20"/>
          <w:szCs w:val="20"/>
        </w:rPr>
        <w:t xml:space="preserve">, </w:t>
      </w:r>
      <w:r>
        <w:rPr>
          <w:i/>
          <w:iCs/>
          <w:sz w:val="20"/>
          <w:szCs w:val="20"/>
        </w:rPr>
        <w:t>792</w:t>
      </w:r>
      <w:r>
        <w:rPr>
          <w:sz w:val="20"/>
          <w:szCs w:val="20"/>
        </w:rPr>
        <w:t xml:space="preserve">, 148299. </w:t>
      </w:r>
      <w:r>
        <w:rPr>
          <w:sz w:val="20"/>
          <w:szCs w:val="20"/>
        </w:rPr>
        <w:fldChar w:fldCharType="begin"/>
      </w:r>
      <w:r>
        <w:rPr>
          <w:sz w:val="20"/>
          <w:szCs w:val="20"/>
        </w:rPr>
        <w:instrText xml:space="preserve"> HYPERLINK "https://doi.org/10.1016/j.scitotenv.2021.148299" \h </w:instrText>
      </w:r>
      <w:r>
        <w:rPr>
          <w:sz w:val="20"/>
          <w:szCs w:val="20"/>
        </w:rPr>
        <w:fldChar w:fldCharType="separate"/>
      </w:r>
      <w:r>
        <w:rPr>
          <w:rStyle w:val="24"/>
          <w:sz w:val="20"/>
          <w:szCs w:val="20"/>
        </w:rPr>
        <w:t>https://doi.org/10.1016/j.scitotenv.2021.148299</w:t>
      </w:r>
      <w:r>
        <w:rPr>
          <w:rStyle w:val="24"/>
          <w:sz w:val="20"/>
          <w:szCs w:val="20"/>
        </w:rPr>
        <w:fldChar w:fldCharType="end"/>
      </w:r>
    </w:p>
    <w:bookmarkEnd w:id="26"/>
    <w:p>
      <w:pPr>
        <w:pStyle w:val="33"/>
        <w:jc w:val="both"/>
        <w:rPr>
          <w:sz w:val="20"/>
          <w:szCs w:val="20"/>
        </w:rPr>
      </w:pPr>
      <w:bookmarkStart w:id="27" w:name="ref-delRo2021"/>
      <w:r>
        <w:rPr>
          <w:sz w:val="20"/>
          <w:szCs w:val="20"/>
          <w:lang w:val="es-ES"/>
        </w:rPr>
        <w:t xml:space="preserve">Del Río, C., Lobos, F., Siegmund, A., Tejos, C., Osses, P., Huaman, Z., Meneses, J. P., &amp; García, J.-L. (2021). </w:t>
      </w:r>
      <w:r>
        <w:rPr>
          <w:sz w:val="20"/>
          <w:szCs w:val="20"/>
        </w:rPr>
        <w:t xml:space="preserve">GOFOS, ground optical fog observation system for monitoring the vertical stratocumulus-fog cloud distribution in the coast of the atacama desert, chile. </w:t>
      </w:r>
      <w:r>
        <w:rPr>
          <w:i/>
          <w:iCs/>
          <w:sz w:val="20"/>
          <w:szCs w:val="20"/>
        </w:rPr>
        <w:t>Journal of Hydrology</w:t>
      </w:r>
      <w:r>
        <w:rPr>
          <w:sz w:val="20"/>
          <w:szCs w:val="20"/>
        </w:rPr>
        <w:t xml:space="preserve">, </w:t>
      </w:r>
      <w:r>
        <w:rPr>
          <w:i/>
          <w:iCs/>
          <w:sz w:val="20"/>
          <w:szCs w:val="20"/>
        </w:rPr>
        <w:t>597</w:t>
      </w:r>
      <w:r>
        <w:rPr>
          <w:sz w:val="20"/>
          <w:szCs w:val="20"/>
        </w:rPr>
        <w:t xml:space="preserve">, 126190. </w:t>
      </w:r>
      <w:r>
        <w:rPr>
          <w:sz w:val="20"/>
          <w:szCs w:val="20"/>
        </w:rPr>
        <w:fldChar w:fldCharType="begin"/>
      </w:r>
      <w:r>
        <w:rPr>
          <w:sz w:val="20"/>
          <w:szCs w:val="20"/>
        </w:rPr>
        <w:instrText xml:space="preserve"> HYPERLINK "https://doi.org/10.1016/j.jhydrol.2021.126190" \h </w:instrText>
      </w:r>
      <w:r>
        <w:rPr>
          <w:sz w:val="20"/>
          <w:szCs w:val="20"/>
        </w:rPr>
        <w:fldChar w:fldCharType="separate"/>
      </w:r>
      <w:r>
        <w:rPr>
          <w:rStyle w:val="24"/>
          <w:sz w:val="20"/>
          <w:szCs w:val="20"/>
        </w:rPr>
        <w:t>https://doi.org/10.1016/j.jhydrol.2021.126190</w:t>
      </w:r>
      <w:r>
        <w:rPr>
          <w:rStyle w:val="24"/>
          <w:sz w:val="20"/>
          <w:szCs w:val="20"/>
        </w:rPr>
        <w:fldChar w:fldCharType="end"/>
      </w:r>
    </w:p>
    <w:bookmarkEnd w:id="27"/>
    <w:p>
      <w:pPr>
        <w:pStyle w:val="33"/>
        <w:jc w:val="both"/>
        <w:rPr>
          <w:sz w:val="20"/>
          <w:szCs w:val="20"/>
        </w:rPr>
      </w:pPr>
      <w:bookmarkStart w:id="28" w:name="ref-Espinoza2024"/>
      <w:r>
        <w:rPr>
          <w:sz w:val="20"/>
          <w:szCs w:val="20"/>
        </w:rPr>
        <w:t xml:space="preserve">Espinoza, V., Lobos-Roco, F., &amp; Río, C. del. (2024). Synoptic control of the spatiotemporal variability of fog and low clouds under ENSO phenomena along the chilean coast (17°-36° s). </w:t>
      </w:r>
      <w:r>
        <w:rPr>
          <w:i/>
          <w:iCs/>
          <w:sz w:val="20"/>
          <w:szCs w:val="20"/>
        </w:rPr>
        <w:t>Atmospheric Research</w:t>
      </w:r>
      <w:r>
        <w:rPr>
          <w:sz w:val="20"/>
          <w:szCs w:val="20"/>
        </w:rPr>
        <w:t xml:space="preserve">, </w:t>
      </w:r>
      <w:r>
        <w:rPr>
          <w:i/>
          <w:iCs/>
          <w:sz w:val="20"/>
          <w:szCs w:val="20"/>
        </w:rPr>
        <w:t>308</w:t>
      </w:r>
      <w:r>
        <w:rPr>
          <w:sz w:val="20"/>
          <w:szCs w:val="20"/>
        </w:rPr>
        <w:t xml:space="preserve">, 107533. </w:t>
      </w:r>
      <w:r>
        <w:rPr>
          <w:sz w:val="20"/>
          <w:szCs w:val="20"/>
        </w:rPr>
        <w:fldChar w:fldCharType="begin"/>
      </w:r>
      <w:r>
        <w:rPr>
          <w:sz w:val="20"/>
          <w:szCs w:val="20"/>
        </w:rPr>
        <w:instrText xml:space="preserve"> HYPERLINK "https://doi.org/10.1016/j.atmosres.2024.107533" \h </w:instrText>
      </w:r>
      <w:r>
        <w:rPr>
          <w:sz w:val="20"/>
          <w:szCs w:val="20"/>
        </w:rPr>
        <w:fldChar w:fldCharType="separate"/>
      </w:r>
      <w:r>
        <w:rPr>
          <w:rStyle w:val="24"/>
          <w:sz w:val="20"/>
          <w:szCs w:val="20"/>
        </w:rPr>
        <w:t>https://doi.org/10.1016/j.atmosres.2024.107533</w:t>
      </w:r>
      <w:r>
        <w:rPr>
          <w:rStyle w:val="24"/>
          <w:sz w:val="20"/>
          <w:szCs w:val="20"/>
        </w:rPr>
        <w:fldChar w:fldCharType="end"/>
      </w:r>
    </w:p>
    <w:bookmarkEnd w:id="28"/>
    <w:p>
      <w:pPr>
        <w:pStyle w:val="33"/>
        <w:jc w:val="both"/>
        <w:rPr>
          <w:sz w:val="20"/>
          <w:szCs w:val="20"/>
          <w:lang w:val="es-ES"/>
        </w:rPr>
      </w:pPr>
      <w:bookmarkStart w:id="29" w:name="ref-Fessehaye2014"/>
      <w:r>
        <w:rPr>
          <w:sz w:val="20"/>
          <w:szCs w:val="20"/>
        </w:rPr>
        <w:t xml:space="preserve">Fessehaye, M., Abdul-Wahab, S. A., Savage, M. J., Kohler, T., Gherezghiher, T., &amp; Hurni, H. (2014). Fog-water collection for community use. </w:t>
      </w:r>
      <w:r>
        <w:rPr>
          <w:i/>
          <w:iCs/>
          <w:sz w:val="20"/>
          <w:szCs w:val="20"/>
        </w:rPr>
        <w:t>Renewable and Sustainable Energy Reviews</w:t>
      </w:r>
      <w:r>
        <w:rPr>
          <w:sz w:val="20"/>
          <w:szCs w:val="20"/>
        </w:rPr>
        <w:t xml:space="preserve">, </w:t>
      </w:r>
      <w:r>
        <w:rPr>
          <w:i/>
          <w:iCs/>
          <w:sz w:val="20"/>
          <w:szCs w:val="20"/>
        </w:rPr>
        <w:t>29</w:t>
      </w:r>
      <w:r>
        <w:rPr>
          <w:sz w:val="20"/>
          <w:szCs w:val="20"/>
        </w:rPr>
        <w:t xml:space="preserve">, 52–62. </w:t>
      </w:r>
      <w:r>
        <w:rPr>
          <w:sz w:val="20"/>
          <w:szCs w:val="20"/>
        </w:rPr>
        <w:fldChar w:fldCharType="begin"/>
      </w:r>
      <w:r>
        <w:rPr>
          <w:sz w:val="20"/>
          <w:szCs w:val="20"/>
        </w:rPr>
        <w:instrText xml:space="preserve"> HYPERLINK "https://doi.org/10.1016/j.rser.2013.08.063" \h </w:instrText>
      </w:r>
      <w:r>
        <w:rPr>
          <w:sz w:val="20"/>
          <w:szCs w:val="20"/>
        </w:rPr>
        <w:fldChar w:fldCharType="separate"/>
      </w:r>
      <w:r>
        <w:rPr>
          <w:rStyle w:val="24"/>
          <w:sz w:val="20"/>
          <w:szCs w:val="20"/>
          <w:lang w:val="es-ES"/>
        </w:rPr>
        <w:t>https://doi.org/10.1016/j.rser.2013.08.063</w:t>
      </w:r>
      <w:r>
        <w:rPr>
          <w:rStyle w:val="24"/>
          <w:sz w:val="20"/>
          <w:szCs w:val="20"/>
          <w:lang w:val="es-ES"/>
        </w:rPr>
        <w:fldChar w:fldCharType="end"/>
      </w:r>
    </w:p>
    <w:bookmarkEnd w:id="29"/>
    <w:p>
      <w:pPr>
        <w:pStyle w:val="33"/>
        <w:jc w:val="both"/>
        <w:rPr>
          <w:sz w:val="20"/>
          <w:szCs w:val="20"/>
        </w:rPr>
      </w:pPr>
      <w:bookmarkStart w:id="30" w:name="ref-Garca2021"/>
      <w:r>
        <w:rPr>
          <w:sz w:val="20"/>
          <w:szCs w:val="20"/>
          <w:lang w:val="es-ES"/>
        </w:rPr>
        <w:t xml:space="preserve">García, J.-L., Lobos-Roco, F., Schween, J. H., Río, C. del, Osses, P., Vives, R., Pezoa, M., Siegmund, A., Latorre, C., Alfaro, F., Koch, M. A., &amp; Loehnert, U. (2021). </w:t>
      </w:r>
      <w:r>
        <w:rPr>
          <w:sz w:val="20"/>
          <w:szCs w:val="20"/>
        </w:rPr>
        <w:t xml:space="preserve">Climate and coastal low-cloud dynamic in the hyperarid atacama fog desert and the geographic distribution of tillandsia landbeckii (bromeliaceae) dune ecosystems. </w:t>
      </w:r>
      <w:r>
        <w:rPr>
          <w:i/>
          <w:iCs/>
          <w:sz w:val="20"/>
          <w:szCs w:val="20"/>
        </w:rPr>
        <w:t>Plant Systematics and Evolution</w:t>
      </w:r>
      <w:r>
        <w:rPr>
          <w:sz w:val="20"/>
          <w:szCs w:val="20"/>
        </w:rPr>
        <w:t xml:space="preserve">, </w:t>
      </w:r>
      <w:r>
        <w:rPr>
          <w:i/>
          <w:iCs/>
          <w:sz w:val="20"/>
          <w:szCs w:val="20"/>
        </w:rPr>
        <w:t>307</w:t>
      </w:r>
      <w:r>
        <w:rPr>
          <w:sz w:val="20"/>
          <w:szCs w:val="20"/>
        </w:rPr>
        <w:t xml:space="preserve">(5). </w:t>
      </w:r>
      <w:r>
        <w:rPr>
          <w:sz w:val="20"/>
          <w:szCs w:val="20"/>
        </w:rPr>
        <w:fldChar w:fldCharType="begin"/>
      </w:r>
      <w:r>
        <w:rPr>
          <w:sz w:val="20"/>
          <w:szCs w:val="20"/>
        </w:rPr>
        <w:instrText xml:space="preserve"> HYPERLINK "https://doi.org/10.1007/s00606-021-01775-y" \h </w:instrText>
      </w:r>
      <w:r>
        <w:rPr>
          <w:sz w:val="20"/>
          <w:szCs w:val="20"/>
        </w:rPr>
        <w:fldChar w:fldCharType="separate"/>
      </w:r>
      <w:r>
        <w:rPr>
          <w:rStyle w:val="24"/>
          <w:sz w:val="20"/>
          <w:szCs w:val="20"/>
        </w:rPr>
        <w:t>https://doi.org/10.1007/s00606-021-01775-y</w:t>
      </w:r>
      <w:r>
        <w:rPr>
          <w:rStyle w:val="24"/>
          <w:sz w:val="20"/>
          <w:szCs w:val="20"/>
        </w:rPr>
        <w:fldChar w:fldCharType="end"/>
      </w:r>
    </w:p>
    <w:bookmarkEnd w:id="30"/>
    <w:p>
      <w:pPr>
        <w:pStyle w:val="33"/>
        <w:jc w:val="both"/>
        <w:rPr>
          <w:sz w:val="20"/>
          <w:szCs w:val="20"/>
        </w:rPr>
      </w:pPr>
      <w:bookmarkStart w:id="31" w:name="ref-Gultepe2007"/>
      <w:r>
        <w:rPr>
          <w:sz w:val="20"/>
          <w:szCs w:val="20"/>
        </w:rPr>
        <w:t xml:space="preserve">Gultepe, I., Tardif, R., Michaelides, S. C., Cermak, J., Bott, A., Bendix, J., Müller, M. D., Pagowski, M., Hansen, B., Ellrod, G., Jacobs, W., Toth, G., &amp; Cober, S. G. (2007). Fog research: A review of past achievements and future perspectives. In </w:t>
      </w:r>
      <w:r>
        <w:rPr>
          <w:i/>
          <w:iCs/>
          <w:sz w:val="20"/>
          <w:szCs w:val="20"/>
        </w:rPr>
        <w:t>Fog and boundary layer clouds: Fog visibility and forecasting</w:t>
      </w:r>
      <w:r>
        <w:rPr>
          <w:sz w:val="20"/>
          <w:szCs w:val="20"/>
        </w:rPr>
        <w:t xml:space="preserve"> (pp. 1121–1159). Birkhäuser Basel. </w:t>
      </w:r>
      <w:r>
        <w:rPr>
          <w:sz w:val="20"/>
          <w:szCs w:val="20"/>
        </w:rPr>
        <w:fldChar w:fldCharType="begin"/>
      </w:r>
      <w:r>
        <w:rPr>
          <w:sz w:val="20"/>
          <w:szCs w:val="20"/>
        </w:rPr>
        <w:instrText xml:space="preserve"> HYPERLINK "https://doi.org/10.1007/978-3-7643-8419-7_3" \h </w:instrText>
      </w:r>
      <w:r>
        <w:rPr>
          <w:sz w:val="20"/>
          <w:szCs w:val="20"/>
        </w:rPr>
        <w:fldChar w:fldCharType="separate"/>
      </w:r>
      <w:r>
        <w:rPr>
          <w:rStyle w:val="24"/>
          <w:sz w:val="20"/>
          <w:szCs w:val="20"/>
        </w:rPr>
        <w:t>https://doi.org/10.1007/978-3-7643-8419-7_3</w:t>
      </w:r>
      <w:r>
        <w:rPr>
          <w:rStyle w:val="24"/>
          <w:sz w:val="20"/>
          <w:szCs w:val="20"/>
        </w:rPr>
        <w:fldChar w:fldCharType="end"/>
      </w:r>
    </w:p>
    <w:bookmarkEnd w:id="31"/>
    <w:p>
      <w:pPr>
        <w:pStyle w:val="33"/>
        <w:jc w:val="both"/>
        <w:rPr>
          <w:sz w:val="20"/>
          <w:szCs w:val="20"/>
        </w:rPr>
      </w:pPr>
      <w:bookmarkStart w:id="32" w:name="ref-Houston2006"/>
      <w:r>
        <w:rPr>
          <w:sz w:val="20"/>
          <w:szCs w:val="20"/>
        </w:rPr>
        <w:t xml:space="preserve">Houston, J. (2006). Variability of precipitation in the Atacama Desert: Its causes and hydrological impact. </w:t>
      </w:r>
      <w:r>
        <w:rPr>
          <w:i/>
          <w:iCs/>
          <w:sz w:val="20"/>
          <w:szCs w:val="20"/>
        </w:rPr>
        <w:t>International Journal of Climatology</w:t>
      </w:r>
      <w:r>
        <w:rPr>
          <w:sz w:val="20"/>
          <w:szCs w:val="20"/>
        </w:rPr>
        <w:t xml:space="preserve">, </w:t>
      </w:r>
      <w:r>
        <w:rPr>
          <w:i/>
          <w:iCs/>
          <w:sz w:val="20"/>
          <w:szCs w:val="20"/>
        </w:rPr>
        <w:t>26</w:t>
      </w:r>
      <w:r>
        <w:rPr>
          <w:sz w:val="20"/>
          <w:szCs w:val="20"/>
        </w:rPr>
        <w:t xml:space="preserve">(15), 2181–2198. </w:t>
      </w:r>
      <w:r>
        <w:rPr>
          <w:sz w:val="20"/>
          <w:szCs w:val="20"/>
        </w:rPr>
        <w:fldChar w:fldCharType="begin"/>
      </w:r>
      <w:r>
        <w:rPr>
          <w:sz w:val="20"/>
          <w:szCs w:val="20"/>
        </w:rPr>
        <w:instrText xml:space="preserve"> HYPERLINK "https://doi.org/10.1002/joc.1359" \h </w:instrText>
      </w:r>
      <w:r>
        <w:rPr>
          <w:sz w:val="20"/>
          <w:szCs w:val="20"/>
        </w:rPr>
        <w:fldChar w:fldCharType="separate"/>
      </w:r>
      <w:r>
        <w:rPr>
          <w:rStyle w:val="24"/>
          <w:sz w:val="20"/>
          <w:szCs w:val="20"/>
        </w:rPr>
        <w:t>https://doi.org/10.1002/joc.1359</w:t>
      </w:r>
      <w:r>
        <w:rPr>
          <w:rStyle w:val="24"/>
          <w:sz w:val="20"/>
          <w:szCs w:val="20"/>
        </w:rPr>
        <w:fldChar w:fldCharType="end"/>
      </w:r>
    </w:p>
    <w:bookmarkEnd w:id="32"/>
    <w:p>
      <w:pPr>
        <w:pStyle w:val="33"/>
        <w:jc w:val="both"/>
        <w:rPr>
          <w:sz w:val="20"/>
          <w:szCs w:val="20"/>
        </w:rPr>
      </w:pPr>
      <w:bookmarkStart w:id="33" w:name="ref-Jabbusch2025"/>
      <w:r>
        <w:rPr>
          <w:sz w:val="20"/>
          <w:szCs w:val="20"/>
        </w:rPr>
        <w:t xml:space="preserve">Jabbusch, S., &amp; Koch, M. A. (2025). Tillandsia landbeckii secures high phenotypic variation despite clonal propagation at the dry limits of plant life in the atacama desert. </w:t>
      </w:r>
      <w:r>
        <w:rPr>
          <w:i/>
          <w:iCs/>
          <w:sz w:val="20"/>
          <w:szCs w:val="20"/>
        </w:rPr>
        <w:t>Perspectives in Plant Ecology, Evolution and Systematics</w:t>
      </w:r>
      <w:r>
        <w:rPr>
          <w:sz w:val="20"/>
          <w:szCs w:val="20"/>
        </w:rPr>
        <w:t xml:space="preserve">, </w:t>
      </w:r>
      <w:r>
        <w:rPr>
          <w:i/>
          <w:iCs/>
          <w:sz w:val="20"/>
          <w:szCs w:val="20"/>
        </w:rPr>
        <w:t>66</w:t>
      </w:r>
      <w:r>
        <w:rPr>
          <w:sz w:val="20"/>
          <w:szCs w:val="20"/>
        </w:rPr>
        <w:t xml:space="preserve">, 125846. </w:t>
      </w:r>
      <w:r>
        <w:rPr>
          <w:sz w:val="20"/>
          <w:szCs w:val="20"/>
        </w:rPr>
        <w:fldChar w:fldCharType="begin"/>
      </w:r>
      <w:r>
        <w:rPr>
          <w:sz w:val="20"/>
          <w:szCs w:val="20"/>
        </w:rPr>
        <w:instrText xml:space="preserve"> HYPERLINK "https://doi.org/10.1016/j.ppees.2025.125846" \h </w:instrText>
      </w:r>
      <w:r>
        <w:rPr>
          <w:sz w:val="20"/>
          <w:szCs w:val="20"/>
        </w:rPr>
        <w:fldChar w:fldCharType="separate"/>
      </w:r>
      <w:r>
        <w:rPr>
          <w:rStyle w:val="24"/>
          <w:sz w:val="20"/>
          <w:szCs w:val="20"/>
        </w:rPr>
        <w:t>https://doi.org/10.1016/j.ppees.2025.125846</w:t>
      </w:r>
      <w:r>
        <w:rPr>
          <w:rStyle w:val="24"/>
          <w:sz w:val="20"/>
          <w:szCs w:val="20"/>
        </w:rPr>
        <w:fldChar w:fldCharType="end"/>
      </w:r>
    </w:p>
    <w:bookmarkEnd w:id="33"/>
    <w:p>
      <w:pPr>
        <w:pStyle w:val="33"/>
        <w:jc w:val="both"/>
        <w:rPr>
          <w:sz w:val="20"/>
          <w:szCs w:val="20"/>
        </w:rPr>
      </w:pPr>
      <w:bookmarkStart w:id="34" w:name="ref-Jacobs2006"/>
      <w:r>
        <w:rPr>
          <w:sz w:val="20"/>
          <w:szCs w:val="20"/>
        </w:rPr>
        <w:t xml:space="preserve">Jacobs, A. F. G., Heusinkveld, B. G., Wichink Kruit, R. J., &amp; Berkowicz, S. M. (2006). Contribution of dew to the water budget of a grassland area in the netherlands. </w:t>
      </w:r>
      <w:r>
        <w:rPr>
          <w:i/>
          <w:iCs/>
          <w:sz w:val="20"/>
          <w:szCs w:val="20"/>
        </w:rPr>
        <w:t>Water Resources Research</w:t>
      </w:r>
      <w:r>
        <w:rPr>
          <w:sz w:val="20"/>
          <w:szCs w:val="20"/>
        </w:rPr>
        <w:t xml:space="preserve">, </w:t>
      </w:r>
      <w:r>
        <w:rPr>
          <w:i/>
          <w:iCs/>
          <w:sz w:val="20"/>
          <w:szCs w:val="20"/>
        </w:rPr>
        <w:t>42</w:t>
      </w:r>
      <w:r>
        <w:rPr>
          <w:sz w:val="20"/>
          <w:szCs w:val="20"/>
        </w:rPr>
        <w:t xml:space="preserve">(3). </w:t>
      </w:r>
      <w:r>
        <w:rPr>
          <w:sz w:val="20"/>
          <w:szCs w:val="20"/>
        </w:rPr>
        <w:fldChar w:fldCharType="begin"/>
      </w:r>
      <w:r>
        <w:rPr>
          <w:sz w:val="20"/>
          <w:szCs w:val="20"/>
        </w:rPr>
        <w:instrText xml:space="preserve"> HYPERLINK "https://doi.org/10.1029/2005wr004055" \h </w:instrText>
      </w:r>
      <w:r>
        <w:rPr>
          <w:sz w:val="20"/>
          <w:szCs w:val="20"/>
        </w:rPr>
        <w:fldChar w:fldCharType="separate"/>
      </w:r>
      <w:r>
        <w:rPr>
          <w:rStyle w:val="24"/>
          <w:sz w:val="20"/>
          <w:szCs w:val="20"/>
        </w:rPr>
        <w:t>https://doi.org/10.1029/2005wr004055</w:t>
      </w:r>
      <w:r>
        <w:rPr>
          <w:rStyle w:val="24"/>
          <w:sz w:val="20"/>
          <w:szCs w:val="20"/>
        </w:rPr>
        <w:fldChar w:fldCharType="end"/>
      </w:r>
    </w:p>
    <w:bookmarkEnd w:id="34"/>
    <w:p>
      <w:pPr>
        <w:pStyle w:val="33"/>
        <w:jc w:val="both"/>
        <w:rPr>
          <w:sz w:val="20"/>
          <w:szCs w:val="20"/>
          <w:lang w:val="es-ES"/>
        </w:rPr>
      </w:pPr>
      <w:bookmarkStart w:id="35" w:name="ref-Jung2019"/>
      <w:r>
        <w:rPr>
          <w:sz w:val="20"/>
          <w:szCs w:val="20"/>
        </w:rPr>
        <w:t xml:space="preserve">Jung, P., Emrich, D., Briegel‐Williams, L., Schermer, M., Weber, L., Baumann, K., Colesie, C., Clerc, P., Lehnert, L. W., Achilles, S., Bendix, J., &amp; Büdel, B. (2019). Ecophysiology and phylogeny of new terricolous and epiphytic chlorolichens in a fog oasis of the atacama desert. </w:t>
      </w:r>
      <w:r>
        <w:rPr>
          <w:i/>
          <w:iCs/>
          <w:sz w:val="20"/>
          <w:szCs w:val="20"/>
          <w:lang w:val="es-ES"/>
        </w:rPr>
        <w:t>MicrobiologyOpen</w:t>
      </w:r>
      <w:r>
        <w:rPr>
          <w:sz w:val="20"/>
          <w:szCs w:val="20"/>
          <w:lang w:val="es-ES"/>
        </w:rPr>
        <w:t xml:space="preserve">, </w:t>
      </w:r>
      <w:r>
        <w:rPr>
          <w:i/>
          <w:iCs/>
          <w:sz w:val="20"/>
          <w:szCs w:val="20"/>
          <w:lang w:val="es-ES"/>
        </w:rPr>
        <w:t>8</w:t>
      </w:r>
      <w:r>
        <w:rPr>
          <w:sz w:val="20"/>
          <w:szCs w:val="20"/>
          <w:lang w:val="es-ES"/>
        </w:rPr>
        <w:t xml:space="preserve">(10). </w:t>
      </w:r>
      <w:r>
        <w:rPr>
          <w:sz w:val="20"/>
          <w:szCs w:val="20"/>
        </w:rPr>
        <w:fldChar w:fldCharType="begin"/>
      </w:r>
      <w:r>
        <w:rPr>
          <w:sz w:val="20"/>
          <w:szCs w:val="20"/>
        </w:rPr>
        <w:instrText xml:space="preserve"> HYPERLINK "https://doi.org/10.1002/mbo3.894" \h </w:instrText>
      </w:r>
      <w:r>
        <w:rPr>
          <w:sz w:val="20"/>
          <w:szCs w:val="20"/>
        </w:rPr>
        <w:fldChar w:fldCharType="separate"/>
      </w:r>
      <w:r>
        <w:rPr>
          <w:rStyle w:val="24"/>
          <w:sz w:val="20"/>
          <w:szCs w:val="20"/>
          <w:lang w:val="es-ES"/>
        </w:rPr>
        <w:t>https://doi.org/10.1002/mbo3.894</w:t>
      </w:r>
      <w:r>
        <w:rPr>
          <w:rStyle w:val="24"/>
          <w:sz w:val="20"/>
          <w:szCs w:val="20"/>
          <w:lang w:val="es-ES"/>
        </w:rPr>
        <w:fldChar w:fldCharType="end"/>
      </w:r>
    </w:p>
    <w:bookmarkEnd w:id="35"/>
    <w:p>
      <w:pPr>
        <w:pStyle w:val="33"/>
        <w:jc w:val="both"/>
        <w:rPr>
          <w:sz w:val="20"/>
          <w:szCs w:val="20"/>
          <w:lang w:val="es-ES"/>
        </w:rPr>
      </w:pPr>
      <w:bookmarkStart w:id="36" w:name="ref-Larrain2002"/>
      <w:r>
        <w:rPr>
          <w:sz w:val="20"/>
          <w:szCs w:val="20"/>
          <w:lang w:val="es-ES"/>
        </w:rPr>
        <w:t xml:space="preserve">Larrain, H., Velásquez, F., Cereceda, P., Espejo, R., Pinto, R., Osses, P., &amp; Schemenauer, R. S. (2002). </w:t>
      </w:r>
      <w:r>
        <w:rPr>
          <w:sz w:val="20"/>
          <w:szCs w:val="20"/>
        </w:rPr>
        <w:t xml:space="preserve">Fog measurements at the site “falda verde” north of chañaral compared with other fog stations of chile. </w:t>
      </w:r>
      <w:r>
        <w:rPr>
          <w:i/>
          <w:iCs/>
          <w:sz w:val="20"/>
          <w:szCs w:val="20"/>
          <w:lang w:val="es-ES"/>
        </w:rPr>
        <w:t>Atmospheric Research</w:t>
      </w:r>
      <w:r>
        <w:rPr>
          <w:sz w:val="20"/>
          <w:szCs w:val="20"/>
          <w:lang w:val="es-ES"/>
        </w:rPr>
        <w:t xml:space="preserve">, </w:t>
      </w:r>
      <w:r>
        <w:rPr>
          <w:i/>
          <w:iCs/>
          <w:sz w:val="20"/>
          <w:szCs w:val="20"/>
          <w:lang w:val="es-ES"/>
        </w:rPr>
        <w:t>64</w:t>
      </w:r>
      <w:r>
        <w:rPr>
          <w:sz w:val="20"/>
          <w:szCs w:val="20"/>
          <w:lang w:val="es-ES"/>
        </w:rPr>
        <w:t xml:space="preserve">(1-4), 273–284. </w:t>
      </w:r>
      <w:r>
        <w:rPr>
          <w:sz w:val="20"/>
          <w:szCs w:val="20"/>
        </w:rPr>
        <w:fldChar w:fldCharType="begin"/>
      </w:r>
      <w:r>
        <w:rPr>
          <w:sz w:val="20"/>
          <w:szCs w:val="20"/>
        </w:rPr>
        <w:instrText xml:space="preserve"> HYPERLINK "https://doi.org/10.1016/s0169-8095(02)00098-4" \h </w:instrText>
      </w:r>
      <w:r>
        <w:rPr>
          <w:sz w:val="20"/>
          <w:szCs w:val="20"/>
        </w:rPr>
        <w:fldChar w:fldCharType="separate"/>
      </w:r>
      <w:r>
        <w:rPr>
          <w:rStyle w:val="24"/>
          <w:sz w:val="20"/>
          <w:szCs w:val="20"/>
          <w:lang w:val="es-ES"/>
        </w:rPr>
        <w:t>https://doi.org/10.1016/s0169-8095(02)00098-4</w:t>
      </w:r>
      <w:r>
        <w:rPr>
          <w:rStyle w:val="24"/>
          <w:sz w:val="20"/>
          <w:szCs w:val="20"/>
          <w:lang w:val="es-ES"/>
        </w:rPr>
        <w:fldChar w:fldCharType="end"/>
      </w:r>
    </w:p>
    <w:bookmarkEnd w:id="36"/>
    <w:p>
      <w:pPr>
        <w:pStyle w:val="33"/>
        <w:jc w:val="both"/>
        <w:rPr>
          <w:sz w:val="20"/>
          <w:szCs w:val="20"/>
        </w:rPr>
      </w:pPr>
      <w:bookmarkStart w:id="37" w:name="ref-Latorre2011"/>
      <w:r>
        <w:rPr>
          <w:sz w:val="20"/>
          <w:szCs w:val="20"/>
          <w:lang w:val="es-ES"/>
        </w:rPr>
        <w:t xml:space="preserve">Latorre, C., González, A. L., Quade, J., Fariña, J. M., Pinto, R., &amp; Marquet, P. A. (2011). </w:t>
      </w:r>
      <w:r>
        <w:rPr>
          <w:sz w:val="20"/>
          <w:szCs w:val="20"/>
        </w:rPr>
        <w:t xml:space="preserve">Establishment and formation of fog-dependent &lt;i&gt;tillandsia landbeckii&lt;/i&gt; dunes in the atacama desert: Evidence from radiocarbon and stable isotopes. </w:t>
      </w:r>
      <w:r>
        <w:rPr>
          <w:i/>
          <w:iCs/>
          <w:sz w:val="20"/>
          <w:szCs w:val="20"/>
        </w:rPr>
        <w:t>Journal of Geophysical Research</w:t>
      </w:r>
      <w:r>
        <w:rPr>
          <w:sz w:val="20"/>
          <w:szCs w:val="20"/>
        </w:rPr>
        <w:t xml:space="preserve">, </w:t>
      </w:r>
      <w:r>
        <w:rPr>
          <w:i/>
          <w:iCs/>
          <w:sz w:val="20"/>
          <w:szCs w:val="20"/>
        </w:rPr>
        <w:t>116</w:t>
      </w:r>
      <w:r>
        <w:rPr>
          <w:sz w:val="20"/>
          <w:szCs w:val="20"/>
        </w:rPr>
        <w:t xml:space="preserve">(G3). </w:t>
      </w:r>
      <w:r>
        <w:rPr>
          <w:sz w:val="20"/>
          <w:szCs w:val="20"/>
        </w:rPr>
        <w:fldChar w:fldCharType="begin"/>
      </w:r>
      <w:r>
        <w:rPr>
          <w:sz w:val="20"/>
          <w:szCs w:val="20"/>
        </w:rPr>
        <w:instrText xml:space="preserve"> HYPERLINK "https://doi.org/10.1029/2010jg001521" \h </w:instrText>
      </w:r>
      <w:r>
        <w:rPr>
          <w:sz w:val="20"/>
          <w:szCs w:val="20"/>
        </w:rPr>
        <w:fldChar w:fldCharType="separate"/>
      </w:r>
      <w:r>
        <w:rPr>
          <w:rStyle w:val="24"/>
          <w:sz w:val="20"/>
          <w:szCs w:val="20"/>
        </w:rPr>
        <w:t>https://doi.org/10.1029/2010jg001521</w:t>
      </w:r>
      <w:r>
        <w:rPr>
          <w:rStyle w:val="24"/>
          <w:sz w:val="20"/>
          <w:szCs w:val="20"/>
        </w:rPr>
        <w:fldChar w:fldCharType="end"/>
      </w:r>
    </w:p>
    <w:bookmarkEnd w:id="37"/>
    <w:p>
      <w:pPr>
        <w:pStyle w:val="33"/>
        <w:jc w:val="both"/>
        <w:rPr>
          <w:sz w:val="20"/>
          <w:szCs w:val="20"/>
          <w:lang w:val="es-ES"/>
        </w:rPr>
      </w:pPr>
      <w:bookmarkStart w:id="38" w:name="ref-Li2025"/>
      <w:r>
        <w:rPr>
          <w:sz w:val="20"/>
          <w:szCs w:val="20"/>
        </w:rPr>
        <w:t xml:space="preserve">Li, H., Han, C., Yang, Y., &amp; Chen, R. (2025). Advances and challenges in dew research on land surface: A review. </w:t>
      </w:r>
      <w:r>
        <w:rPr>
          <w:i/>
          <w:iCs/>
          <w:sz w:val="20"/>
          <w:szCs w:val="20"/>
          <w:lang w:val="es-ES"/>
        </w:rPr>
        <w:t>Hydrology</w:t>
      </w:r>
      <w:r>
        <w:rPr>
          <w:sz w:val="20"/>
          <w:szCs w:val="20"/>
          <w:lang w:val="es-ES"/>
        </w:rPr>
        <w:t xml:space="preserve">, </w:t>
      </w:r>
      <w:r>
        <w:rPr>
          <w:i/>
          <w:iCs/>
          <w:sz w:val="20"/>
          <w:szCs w:val="20"/>
          <w:lang w:val="es-ES"/>
        </w:rPr>
        <w:t>12</w:t>
      </w:r>
      <w:r>
        <w:rPr>
          <w:sz w:val="20"/>
          <w:szCs w:val="20"/>
          <w:lang w:val="es-ES"/>
        </w:rPr>
        <w:t xml:space="preserve">(12), 320. </w:t>
      </w:r>
      <w:r>
        <w:rPr>
          <w:sz w:val="20"/>
          <w:szCs w:val="20"/>
        </w:rPr>
        <w:fldChar w:fldCharType="begin"/>
      </w:r>
      <w:r>
        <w:rPr>
          <w:sz w:val="20"/>
          <w:szCs w:val="20"/>
        </w:rPr>
        <w:instrText xml:space="preserve"> HYPERLINK "https://doi.org/10.3390/hydrology12120320" \h </w:instrText>
      </w:r>
      <w:r>
        <w:rPr>
          <w:sz w:val="20"/>
          <w:szCs w:val="20"/>
        </w:rPr>
        <w:fldChar w:fldCharType="separate"/>
      </w:r>
      <w:r>
        <w:rPr>
          <w:rStyle w:val="24"/>
          <w:sz w:val="20"/>
          <w:szCs w:val="20"/>
          <w:lang w:val="es-ES"/>
        </w:rPr>
        <w:t>https://doi.org/10.3390/hydrology12120320</w:t>
      </w:r>
      <w:r>
        <w:rPr>
          <w:rStyle w:val="24"/>
          <w:sz w:val="20"/>
          <w:szCs w:val="20"/>
          <w:lang w:val="es-ES"/>
        </w:rPr>
        <w:fldChar w:fldCharType="end"/>
      </w:r>
    </w:p>
    <w:bookmarkEnd w:id="38"/>
    <w:p>
      <w:pPr>
        <w:pStyle w:val="33"/>
        <w:jc w:val="both"/>
        <w:rPr>
          <w:sz w:val="20"/>
          <w:szCs w:val="20"/>
          <w:lang w:val="es-ES"/>
        </w:rPr>
      </w:pPr>
      <w:bookmarkStart w:id="39" w:name="ref-LobosRoco2018"/>
      <w:r>
        <w:rPr>
          <w:sz w:val="20"/>
          <w:szCs w:val="20"/>
          <w:lang w:val="es-ES"/>
        </w:rPr>
        <w:t xml:space="preserve">Lobos Roco, F., Vilà-Guerau de Arellano, J., &amp; Pedruzo-Bagazgoitia, X. (2018). </w:t>
      </w:r>
      <w:r>
        <w:rPr>
          <w:sz w:val="20"/>
          <w:szCs w:val="20"/>
        </w:rPr>
        <w:t xml:space="preserve">Characterizing the influence of the marine stratocumulus cloud on the land fog at the atacama desert. </w:t>
      </w:r>
      <w:r>
        <w:rPr>
          <w:i/>
          <w:iCs/>
          <w:sz w:val="20"/>
          <w:szCs w:val="20"/>
          <w:lang w:val="es-ES"/>
        </w:rPr>
        <w:t>Atmospheric Research</w:t>
      </w:r>
      <w:r>
        <w:rPr>
          <w:sz w:val="20"/>
          <w:szCs w:val="20"/>
          <w:lang w:val="es-ES"/>
        </w:rPr>
        <w:t xml:space="preserve">, </w:t>
      </w:r>
      <w:r>
        <w:rPr>
          <w:i/>
          <w:iCs/>
          <w:sz w:val="20"/>
          <w:szCs w:val="20"/>
          <w:lang w:val="es-ES"/>
        </w:rPr>
        <w:t>214</w:t>
      </w:r>
      <w:r>
        <w:rPr>
          <w:sz w:val="20"/>
          <w:szCs w:val="20"/>
          <w:lang w:val="es-ES"/>
        </w:rPr>
        <w:t xml:space="preserve">, 109–120. </w:t>
      </w:r>
      <w:r>
        <w:rPr>
          <w:sz w:val="20"/>
          <w:szCs w:val="20"/>
        </w:rPr>
        <w:fldChar w:fldCharType="begin"/>
      </w:r>
      <w:r>
        <w:rPr>
          <w:sz w:val="20"/>
          <w:szCs w:val="20"/>
        </w:rPr>
        <w:instrText xml:space="preserve"> HYPERLINK "https://doi.org/10.1016/j.atmosres.2018.07.009" \h </w:instrText>
      </w:r>
      <w:r>
        <w:rPr>
          <w:sz w:val="20"/>
          <w:szCs w:val="20"/>
        </w:rPr>
        <w:fldChar w:fldCharType="separate"/>
      </w:r>
      <w:r>
        <w:rPr>
          <w:rStyle w:val="24"/>
          <w:sz w:val="20"/>
          <w:szCs w:val="20"/>
          <w:lang w:val="es-ES"/>
        </w:rPr>
        <w:t>https://doi.org/10.1016/j.atmosres.2018.07.009</w:t>
      </w:r>
      <w:r>
        <w:rPr>
          <w:rStyle w:val="24"/>
          <w:sz w:val="20"/>
          <w:szCs w:val="20"/>
          <w:lang w:val="es-ES"/>
        </w:rPr>
        <w:fldChar w:fldCharType="end"/>
      </w:r>
    </w:p>
    <w:bookmarkEnd w:id="39"/>
    <w:p>
      <w:pPr>
        <w:pStyle w:val="33"/>
        <w:jc w:val="both"/>
        <w:rPr>
          <w:sz w:val="20"/>
          <w:szCs w:val="20"/>
        </w:rPr>
      </w:pPr>
      <w:bookmarkStart w:id="40" w:name="ref-LobosRoco2024"/>
      <w:r>
        <w:rPr>
          <w:sz w:val="20"/>
          <w:szCs w:val="20"/>
          <w:lang w:val="es-ES"/>
        </w:rPr>
        <w:t xml:space="preserve">Lobos-Roco, F., Suárez, F., Aguirre-Correa, F., Keim, K., Aguirre, I., Vargas, C., Abarca, F., Ramírez, C., Escobar, R., Osses, P., &amp; Río, C. del. </w:t>
      </w:r>
      <w:r>
        <w:rPr>
          <w:sz w:val="20"/>
          <w:szCs w:val="20"/>
        </w:rPr>
        <w:t xml:space="preserve">(2024). Understanding inland fog and dew dynamics for assessing potential non-rainfall water use in the atacama. </w:t>
      </w:r>
      <w:r>
        <w:rPr>
          <w:i/>
          <w:iCs/>
          <w:sz w:val="20"/>
          <w:szCs w:val="20"/>
        </w:rPr>
        <w:t>Journal of Arid Environments</w:t>
      </w:r>
      <w:r>
        <w:rPr>
          <w:sz w:val="20"/>
          <w:szCs w:val="20"/>
        </w:rPr>
        <w:t xml:space="preserve">, </w:t>
      </w:r>
      <w:r>
        <w:rPr>
          <w:i/>
          <w:iCs/>
          <w:sz w:val="20"/>
          <w:szCs w:val="20"/>
        </w:rPr>
        <w:t>221</w:t>
      </w:r>
      <w:r>
        <w:rPr>
          <w:sz w:val="20"/>
          <w:szCs w:val="20"/>
        </w:rPr>
        <w:t xml:space="preserve">, 105125. </w:t>
      </w:r>
      <w:r>
        <w:rPr>
          <w:sz w:val="20"/>
          <w:szCs w:val="20"/>
        </w:rPr>
        <w:fldChar w:fldCharType="begin"/>
      </w:r>
      <w:r>
        <w:rPr>
          <w:sz w:val="20"/>
          <w:szCs w:val="20"/>
        </w:rPr>
        <w:instrText xml:space="preserve"> HYPERLINK "https://doi.org/10.1016/j.jaridenv.2024.105125" \h </w:instrText>
      </w:r>
      <w:r>
        <w:rPr>
          <w:sz w:val="20"/>
          <w:szCs w:val="20"/>
        </w:rPr>
        <w:fldChar w:fldCharType="separate"/>
      </w:r>
      <w:r>
        <w:rPr>
          <w:rStyle w:val="24"/>
          <w:sz w:val="20"/>
          <w:szCs w:val="20"/>
        </w:rPr>
        <w:t>https://doi.org/10.1016/j.jaridenv.2024.105125</w:t>
      </w:r>
      <w:r>
        <w:rPr>
          <w:rStyle w:val="24"/>
          <w:sz w:val="20"/>
          <w:szCs w:val="20"/>
        </w:rPr>
        <w:fldChar w:fldCharType="end"/>
      </w:r>
    </w:p>
    <w:bookmarkEnd w:id="40"/>
    <w:p>
      <w:pPr>
        <w:pStyle w:val="33"/>
        <w:jc w:val="both"/>
        <w:rPr>
          <w:sz w:val="20"/>
          <w:szCs w:val="20"/>
        </w:rPr>
      </w:pPr>
      <w:bookmarkStart w:id="41" w:name="ref-Malik2023"/>
      <w:r>
        <w:rPr>
          <w:sz w:val="20"/>
          <w:szCs w:val="20"/>
        </w:rPr>
        <w:t xml:space="preserve">Malik, T., Gethin, D., Boy, F., Davies, G., &amp; Parker, A. (2023). Re-engineering dew-harvesting cactus macrostructures to enhance water collection as an adaptive climate change strategy: An experimental comparison. </w:t>
      </w:r>
      <w:r>
        <w:rPr>
          <w:i/>
          <w:iCs/>
          <w:sz w:val="20"/>
          <w:szCs w:val="20"/>
        </w:rPr>
        <w:t>Atmosphere</w:t>
      </w:r>
      <w:r>
        <w:rPr>
          <w:sz w:val="20"/>
          <w:szCs w:val="20"/>
        </w:rPr>
        <w:t xml:space="preserve">, </w:t>
      </w:r>
      <w:r>
        <w:rPr>
          <w:i/>
          <w:iCs/>
          <w:sz w:val="20"/>
          <w:szCs w:val="20"/>
        </w:rPr>
        <w:t>14</w:t>
      </w:r>
      <w:r>
        <w:rPr>
          <w:sz w:val="20"/>
          <w:szCs w:val="20"/>
        </w:rPr>
        <w:t xml:space="preserve">(12), 1736. </w:t>
      </w:r>
      <w:r>
        <w:rPr>
          <w:sz w:val="20"/>
          <w:szCs w:val="20"/>
        </w:rPr>
        <w:fldChar w:fldCharType="begin"/>
      </w:r>
      <w:r>
        <w:rPr>
          <w:sz w:val="20"/>
          <w:szCs w:val="20"/>
        </w:rPr>
        <w:instrText xml:space="preserve"> HYPERLINK "https://doi.org/10.3390/atmos14121736" \h </w:instrText>
      </w:r>
      <w:r>
        <w:rPr>
          <w:sz w:val="20"/>
          <w:szCs w:val="20"/>
        </w:rPr>
        <w:fldChar w:fldCharType="separate"/>
      </w:r>
      <w:r>
        <w:rPr>
          <w:rStyle w:val="24"/>
          <w:sz w:val="20"/>
          <w:szCs w:val="20"/>
        </w:rPr>
        <w:t>https://doi.org/10.3390/atmos14121736</w:t>
      </w:r>
      <w:r>
        <w:rPr>
          <w:rStyle w:val="24"/>
          <w:sz w:val="20"/>
          <w:szCs w:val="20"/>
        </w:rPr>
        <w:fldChar w:fldCharType="end"/>
      </w:r>
    </w:p>
    <w:bookmarkEnd w:id="41"/>
    <w:p>
      <w:pPr>
        <w:pStyle w:val="33"/>
        <w:jc w:val="both"/>
        <w:rPr>
          <w:sz w:val="20"/>
          <w:szCs w:val="20"/>
          <w:lang w:val="es-ES"/>
        </w:rPr>
      </w:pPr>
      <w:bookmarkStart w:id="42" w:name="ref-Monteith1957"/>
      <w:r>
        <w:rPr>
          <w:sz w:val="20"/>
          <w:szCs w:val="20"/>
        </w:rPr>
        <w:t xml:space="preserve">Monteith, J. L. (1957). Dew. </w:t>
      </w:r>
      <w:r>
        <w:rPr>
          <w:i/>
          <w:iCs/>
          <w:sz w:val="20"/>
          <w:szCs w:val="20"/>
        </w:rPr>
        <w:t>Quarterly Journal of the Royal Meteorological Society</w:t>
      </w:r>
      <w:r>
        <w:rPr>
          <w:sz w:val="20"/>
          <w:szCs w:val="20"/>
        </w:rPr>
        <w:t xml:space="preserve">, </w:t>
      </w:r>
      <w:r>
        <w:rPr>
          <w:i/>
          <w:iCs/>
          <w:sz w:val="20"/>
          <w:szCs w:val="20"/>
        </w:rPr>
        <w:t>83</w:t>
      </w:r>
      <w:r>
        <w:rPr>
          <w:sz w:val="20"/>
          <w:szCs w:val="20"/>
        </w:rPr>
        <w:t xml:space="preserve">(357), 322–341. </w:t>
      </w:r>
      <w:r>
        <w:rPr>
          <w:sz w:val="20"/>
          <w:szCs w:val="20"/>
        </w:rPr>
        <w:fldChar w:fldCharType="begin"/>
      </w:r>
      <w:r>
        <w:rPr>
          <w:sz w:val="20"/>
          <w:szCs w:val="20"/>
        </w:rPr>
        <w:instrText xml:space="preserve"> HYPERLINK "https://doi.org/10.1002/qj.49708335706" \h </w:instrText>
      </w:r>
      <w:r>
        <w:rPr>
          <w:sz w:val="20"/>
          <w:szCs w:val="20"/>
        </w:rPr>
        <w:fldChar w:fldCharType="separate"/>
      </w:r>
      <w:r>
        <w:rPr>
          <w:rStyle w:val="24"/>
          <w:sz w:val="20"/>
          <w:szCs w:val="20"/>
          <w:lang w:val="es-ES"/>
        </w:rPr>
        <w:t>https://doi.org/10.1002/qj.49708335706</w:t>
      </w:r>
      <w:r>
        <w:rPr>
          <w:rStyle w:val="24"/>
          <w:sz w:val="20"/>
          <w:szCs w:val="20"/>
          <w:lang w:val="es-ES"/>
        </w:rPr>
        <w:fldChar w:fldCharType="end"/>
      </w:r>
    </w:p>
    <w:bookmarkEnd w:id="42"/>
    <w:p>
      <w:pPr>
        <w:pStyle w:val="33"/>
        <w:jc w:val="both"/>
        <w:rPr>
          <w:sz w:val="20"/>
          <w:szCs w:val="20"/>
        </w:rPr>
      </w:pPr>
      <w:bookmarkStart w:id="43" w:name="ref-MunozNarbona2026"/>
      <w:r>
        <w:rPr>
          <w:sz w:val="20"/>
          <w:szCs w:val="20"/>
          <w:lang w:val="es-ES"/>
        </w:rPr>
        <w:t xml:space="preserve">Muñoz-Narbona, F., Lobos-Roco, F., Del Río, C., &amp; Acevedo, S. (2026). </w:t>
      </w:r>
      <w:r>
        <w:rPr>
          <w:i/>
          <w:iCs/>
          <w:sz w:val="20"/>
          <w:szCs w:val="20"/>
        </w:rPr>
        <w:t>Thermodynamic characterization of fog and dew in the Atacama coastal desert</w:t>
      </w:r>
      <w:r>
        <w:rPr>
          <w:sz w:val="20"/>
          <w:szCs w:val="20"/>
        </w:rPr>
        <w:t xml:space="preserve"> (Version v1.0.0) [Computer software]. Zenodo. </w:t>
      </w:r>
      <w:r>
        <w:rPr>
          <w:sz w:val="20"/>
          <w:szCs w:val="20"/>
        </w:rPr>
        <w:fldChar w:fldCharType="begin"/>
      </w:r>
      <w:r>
        <w:rPr>
          <w:sz w:val="20"/>
          <w:szCs w:val="20"/>
        </w:rPr>
        <w:instrText xml:space="preserve"> HYPERLINK "https://doi.org/10.5281/zenodo.21826557" \h </w:instrText>
      </w:r>
      <w:r>
        <w:rPr>
          <w:sz w:val="20"/>
          <w:szCs w:val="20"/>
        </w:rPr>
        <w:fldChar w:fldCharType="separate"/>
      </w:r>
      <w:r>
        <w:rPr>
          <w:rStyle w:val="24"/>
          <w:sz w:val="20"/>
          <w:szCs w:val="20"/>
        </w:rPr>
        <w:t>https://doi.org/10.5281/zenodo.21826557</w:t>
      </w:r>
      <w:r>
        <w:rPr>
          <w:rStyle w:val="24"/>
          <w:sz w:val="20"/>
          <w:szCs w:val="20"/>
        </w:rPr>
        <w:fldChar w:fldCharType="end"/>
      </w:r>
    </w:p>
    <w:bookmarkEnd w:id="43"/>
    <w:p>
      <w:pPr>
        <w:pStyle w:val="33"/>
        <w:jc w:val="both"/>
        <w:rPr>
          <w:sz w:val="20"/>
          <w:szCs w:val="20"/>
        </w:rPr>
      </w:pPr>
      <w:bookmarkStart w:id="44" w:name="ref-Muselli2002"/>
      <w:r>
        <w:rPr>
          <w:sz w:val="20"/>
          <w:szCs w:val="20"/>
        </w:rPr>
        <w:t xml:space="preserve">Muselli, M., Beysens, D., Marcillat, J., Milimouk, I., Nilsson, T., &amp; Louche, A. (2002). Dew water collector for potable water in ajaccio (corsica island, france). </w:t>
      </w:r>
      <w:r>
        <w:rPr>
          <w:i/>
          <w:iCs/>
          <w:sz w:val="20"/>
          <w:szCs w:val="20"/>
        </w:rPr>
        <w:t>Atmospheric Research</w:t>
      </w:r>
      <w:r>
        <w:rPr>
          <w:sz w:val="20"/>
          <w:szCs w:val="20"/>
        </w:rPr>
        <w:t xml:space="preserve">, </w:t>
      </w:r>
      <w:r>
        <w:rPr>
          <w:i/>
          <w:iCs/>
          <w:sz w:val="20"/>
          <w:szCs w:val="20"/>
        </w:rPr>
        <w:t>64</w:t>
      </w:r>
      <w:r>
        <w:rPr>
          <w:sz w:val="20"/>
          <w:szCs w:val="20"/>
        </w:rPr>
        <w:t xml:space="preserve">(1-4), 297–312. </w:t>
      </w:r>
      <w:r>
        <w:rPr>
          <w:sz w:val="20"/>
          <w:szCs w:val="20"/>
        </w:rPr>
        <w:fldChar w:fldCharType="begin"/>
      </w:r>
      <w:r>
        <w:rPr>
          <w:sz w:val="20"/>
          <w:szCs w:val="20"/>
        </w:rPr>
        <w:instrText xml:space="preserve"> HYPERLINK "https://doi.org/10.1016/s0169-8095(02)00100-x" \h </w:instrText>
      </w:r>
      <w:r>
        <w:rPr>
          <w:sz w:val="20"/>
          <w:szCs w:val="20"/>
        </w:rPr>
        <w:fldChar w:fldCharType="separate"/>
      </w:r>
      <w:r>
        <w:rPr>
          <w:rStyle w:val="24"/>
          <w:sz w:val="20"/>
          <w:szCs w:val="20"/>
        </w:rPr>
        <w:t>https://doi.org/10.1016/s0169-8095(02)00100-x</w:t>
      </w:r>
      <w:r>
        <w:rPr>
          <w:rStyle w:val="24"/>
          <w:sz w:val="20"/>
          <w:szCs w:val="20"/>
        </w:rPr>
        <w:fldChar w:fldCharType="end"/>
      </w:r>
    </w:p>
    <w:bookmarkEnd w:id="44"/>
    <w:p>
      <w:pPr>
        <w:pStyle w:val="33"/>
        <w:jc w:val="both"/>
        <w:rPr>
          <w:sz w:val="20"/>
          <w:szCs w:val="20"/>
        </w:rPr>
      </w:pPr>
      <w:bookmarkStart w:id="45" w:name="ref-Pinto2006"/>
      <w:r>
        <w:rPr>
          <w:sz w:val="20"/>
          <w:szCs w:val="20"/>
        </w:rPr>
        <w:t xml:space="preserve">Pinto, R., Barría, I., &amp; Marquet, P. A. (2006). Geographical distribution of tillandsia lomas in the atacama desert, northern chile. </w:t>
      </w:r>
      <w:r>
        <w:rPr>
          <w:i/>
          <w:iCs/>
          <w:sz w:val="20"/>
          <w:szCs w:val="20"/>
        </w:rPr>
        <w:t>Journal of Arid Environments</w:t>
      </w:r>
      <w:r>
        <w:rPr>
          <w:sz w:val="20"/>
          <w:szCs w:val="20"/>
        </w:rPr>
        <w:t xml:space="preserve">, </w:t>
      </w:r>
      <w:r>
        <w:rPr>
          <w:i/>
          <w:iCs/>
          <w:sz w:val="20"/>
          <w:szCs w:val="20"/>
        </w:rPr>
        <w:t>65</w:t>
      </w:r>
      <w:r>
        <w:rPr>
          <w:sz w:val="20"/>
          <w:szCs w:val="20"/>
        </w:rPr>
        <w:t xml:space="preserve">(4), 543–552. </w:t>
      </w:r>
      <w:r>
        <w:rPr>
          <w:sz w:val="20"/>
          <w:szCs w:val="20"/>
        </w:rPr>
        <w:fldChar w:fldCharType="begin"/>
      </w:r>
      <w:r>
        <w:rPr>
          <w:sz w:val="20"/>
          <w:szCs w:val="20"/>
        </w:rPr>
        <w:instrText xml:space="preserve"> HYPERLINK "https://doi.org/10.1016/j.jaridenv.2005.08.015" \h </w:instrText>
      </w:r>
      <w:r>
        <w:rPr>
          <w:sz w:val="20"/>
          <w:szCs w:val="20"/>
        </w:rPr>
        <w:fldChar w:fldCharType="separate"/>
      </w:r>
      <w:r>
        <w:rPr>
          <w:rStyle w:val="24"/>
          <w:sz w:val="20"/>
          <w:szCs w:val="20"/>
        </w:rPr>
        <w:t>https://doi.org/10.1016/j.jaridenv.2005.08.015</w:t>
      </w:r>
      <w:r>
        <w:rPr>
          <w:rStyle w:val="24"/>
          <w:sz w:val="20"/>
          <w:szCs w:val="20"/>
        </w:rPr>
        <w:fldChar w:fldCharType="end"/>
      </w:r>
    </w:p>
    <w:bookmarkEnd w:id="45"/>
    <w:p>
      <w:pPr>
        <w:pStyle w:val="33"/>
        <w:jc w:val="both"/>
        <w:rPr>
          <w:sz w:val="20"/>
          <w:szCs w:val="20"/>
        </w:rPr>
      </w:pPr>
      <w:bookmarkStart w:id="46" w:name="ref-delRo2021b"/>
      <w:r>
        <w:rPr>
          <w:sz w:val="20"/>
          <w:szCs w:val="20"/>
        </w:rP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sz w:val="20"/>
          <w:szCs w:val="20"/>
        </w:rPr>
        <w:t>Plant Systematics and Evolution</w:t>
      </w:r>
      <w:r>
        <w:rPr>
          <w:sz w:val="20"/>
          <w:szCs w:val="20"/>
        </w:rPr>
        <w:t xml:space="preserve">, </w:t>
      </w:r>
      <w:r>
        <w:rPr>
          <w:i/>
          <w:iCs/>
          <w:sz w:val="20"/>
          <w:szCs w:val="20"/>
        </w:rPr>
        <w:t>307</w:t>
      </w:r>
      <w:r>
        <w:rPr>
          <w:sz w:val="20"/>
          <w:szCs w:val="20"/>
        </w:rPr>
        <w:t xml:space="preserve">(5). </w:t>
      </w:r>
      <w:r>
        <w:rPr>
          <w:sz w:val="20"/>
          <w:szCs w:val="20"/>
        </w:rPr>
        <w:fldChar w:fldCharType="begin"/>
      </w:r>
      <w:r>
        <w:rPr>
          <w:sz w:val="20"/>
          <w:szCs w:val="20"/>
        </w:rPr>
        <w:instrText xml:space="preserve"> HYPERLINK "https://doi.org/10.1007/s00606-021-01782-z" \h </w:instrText>
      </w:r>
      <w:r>
        <w:rPr>
          <w:sz w:val="20"/>
          <w:szCs w:val="20"/>
        </w:rPr>
        <w:fldChar w:fldCharType="separate"/>
      </w:r>
      <w:r>
        <w:rPr>
          <w:rStyle w:val="24"/>
          <w:sz w:val="20"/>
          <w:szCs w:val="20"/>
        </w:rPr>
        <w:t>https://doi.org/10.1007/s00606-021-01782-z</w:t>
      </w:r>
      <w:r>
        <w:rPr>
          <w:rStyle w:val="24"/>
          <w:sz w:val="20"/>
          <w:szCs w:val="20"/>
        </w:rPr>
        <w:fldChar w:fldCharType="end"/>
      </w:r>
    </w:p>
    <w:bookmarkEnd w:id="46"/>
    <w:p>
      <w:pPr>
        <w:pStyle w:val="33"/>
        <w:jc w:val="both"/>
        <w:rPr>
          <w:sz w:val="20"/>
          <w:szCs w:val="20"/>
          <w:lang w:val="es-ES"/>
        </w:rPr>
      </w:pPr>
      <w:bookmarkStart w:id="47" w:name="ref-RUTLLANT2002"/>
      <w:r>
        <w:rPr>
          <w:sz w:val="20"/>
          <w:szCs w:val="20"/>
        </w:rPr>
        <w:t xml:space="preserve">Rutllant, J., &amp; Montecino, V. (2002). Multiscale upwelling forcing cycles and biological response off north-central chile. </w:t>
      </w:r>
      <w:r>
        <w:rPr>
          <w:i/>
          <w:iCs/>
          <w:sz w:val="20"/>
          <w:szCs w:val="20"/>
          <w:lang w:val="es-ES"/>
        </w:rPr>
        <w:t>Revista Chilena de Historia Natural</w:t>
      </w:r>
      <w:r>
        <w:rPr>
          <w:sz w:val="20"/>
          <w:szCs w:val="20"/>
          <w:lang w:val="es-ES"/>
        </w:rPr>
        <w:t xml:space="preserve">, </w:t>
      </w:r>
      <w:r>
        <w:rPr>
          <w:i/>
          <w:iCs/>
          <w:sz w:val="20"/>
          <w:szCs w:val="20"/>
          <w:lang w:val="es-ES"/>
        </w:rPr>
        <w:t>75</w:t>
      </w:r>
      <w:r>
        <w:rPr>
          <w:sz w:val="20"/>
          <w:szCs w:val="20"/>
          <w:lang w:val="es-ES"/>
        </w:rPr>
        <w:t xml:space="preserve">(1). </w:t>
      </w:r>
      <w:r>
        <w:rPr>
          <w:sz w:val="20"/>
          <w:szCs w:val="20"/>
        </w:rPr>
        <w:fldChar w:fldCharType="begin"/>
      </w:r>
      <w:r>
        <w:rPr>
          <w:sz w:val="20"/>
          <w:szCs w:val="20"/>
        </w:rPr>
        <w:instrText xml:space="preserve"> HYPERLINK "https://doi.org/10.4067/s0716-078x2002000100020" \h </w:instrText>
      </w:r>
      <w:r>
        <w:rPr>
          <w:sz w:val="20"/>
          <w:szCs w:val="20"/>
        </w:rPr>
        <w:fldChar w:fldCharType="separate"/>
      </w:r>
      <w:r>
        <w:rPr>
          <w:rStyle w:val="24"/>
          <w:sz w:val="20"/>
          <w:szCs w:val="20"/>
          <w:lang w:val="es-ES"/>
        </w:rPr>
        <w:t>https://doi.org/10.4067/s0716-078x2002000100020</w:t>
      </w:r>
      <w:r>
        <w:rPr>
          <w:rStyle w:val="24"/>
          <w:sz w:val="20"/>
          <w:szCs w:val="20"/>
          <w:lang w:val="es-ES"/>
        </w:rPr>
        <w:fldChar w:fldCharType="end"/>
      </w:r>
    </w:p>
    <w:bookmarkEnd w:id="47"/>
    <w:p>
      <w:pPr>
        <w:pStyle w:val="33"/>
        <w:jc w:val="both"/>
        <w:rPr>
          <w:sz w:val="20"/>
          <w:szCs w:val="20"/>
        </w:rPr>
      </w:pPr>
      <w:bookmarkStart w:id="48" w:name="ref-Schemenauer1994"/>
      <w:r>
        <w:rPr>
          <w:sz w:val="20"/>
          <w:szCs w:val="20"/>
          <w:lang w:val="es-ES"/>
        </w:rPr>
        <w:t xml:space="preserve">Schemenauer, R. S., &amp; Cereceda, P. (1994). </w:t>
      </w:r>
      <w:r>
        <w:rPr>
          <w:sz w:val="20"/>
          <w:szCs w:val="20"/>
        </w:rPr>
        <w:t xml:space="preserve">A proposed standard fog collector for use in high-elevation regions. </w:t>
      </w:r>
      <w:r>
        <w:rPr>
          <w:i/>
          <w:iCs/>
          <w:sz w:val="20"/>
          <w:szCs w:val="20"/>
        </w:rPr>
        <w:t>Journal of Applied Meteorology</w:t>
      </w:r>
      <w:r>
        <w:rPr>
          <w:sz w:val="20"/>
          <w:szCs w:val="20"/>
        </w:rPr>
        <w:t xml:space="preserve">, </w:t>
      </w:r>
      <w:r>
        <w:rPr>
          <w:i/>
          <w:iCs/>
          <w:sz w:val="20"/>
          <w:szCs w:val="20"/>
        </w:rPr>
        <w:t>33</w:t>
      </w:r>
      <w:r>
        <w:rPr>
          <w:sz w:val="20"/>
          <w:szCs w:val="20"/>
        </w:rPr>
        <w:t xml:space="preserve">(11), 1313–1322. </w:t>
      </w:r>
      <w:r>
        <w:rPr>
          <w:sz w:val="20"/>
          <w:szCs w:val="20"/>
        </w:rPr>
        <w:fldChar w:fldCharType="begin"/>
      </w:r>
      <w:r>
        <w:rPr>
          <w:sz w:val="20"/>
          <w:szCs w:val="20"/>
        </w:rPr>
        <w:instrText xml:space="preserve"> HYPERLINK "https://doi.org/10.1175/1520-0450(1994)033%3c1313:apsfcf%3e2.0.co;2" \h </w:instrText>
      </w:r>
      <w:r>
        <w:rPr>
          <w:sz w:val="20"/>
          <w:szCs w:val="20"/>
        </w:rPr>
        <w:fldChar w:fldCharType="separate"/>
      </w:r>
      <w:r>
        <w:rPr>
          <w:rStyle w:val="24"/>
          <w:sz w:val="20"/>
          <w:szCs w:val="20"/>
        </w:rPr>
        <w:t>https://doi.org/10.1175/1520-0450(1994)033&lt;1313:apsfcf&gt;2.0.co;2</w:t>
      </w:r>
      <w:r>
        <w:rPr>
          <w:rStyle w:val="24"/>
          <w:sz w:val="20"/>
          <w:szCs w:val="20"/>
        </w:rPr>
        <w:fldChar w:fldCharType="end"/>
      </w:r>
    </w:p>
    <w:bookmarkEnd w:id="48"/>
    <w:p>
      <w:pPr>
        <w:pStyle w:val="33"/>
        <w:jc w:val="both"/>
        <w:rPr>
          <w:sz w:val="20"/>
          <w:szCs w:val="20"/>
        </w:rPr>
      </w:pPr>
      <w:bookmarkStart w:id="49" w:name="ref-Stull1988"/>
      <w:r>
        <w:rPr>
          <w:sz w:val="20"/>
          <w:szCs w:val="20"/>
        </w:rPr>
        <w:t xml:space="preserve">Stull, R. B. (1988). </w:t>
      </w:r>
      <w:r>
        <w:rPr>
          <w:i/>
          <w:iCs/>
          <w:sz w:val="20"/>
          <w:szCs w:val="20"/>
        </w:rPr>
        <w:t>An introduction to boundary layer meteorology</w:t>
      </w:r>
      <w:r>
        <w:rPr>
          <w:sz w:val="20"/>
          <w:szCs w:val="20"/>
        </w:rPr>
        <w:t xml:space="preserve">. Kluwer Academic Publishers. </w:t>
      </w:r>
      <w:r>
        <w:rPr>
          <w:sz w:val="20"/>
          <w:szCs w:val="20"/>
        </w:rPr>
        <w:fldChar w:fldCharType="begin"/>
      </w:r>
      <w:r>
        <w:rPr>
          <w:sz w:val="20"/>
          <w:szCs w:val="20"/>
        </w:rPr>
        <w:instrText xml:space="preserve"> HYPERLINK "https://doi.org/10.1007/978-94-009-3027-8" \h </w:instrText>
      </w:r>
      <w:r>
        <w:rPr>
          <w:sz w:val="20"/>
          <w:szCs w:val="20"/>
        </w:rPr>
        <w:fldChar w:fldCharType="separate"/>
      </w:r>
      <w:r>
        <w:rPr>
          <w:rStyle w:val="24"/>
          <w:sz w:val="20"/>
          <w:szCs w:val="20"/>
        </w:rPr>
        <w:t>https://doi.org/10.1007/978-94-009-3027-8</w:t>
      </w:r>
      <w:r>
        <w:rPr>
          <w:rStyle w:val="24"/>
          <w:sz w:val="20"/>
          <w:szCs w:val="20"/>
        </w:rPr>
        <w:fldChar w:fldCharType="end"/>
      </w:r>
    </w:p>
    <w:bookmarkEnd w:id="49"/>
    <w:p>
      <w:pPr>
        <w:pStyle w:val="33"/>
        <w:jc w:val="both"/>
        <w:rPr>
          <w:sz w:val="20"/>
          <w:szCs w:val="20"/>
        </w:rPr>
      </w:pPr>
      <w:bookmarkStart w:id="50" w:name="ref-Wang2016"/>
      <w:r>
        <w:rPr>
          <w:sz w:val="20"/>
          <w:szCs w:val="20"/>
        </w:rPr>
        <w:t xml:space="preserve">Wang, L., Kaseke, K. F., &amp; Seely, M. K. (2016). Effects of non‐rainfall water inputs on ecosystem functions. </w:t>
      </w:r>
      <w:r>
        <w:rPr>
          <w:i/>
          <w:iCs/>
          <w:sz w:val="20"/>
          <w:szCs w:val="20"/>
        </w:rPr>
        <w:t>WIREs Water</w:t>
      </w:r>
      <w:r>
        <w:rPr>
          <w:sz w:val="20"/>
          <w:szCs w:val="20"/>
        </w:rPr>
        <w:t xml:space="preserve">, </w:t>
      </w:r>
      <w:r>
        <w:rPr>
          <w:i/>
          <w:iCs/>
          <w:sz w:val="20"/>
          <w:szCs w:val="20"/>
        </w:rPr>
        <w:t>4</w:t>
      </w:r>
      <w:r>
        <w:rPr>
          <w:sz w:val="20"/>
          <w:szCs w:val="20"/>
        </w:rPr>
        <w:t xml:space="preserve">(1). </w:t>
      </w:r>
      <w:r>
        <w:rPr>
          <w:sz w:val="20"/>
          <w:szCs w:val="20"/>
        </w:rPr>
        <w:fldChar w:fldCharType="begin"/>
      </w:r>
      <w:r>
        <w:rPr>
          <w:sz w:val="20"/>
          <w:szCs w:val="20"/>
        </w:rPr>
        <w:instrText xml:space="preserve"> HYPERLINK "https://doi.org/10.1002/wat2.1179" \h </w:instrText>
      </w:r>
      <w:r>
        <w:rPr>
          <w:sz w:val="20"/>
          <w:szCs w:val="20"/>
        </w:rPr>
        <w:fldChar w:fldCharType="separate"/>
      </w:r>
      <w:r>
        <w:rPr>
          <w:rStyle w:val="24"/>
          <w:sz w:val="20"/>
          <w:szCs w:val="20"/>
        </w:rPr>
        <w:t>https://doi.org/10.1002/wat2.1179</w:t>
      </w:r>
      <w:r>
        <w:rPr>
          <w:rStyle w:val="24"/>
          <w:sz w:val="20"/>
          <w:szCs w:val="20"/>
        </w:rPr>
        <w:fldChar w:fldCharType="end"/>
      </w:r>
      <w:bookmarkEnd w:id="21"/>
      <w:bookmarkEnd w:id="23"/>
      <w:bookmarkEnd w:id="50"/>
    </w:p>
    <w:sectPr>
      <w:footnotePr>
        <w:numRestart w:val="eachSect"/>
      </w:footnotePr>
      <w:pgSz w:w="12240" w:h="15840"/>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rancisca Muñoz Narbona" w:date="2026-09-25T17:28:00Z" w:initials="FMN">
    <w:p w14:paraId="FFF39EBA">
      <w:r>
        <w:rPr>
          <w:sz w:val="20"/>
          <w:szCs w:val="20"/>
        </w:rPr>
        <w:t xml:space="preserve">me refiero a las congénero de tillandsia, o sea no es solo tillandsia landbeckii tambien hay otras tillandsias, en ese paper se menciona Tillandsia marconae and Tillandsia virescens y otras, pero para no mencionarlas todas puse congénero. Igual si no se entiende lo cambio </w:t>
      </w:r>
    </w:p>
  </w:comment>
  <w:comment w:id="1" w:author="Francisca Muñoz Narbona" w:date="2026-09-25T17:29:00Z" w:initials="FMN">
    <w:p w14:paraId="6DBF856B">
      <w:r>
        <w:rPr>
          <w:sz w:val="20"/>
          <w:szCs w:val="20"/>
        </w:rPr>
        <w:t>siento que me quedó media desordenada y pucha creo que no se ve muy el nombre de las estaciones en A y B pero eso lo puedo arreglar bien después. Dime si te parece bien algo así y ahí afino esos detalles, si hay que cambiar otra cosa me avisas</w:t>
      </w:r>
    </w:p>
  </w:comment>
  <w:comment w:id="2" w:author="Francisca Muñoz Narbona" w:date="2026-09-25T17:29:00Z" w:initials="FMN">
    <w:p w14:paraId="2E2B3C9F">
      <w:r>
        <w:rPr>
          <w:sz w:val="20"/>
          <w:szCs w:val="20"/>
        </w:rPr>
        <w:t>las coordenadas de D parece q tampoco se ven muy bien</w:t>
      </w:r>
    </w:p>
  </w:comment>
  <w:comment w:id="3" w:author="felipe" w:date="2026-09-28T10:16:35Z" w:initials="f">
    <w:p w14:paraId="179F84D2">
      <w:pPr>
        <w:pStyle w:val="17"/>
        <w:rPr>
          <w:rFonts w:hint="default"/>
          <w:lang w:val="es"/>
        </w:rPr>
      </w:pPr>
      <w:r>
        <w:rPr>
          <w:rFonts w:hint="default"/>
          <w:lang w:val="es"/>
        </w:rPr>
        <w:t>Me parece mejor tanto a como b y c. D creo que lo simpificaría simplemente a poner sudamerica y un punto donde esta todo. La region de tarapaca sobra y ocupa espacio, Chile es dificil de poner en cualquier figura por que es muy largo, ademas que las coordenadas están raras, ya que las longitudes son verticales no horiontales. Haría el perfil de altura que ocupe todo el espacio de abajo a lo ancho y pondría un pequeño mapa de sudamerica o un mundito redondo con un punto donde está el aŕea de estudio</w:t>
      </w:r>
    </w:p>
  </w:comment>
  <w:comment w:id="4" w:author="felipe" w:date="2026-09-28T10:23:59Z" w:initials="f">
    <w:p w14:paraId="5F9F0D1D">
      <w:pPr>
        <w:pStyle w:val="17"/>
        <w:rPr>
          <w:rFonts w:hint="default"/>
          <w:lang w:val="es"/>
        </w:rPr>
      </w:pPr>
      <w:r>
        <w:rPr>
          <w:rFonts w:hint="default"/>
          <w:lang w:val="es"/>
        </w:rPr>
        <w:t>Yo la llamaría OYA48</w:t>
      </w:r>
    </w:p>
  </w:comment>
  <w:comment w:id="5" w:author="felipe" w:date="2026-09-28T10:37:15Z" w:initials="f">
    <w:p w14:paraId="7FAB8F3A">
      <w:pPr>
        <w:pStyle w:val="17"/>
        <w:rPr>
          <w:rFonts w:hint="default"/>
          <w:lang w:val="es"/>
        </w:rPr>
      </w:pPr>
      <w:r>
        <w:rPr>
          <w:rFonts w:hint="default"/>
          <w:lang w:val="es"/>
        </w:rPr>
        <w:t>Records suena como a cuando grabas un audio</w:t>
      </w:r>
    </w:p>
  </w:comment>
  <w:comment w:id="6" w:author="felipe" w:date="2026-09-28T10:40:18Z" w:initials="f">
    <w:p w14:paraId="E7FE6197">
      <w:pPr>
        <w:pStyle w:val="17"/>
        <w:rPr>
          <w:rFonts w:hint="default"/>
          <w:lang w:val="es"/>
        </w:rPr>
      </w:pPr>
      <w:r>
        <w:rPr>
          <w:rFonts w:hint="default"/>
          <w:lang w:val="es"/>
        </w:rPr>
        <w:t>Que es esto?</w:t>
      </w:r>
    </w:p>
  </w:comment>
  <w:comment w:id="7" w:author="felipe" w:date="2026-09-28T10:49:55Z" w:initials="f">
    <w:p w14:paraId="9F7B1472">
      <w:pPr>
        <w:pStyle w:val="17"/>
        <w:rPr>
          <w:rFonts w:hint="default"/>
          <w:lang w:val="es"/>
        </w:rPr>
      </w:pPr>
      <w:r>
        <w:rPr>
          <w:rFonts w:hint="default"/>
          <w:lang w:val="es"/>
        </w:rPr>
        <w:t>Atmospheric pressure ya fue definido arriba</w:t>
      </w:r>
    </w:p>
  </w:comment>
  <w:comment w:id="8" w:author="felipe" w:date="2026-09-28T11:10:22Z" w:initials="f">
    <w:p w14:paraId="EB2B41DC">
      <w:pPr>
        <w:pStyle w:val="17"/>
        <w:rPr>
          <w:rFonts w:hint="default"/>
          <w:lang w:val="es"/>
        </w:rPr>
      </w:pPr>
      <w:r>
        <w:rPr>
          <w:rFonts w:hint="default"/>
          <w:lang w:val="es"/>
        </w:rPr>
        <w:t xml:space="preserve">Vamos a ir uno a uno, ya que si no se desordena, y acá se vé muy desordenado, no así en tu presentación que estaba bastante ordenado y fluida la información. </w:t>
      </w:r>
    </w:p>
    <w:p w14:paraId="FBBD9542">
      <w:pPr>
        <w:pStyle w:val="17"/>
        <w:rPr>
          <w:rFonts w:hint="default"/>
          <w:lang w:val="es"/>
        </w:rPr>
      </w:pPr>
    </w:p>
    <w:p w14:paraId="FEFFA87E">
      <w:pPr>
        <w:pStyle w:val="17"/>
        <w:rPr>
          <w:rFonts w:hint="default"/>
          <w:lang w:val="es"/>
        </w:rPr>
      </w:pPr>
      <w:r>
        <w:rPr>
          <w:rFonts w:hint="default"/>
          <w:lang w:val="es"/>
        </w:rPr>
        <w:t>Lo primero es que la sección de resultados tendrá 3 subsecciones. El ´titulo de cada subsección tiene que ser muy similar a los objetivos. Mi sugerencia es:</w:t>
      </w:r>
    </w:p>
    <w:p w14:paraId="BFE5B778">
      <w:pPr>
        <w:pStyle w:val="17"/>
        <w:rPr>
          <w:rFonts w:hint="default"/>
          <w:lang w:val="es"/>
        </w:rPr>
      </w:pPr>
    </w:p>
    <w:p w14:paraId="E0DF079E">
      <w:pPr>
        <w:pStyle w:val="17"/>
        <w:numPr>
          <w:ilvl w:val="0"/>
          <w:numId w:val="1"/>
        </w:numPr>
        <w:rPr>
          <w:rFonts w:hint="default"/>
          <w:lang w:val="es"/>
        </w:rPr>
      </w:pPr>
      <w:r>
        <w:rPr>
          <w:rFonts w:hint="default"/>
          <w:lang w:val="es"/>
        </w:rPr>
        <w:t>Results</w:t>
      </w:r>
    </w:p>
    <w:p w14:paraId="6AD18472">
      <w:pPr>
        <w:pStyle w:val="17"/>
        <w:numPr>
          <w:ilvl w:val="1"/>
          <w:numId w:val="1"/>
        </w:numPr>
        <w:rPr>
          <w:rFonts w:hint="default"/>
          <w:lang w:val="es"/>
        </w:rPr>
      </w:pPr>
      <w:r>
        <w:rPr>
          <w:rFonts w:hint="default"/>
          <w:lang w:val="es"/>
        </w:rPr>
        <w:t>Fog and dew events instrumental reclassification.</w:t>
      </w:r>
    </w:p>
    <w:p w14:paraId="5BF794B0">
      <w:pPr>
        <w:pStyle w:val="17"/>
        <w:numPr>
          <w:ilvl w:val="1"/>
          <w:numId w:val="1"/>
        </w:numPr>
        <w:rPr>
          <w:rFonts w:hint="default"/>
          <w:lang w:val="es"/>
        </w:rPr>
      </w:pPr>
      <w:r>
        <w:rPr>
          <w:rFonts w:hint="default"/>
          <w:lang w:val="es"/>
        </w:rPr>
        <w:t xml:space="preserve"> Atmospheric stability under fog and dew events.</w:t>
      </w:r>
    </w:p>
    <w:p w14:paraId="7FEE64C5">
      <w:pPr>
        <w:pStyle w:val="17"/>
        <w:numPr>
          <w:ilvl w:val="1"/>
          <w:numId w:val="1"/>
        </w:numPr>
        <w:rPr>
          <w:rFonts w:hint="default"/>
          <w:lang w:val="es"/>
        </w:rPr>
      </w:pPr>
      <w:r>
        <w:rPr>
          <w:rFonts w:hint="default"/>
          <w:lang w:val="es"/>
        </w:rPr>
        <w:t xml:space="preserve"> Remporal evolution of hunidity, heat and wind speed under fog and dew events</w:t>
      </w:r>
    </w:p>
    <w:p w14:paraId="EFBB0336">
      <w:pPr>
        <w:pStyle w:val="17"/>
        <w:numPr>
          <w:numId w:val="0"/>
        </w:numPr>
        <w:ind w:leftChars="0"/>
        <w:rPr>
          <w:rFonts w:hint="default"/>
          <w:lang w:val="es"/>
        </w:rPr>
      </w:pPr>
    </w:p>
    <w:p w14:paraId="7FD68076">
      <w:pPr>
        <w:pStyle w:val="17"/>
        <w:numPr>
          <w:numId w:val="0"/>
        </w:numPr>
        <w:ind w:leftChars="0"/>
        <w:rPr>
          <w:rFonts w:hint="default"/>
          <w:lang w:val="es"/>
        </w:rPr>
      </w:pPr>
      <w:r>
        <w:rPr>
          <w:rFonts w:hint="default"/>
          <w:lang w:val="es"/>
        </w:rPr>
        <w:t>Por ahora vamos a concentrarnos solo en la primera ( 3 y 3.1).</w:t>
      </w:r>
    </w:p>
    <w:p w14:paraId="75CFF83B">
      <w:pPr>
        <w:pStyle w:val="17"/>
        <w:numPr>
          <w:numId w:val="0"/>
        </w:numPr>
        <w:ind w:leftChars="0"/>
        <w:rPr>
          <w:rFonts w:hint="default"/>
          <w:lang w:val="es"/>
        </w:rPr>
      </w:pPr>
    </w:p>
    <w:p w14:paraId="3DFB52DD">
      <w:pPr>
        <w:pStyle w:val="17"/>
        <w:numPr>
          <w:numId w:val="0"/>
        </w:numPr>
        <w:ind w:leftChars="0"/>
        <w:rPr>
          <w:rFonts w:hint="default"/>
          <w:lang w:val="es"/>
        </w:rPr>
      </w:pPr>
      <w:r>
        <w:rPr>
          <w:rFonts w:hint="default"/>
          <w:lang w:val="es"/>
        </w:rPr>
        <w:t>Para 3, escribe un pequeño párrafo introduciendo los resultados.</w:t>
      </w:r>
    </w:p>
    <w:p w14:paraId="FED760E7">
      <w:pPr>
        <w:pStyle w:val="17"/>
        <w:numPr>
          <w:numId w:val="0"/>
        </w:numPr>
        <w:ind w:leftChars="0"/>
        <w:rPr>
          <w:rFonts w:hint="default"/>
          <w:lang w:val="es"/>
        </w:rPr>
      </w:pPr>
      <w:r>
        <w:rPr>
          <w:rFonts w:hint="default"/>
          <w:lang w:val="es"/>
        </w:rPr>
        <w:t>Para 3.1 mi sugerencia es que partamos de lo general a lo partocular. Para ellos partamos con la figura de la slide 19 de tu presentacion, ya que es la que muestra en general los resultados (pie charts). Como segunda figura, haría un compuesto de los dos casos típicos, es decir, las figuras de tus slides 20 y 21 y los casos raros los tiraría a los anexos. Finalmente pondría una última figura en esta sección, que muestre la figura de la izquierd de tu slide 23.</w:t>
      </w:r>
    </w:p>
    <w:p w14:paraId="EEFF845A">
      <w:pPr>
        <w:pStyle w:val="17"/>
        <w:numPr>
          <w:numId w:val="0"/>
        </w:numPr>
        <w:ind w:leftChars="0"/>
        <w:rPr>
          <w:rFonts w:hint="default"/>
          <w:lang w:val="es"/>
        </w:rPr>
      </w:pPr>
    </w:p>
    <w:p w14:paraId="DBEF8985">
      <w:pPr>
        <w:pStyle w:val="17"/>
        <w:numPr>
          <w:numId w:val="0"/>
        </w:numPr>
        <w:ind w:leftChars="0"/>
        <w:rPr>
          <w:rFonts w:hint="default"/>
          <w:lang w:val="es"/>
        </w:rPr>
      </w:pPr>
      <w:r>
        <w:rPr>
          <w:rFonts w:hint="default"/>
          <w:lang w:val="es"/>
        </w:rPr>
        <w:t xml:space="preserve">Con esto la narrativa quda más lógica, ya que vas de los general a lo particular. No es necesario poner más. Haz un outline con esta estructura para la sección 3.1 y me la envías. (ojo que hay figuras que están en español y hay que cambiarlas a inglés). </w:t>
      </w:r>
      <w:bookmarkStart w:id="51" w:name="_GoBack"/>
      <w:bookmarkEnd w:id="51"/>
      <w:r>
        <w:rPr>
          <w:rFonts w:hint="default"/>
          <w:lang w:val="es"/>
        </w:rPr>
        <w:t xml:space="preserve">  </w:t>
      </w:r>
    </w:p>
  </w:comment>
  <w:comment w:id="9" w:author="Francisca Muñoz Narbona" w:date="2026-09-25T17:32:00Z" w:initials="FMN">
    <w:p w14:paraId="DF6551B2">
      <w:r>
        <w:rPr>
          <w:sz w:val="20"/>
          <w:szCs w:val="20"/>
        </w:rPr>
        <w:t>Esta figura actualizada en ppt, se le incorpora barrita horizontal de los captadores iniciales</w:t>
      </w:r>
    </w:p>
  </w:comment>
  <w:comment w:id="10" w:author="Francisca Muñoz Narbona" w:date="2026-09-25T17:34:00Z" w:initials="FMN">
    <w:p w14:paraId="F7FF83F6">
      <w:r>
        <w:rPr>
          <w:sz w:val="20"/>
          <w:szCs w:val="20"/>
        </w:rPr>
        <w:t>figuras actualizadas ppt y separo frecuencia y cantidad. Hago graficos en donde se compara previo a la clasificación y post clasificación, una figura para cantidad agua y otra para frecuencia</w:t>
      </w:r>
    </w:p>
  </w:comment>
  <w:comment w:id="11" w:author="Francisca Muñoz Narbona" w:date="2026-09-25T17:34:00Z" w:initials="FMN">
    <w:p w14:paraId="3C75BCE2">
      <w:r>
        <w:rPr>
          <w:sz w:val="20"/>
          <w:szCs w:val="20"/>
        </w:rPr>
        <w:t>será necesario?</w:t>
      </w:r>
    </w:p>
  </w:comment>
  <w:comment w:id="12" w:author="Francisca Muñoz Narbona" w:date="2026-09-25T17:35:00Z" w:initials="FMN">
    <w:p w14:paraId="7E7A854A">
      <w:r>
        <w:rPr>
          <w:sz w:val="20"/>
          <w:szCs w:val="20"/>
        </w:rPr>
        <w:t>en el ppt están diferentes la misma información, si mantengo esto tendría que agrandar tamaño fuente texto</w:t>
      </w:r>
    </w:p>
  </w:comment>
  <w:comment w:id="13" w:author="Francisca Muñoz Narbona" w:date="2026-09-25T17:36:00Z" w:initials="FMN">
    <w:p w14:paraId="AFFFCBBA">
      <w:r>
        <w:rPr>
          <w:sz w:val="20"/>
          <w:szCs w:val="20"/>
        </w:rPr>
        <w:t>estas 2 las omití de la presentación final, pero sería interesante agregarlas en el paper, pero quizás modificarlas un poco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F39EBA" w15:done="1"/>
  <w15:commentEx w15:paraId="6DBF856B" w15:done="0"/>
  <w15:commentEx w15:paraId="2E2B3C9F" w15:done="0" w15:paraIdParent="6DBF856B"/>
  <w15:commentEx w15:paraId="179F84D2" w15:done="0" w15:paraIdParent="6DBF856B"/>
  <w15:commentEx w15:paraId="5F9F0D1D" w15:done="0"/>
  <w15:commentEx w15:paraId="7FAB8F3A" w15:done="0"/>
  <w15:commentEx w15:paraId="E7FE6197" w15:done="0"/>
  <w15:commentEx w15:paraId="9F7B1472" w15:done="0"/>
  <w15:commentEx w15:paraId="DBEF8985" w15:done="0"/>
  <w15:commentEx w15:paraId="DF6551B2" w15:done="0"/>
  <w15:commentEx w15:paraId="F7FF83F6" w15:done="0"/>
  <w15:commentEx w15:paraId="3C75BCE2" w15:done="0"/>
  <w15:commentEx w15:paraId="7E7A854A" w15:done="0"/>
  <w15:commentEx w15:paraId="AFFFCBB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ptos">
    <w:altName w:val="Arial"/>
    <w:panose1 w:val="020B0004020202020204"/>
    <w:charset w:val="00"/>
    <w:family w:val="swiss"/>
    <w:pitch w:val="default"/>
    <w:sig w:usb0="00000000" w:usb1="00000000" w:usb2="00000000" w:usb3="00000000" w:csb0="0000019F" w:csb1="00000000"/>
  </w:font>
  <w:font w:name="等线">
    <w:altName w:val="Droid Sans Fallback"/>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URW Bookman [UKWN]"/>
    <w:panose1 w:val="00000000000000000000"/>
    <w:charset w:val="00"/>
    <w:family w:val="auto"/>
    <w:pitch w:val="default"/>
    <w:sig w:usb0="00000000" w:usb1="00000000" w:usb2="00000000" w:usb3="00000000" w:csb0="00000000" w:csb1="00000000"/>
  </w:font>
  <w:font w:name="Consolas">
    <w:altName w:val="Liberation Sans Narrow"/>
    <w:panose1 w:val="020B0609020204030204"/>
    <w:charset w:val="00"/>
    <w:family w:val="modern"/>
    <w:pitch w:val="default"/>
    <w:sig w:usb0="00000000" w:usb1="00000000" w:usb2="00000009" w:usb3="00000000" w:csb0="0000019F" w:csb1="00000000"/>
  </w:font>
  <w:font w:name="Cambria Math">
    <w:altName w:val="DejaVu Math TeX Gyre"/>
    <w:panose1 w:val="02040503050406030204"/>
    <w:charset w:val="00"/>
    <w:family w:val="roman"/>
    <w:pitch w:val="default"/>
    <w:sig w:usb0="00000000" w:usb1="00000000" w:usb2="00000000" w:usb3="00000000" w:csb0="0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等线">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DejaVu Math TeX Gyre">
    <w:panose1 w:val="02000503000000000000"/>
    <w:charset w:val="00"/>
    <w:family w:val="auto"/>
    <w:pitch w:val="default"/>
    <w:sig w:usb0="A10000EF" w:usb1="4201F9EE" w:usb2="02000000" w:usb3="00000000" w:csb0="60000193" w:csb1="0DD40000"/>
  </w:font>
  <w:font w:name="Droid Sans Fallback">
    <w:panose1 w:val="020B0502000000000001"/>
    <w:charset w:val="86"/>
    <w:family w:val="auto"/>
    <w:pitch w:val="default"/>
    <w:sig w:usb0="910002FF" w:usb1="2BDFFCFB" w:usb2="00000036" w:usb3="00000000" w:csb0="203F01FF" w:csb1="D7FF0000"/>
  </w:font>
  <w:font w:name="Liberation Sans Narrow">
    <w:panose1 w:val="020B0606020202030204"/>
    <w:charset w:val="00"/>
    <w:family w:val="auto"/>
    <w:pitch w:val="default"/>
    <w:sig w:usb0="A00002AF" w:usb1="5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23FD5D0"/>
    <w:multiLevelType w:val="multilevel"/>
    <w:tmpl w:val="E23FD5D0"/>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rancisca Muñoz Narbona">
    <w15:presenceInfo w15:providerId="AD" w15:userId="S::fmnarbona@cienciambiental.cl::75fab5f5-e42a-42d9-b2d4-79ec46d11f5f"/>
  </w15:person>
  <w15:person w15:author="felipe">
    <w15:presenceInfo w15:providerId="None" w15:userId="feli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8D7"/>
    <w:rsid w:val="000C28D7"/>
    <w:rsid w:val="00A8732F"/>
    <w:rsid w:val="00B83CC6"/>
    <w:rsid w:val="00C04CBA"/>
    <w:rsid w:val="39CE0D25"/>
    <w:rsid w:val="6FEB900D"/>
    <w:rsid w:val="DF9F9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next w:val="1"/>
    <w:link w:val="22"/>
    <w:qFormat/>
    <w:uiPriority w:val="0"/>
    <w:pPr>
      <w:spacing w:after="120"/>
    </w:pPr>
    <w:rPr>
      <w:i/>
    </w:rPr>
  </w:style>
  <w:style w:type="character" w:styleId="16">
    <w:name w:val="annotation reference"/>
    <w:basedOn w:val="12"/>
    <w:qFormat/>
    <w:uiPriority w:val="0"/>
    <w:rPr>
      <w:sz w:val="16"/>
      <w:szCs w:val="16"/>
    </w:rPr>
  </w:style>
  <w:style w:type="paragraph" w:styleId="17">
    <w:name w:val="annotation text"/>
    <w:basedOn w:val="1"/>
    <w:link w:val="86"/>
    <w:qFormat/>
    <w:uiPriority w:val="0"/>
    <w:rPr>
      <w:sz w:val="20"/>
      <w:szCs w:val="20"/>
    </w:rPr>
  </w:style>
  <w:style w:type="paragraph" w:styleId="18">
    <w:name w:val="annotation subject"/>
    <w:basedOn w:val="17"/>
    <w:next w:val="17"/>
    <w:link w:val="87"/>
    <w:qFormat/>
    <w:uiPriority w:val="0"/>
    <w:rPr>
      <w:b/>
      <w:bCs/>
    </w:rPr>
  </w:style>
  <w:style w:type="paragraph" w:styleId="19">
    <w:name w:val="Date"/>
    <w:basedOn w:val="20"/>
    <w:next w:val="3"/>
    <w:qFormat/>
    <w:uiPriority w:val="0"/>
    <w:pPr>
      <w:keepNext/>
      <w:keepLines/>
    </w:pPr>
    <w:rPr>
      <w:sz w:val="24"/>
      <w:szCs w:val="24"/>
    </w:rPr>
  </w:style>
  <w:style w:type="paragraph" w:styleId="20">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character" w:styleId="21">
    <w:name w:val="footnote reference"/>
    <w:basedOn w:val="22"/>
    <w:qFormat/>
    <w:uiPriority w:val="0"/>
    <w:rPr>
      <w:vertAlign w:val="superscript"/>
    </w:rPr>
  </w:style>
  <w:style w:type="character" w:customStyle="1" w:styleId="22">
    <w:name w:val="Caption Char"/>
    <w:basedOn w:val="12"/>
    <w:link w:val="15"/>
    <w:qFormat/>
    <w:uiPriority w:val="0"/>
  </w:style>
  <w:style w:type="paragraph" w:styleId="23">
    <w:name w:val="footnote text"/>
    <w:basedOn w:val="1"/>
    <w:unhideWhenUsed/>
    <w:qFormat/>
    <w:uiPriority w:val="9"/>
  </w:style>
  <w:style w:type="character" w:styleId="24">
    <w:name w:val="Hyperlink"/>
    <w:basedOn w:val="22"/>
    <w:qFormat/>
    <w:uiPriority w:val="0"/>
    <w:rPr>
      <w:color w:val="156082" w:themeColor="accent1"/>
      <w14:textFill>
        <w14:solidFill>
          <w14:schemeClr w14:val="accent1"/>
        </w14:solidFill>
      </w14:textFill>
    </w:rPr>
  </w:style>
  <w:style w:type="paragraph" w:styleId="25">
    <w:name w:val="Subtitle"/>
    <w:basedOn w:val="20"/>
    <w:next w:val="3"/>
    <w:link w:val="29"/>
    <w:qFormat/>
    <w:uiPriority w:val="11"/>
    <w:rPr>
      <w:spacing w:val="15"/>
      <w:sz w:val="28"/>
      <w:szCs w:val="28"/>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20"/>
    <w:qFormat/>
    <w:uiPriority w:val="10"/>
    <w:rPr>
      <w:rFonts w:asciiTheme="majorHAnsi" w:hAnsiTheme="majorHAnsi" w:eastAsiaTheme="majorEastAsia" w:cstheme="majorBidi"/>
      <w:sz w:val="56"/>
      <w:szCs w:val="56"/>
    </w:rPr>
  </w:style>
  <w:style w:type="character" w:customStyle="1" w:styleId="29">
    <w:name w:val="Subtitle Char"/>
    <w:basedOn w:val="12"/>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20"/>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104862" w:themeColor="accent1" w:themeShade="BF"/>
    </w:rPr>
  </w:style>
  <w:style w:type="character" w:customStyle="1" w:styleId="38">
    <w:name w:val="Heading 5 Char"/>
    <w:basedOn w:val="12"/>
    <w:link w:val="7"/>
    <w:semiHidden/>
    <w:qFormat/>
    <w:uiPriority w:val="9"/>
    <w:rPr>
      <w:rFonts w:eastAsiaTheme="majorEastAsia" w:cstheme="majorBidi"/>
      <w:color w:val="104862" w:themeColor="accent1" w:themeShade="BF"/>
    </w:rPr>
  </w:style>
  <w:style w:type="character" w:customStyle="1" w:styleId="39">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23"/>
    <w:next w:val="23"/>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2"/>
    <w:link w:val="52"/>
    <w:qFormat/>
    <w:uiPriority w:val="0"/>
    <w:rPr>
      <w:rFonts w:ascii="Consolas" w:hAnsi="Consolas"/>
      <w:sz w:val="22"/>
    </w:rPr>
  </w:style>
  <w:style w:type="paragraph" w:customStyle="1" w:styleId="52">
    <w:name w:val="Source Code"/>
    <w:basedOn w:val="1"/>
    <w:link w:val="51"/>
    <w:qFormat/>
    <w:uiPriority w:val="0"/>
    <w:pPr>
      <w:shd w:val="clear" w:color="auto" w:fill="F1F3F5"/>
      <w:wordWrap w:val="0"/>
    </w:pPr>
  </w:style>
  <w:style w:type="character" w:customStyle="1" w:styleId="53">
    <w:name w:val="Section Number"/>
    <w:basedOn w:val="22"/>
    <w:qFormat/>
    <w:uiPriority w:val="0"/>
  </w:style>
  <w:style w:type="paragraph" w:customStyle="1" w:styleId="54">
    <w:name w:val="TOC Heading"/>
    <w:basedOn w:val="2"/>
    <w:next w:val="3"/>
    <w:unhideWhenUsed/>
    <w:qFormat/>
    <w:uiPriority w:val="39"/>
    <w:pPr>
      <w:spacing w:before="240" w:line="259" w:lineRule="auto"/>
      <w:outlineLvl w:val="9"/>
    </w:pPr>
  </w:style>
  <w:style w:type="character" w:customStyle="1" w:styleId="55">
    <w:name w:val="KeywordTok"/>
    <w:basedOn w:val="51"/>
    <w:qFormat/>
    <w:uiPriority w:val="0"/>
    <w:rPr>
      <w:rFonts w:ascii="Consolas" w:hAnsi="Consolas"/>
      <w:b/>
      <w:color w:val="003B4F"/>
      <w:sz w:val="22"/>
      <w:shd w:val="clear" w:color="auto" w:fill="F1F3F5"/>
    </w:rPr>
  </w:style>
  <w:style w:type="character" w:customStyle="1" w:styleId="56">
    <w:name w:val="DataTypeTok"/>
    <w:basedOn w:val="51"/>
    <w:qFormat/>
    <w:uiPriority w:val="0"/>
    <w:rPr>
      <w:rFonts w:ascii="Consolas" w:hAnsi="Consolas"/>
      <w:color w:val="AD0000"/>
      <w:sz w:val="22"/>
      <w:shd w:val="clear" w:color="auto" w:fill="F1F3F5"/>
    </w:rPr>
  </w:style>
  <w:style w:type="character" w:customStyle="1" w:styleId="57">
    <w:name w:val="DecValTok"/>
    <w:basedOn w:val="51"/>
    <w:qFormat/>
    <w:uiPriority w:val="0"/>
    <w:rPr>
      <w:rFonts w:ascii="Consolas" w:hAnsi="Consolas"/>
      <w:color w:val="AD0000"/>
      <w:sz w:val="22"/>
      <w:shd w:val="clear" w:color="auto" w:fill="F1F3F5"/>
    </w:rPr>
  </w:style>
  <w:style w:type="character" w:customStyle="1" w:styleId="58">
    <w:name w:val="BaseNTok"/>
    <w:basedOn w:val="51"/>
    <w:qFormat/>
    <w:uiPriority w:val="0"/>
    <w:rPr>
      <w:rFonts w:ascii="Consolas" w:hAnsi="Consolas"/>
      <w:color w:val="AD0000"/>
      <w:sz w:val="22"/>
      <w:shd w:val="clear" w:color="auto" w:fill="F1F3F5"/>
    </w:rPr>
  </w:style>
  <w:style w:type="character" w:customStyle="1" w:styleId="59">
    <w:name w:val="FloatTok"/>
    <w:basedOn w:val="51"/>
    <w:qFormat/>
    <w:uiPriority w:val="0"/>
    <w:rPr>
      <w:rFonts w:ascii="Consolas" w:hAnsi="Consolas"/>
      <w:color w:val="AD0000"/>
      <w:sz w:val="22"/>
      <w:shd w:val="clear" w:color="auto" w:fill="F1F3F5"/>
    </w:rPr>
  </w:style>
  <w:style w:type="character" w:customStyle="1" w:styleId="60">
    <w:name w:val="ConstantTok"/>
    <w:basedOn w:val="51"/>
    <w:qFormat/>
    <w:uiPriority w:val="0"/>
    <w:rPr>
      <w:rFonts w:ascii="Consolas" w:hAnsi="Consolas"/>
      <w:color w:val="8F5902"/>
      <w:sz w:val="22"/>
      <w:shd w:val="clear" w:color="auto" w:fill="F1F3F5"/>
    </w:rPr>
  </w:style>
  <w:style w:type="character" w:customStyle="1" w:styleId="61">
    <w:name w:val="CharTok"/>
    <w:basedOn w:val="51"/>
    <w:qFormat/>
    <w:uiPriority w:val="0"/>
    <w:rPr>
      <w:rFonts w:ascii="Consolas" w:hAnsi="Consolas"/>
      <w:color w:val="20794D"/>
      <w:sz w:val="22"/>
      <w:shd w:val="clear" w:color="auto" w:fill="F1F3F5"/>
    </w:rPr>
  </w:style>
  <w:style w:type="character" w:customStyle="1" w:styleId="62">
    <w:name w:val="SpecialCharTok"/>
    <w:basedOn w:val="51"/>
    <w:qFormat/>
    <w:uiPriority w:val="0"/>
    <w:rPr>
      <w:rFonts w:ascii="Consolas" w:hAnsi="Consolas"/>
      <w:color w:val="5E5E5E"/>
      <w:sz w:val="22"/>
      <w:shd w:val="clear" w:color="auto" w:fill="F1F3F5"/>
    </w:rPr>
  </w:style>
  <w:style w:type="character" w:customStyle="1" w:styleId="63">
    <w:name w:val="StringTok"/>
    <w:basedOn w:val="51"/>
    <w:qFormat/>
    <w:uiPriority w:val="0"/>
    <w:rPr>
      <w:rFonts w:ascii="Consolas" w:hAnsi="Consolas"/>
      <w:color w:val="20794D"/>
      <w:sz w:val="22"/>
      <w:shd w:val="clear" w:color="auto" w:fill="F1F3F5"/>
    </w:rPr>
  </w:style>
  <w:style w:type="character" w:customStyle="1" w:styleId="64">
    <w:name w:val="VerbatimStringTok"/>
    <w:basedOn w:val="51"/>
    <w:qFormat/>
    <w:uiPriority w:val="0"/>
    <w:rPr>
      <w:rFonts w:ascii="Consolas" w:hAnsi="Consolas"/>
      <w:color w:val="20794D"/>
      <w:sz w:val="22"/>
      <w:shd w:val="clear" w:color="auto" w:fill="F1F3F5"/>
    </w:rPr>
  </w:style>
  <w:style w:type="character" w:customStyle="1" w:styleId="65">
    <w:name w:val="SpecialStringTok"/>
    <w:basedOn w:val="51"/>
    <w:qFormat/>
    <w:uiPriority w:val="0"/>
    <w:rPr>
      <w:rFonts w:ascii="Consolas" w:hAnsi="Consolas"/>
      <w:color w:val="20794D"/>
      <w:sz w:val="22"/>
      <w:shd w:val="clear" w:color="auto" w:fill="F1F3F5"/>
    </w:rPr>
  </w:style>
  <w:style w:type="character" w:customStyle="1" w:styleId="66">
    <w:name w:val="ImportTok"/>
    <w:basedOn w:val="51"/>
    <w:qFormat/>
    <w:uiPriority w:val="0"/>
    <w:rPr>
      <w:rFonts w:ascii="Consolas" w:hAnsi="Consolas"/>
      <w:color w:val="00769E"/>
      <w:sz w:val="22"/>
      <w:shd w:val="clear" w:color="auto" w:fill="F1F3F5"/>
    </w:rPr>
  </w:style>
  <w:style w:type="character" w:customStyle="1" w:styleId="67">
    <w:name w:val="CommentTok"/>
    <w:basedOn w:val="51"/>
    <w:qFormat/>
    <w:uiPriority w:val="0"/>
    <w:rPr>
      <w:rFonts w:ascii="Consolas" w:hAnsi="Consolas"/>
      <w:color w:val="5E5E5E"/>
      <w:sz w:val="22"/>
      <w:shd w:val="clear" w:color="auto" w:fill="F1F3F5"/>
    </w:rPr>
  </w:style>
  <w:style w:type="character" w:customStyle="1" w:styleId="68">
    <w:name w:val="DocumentationTok"/>
    <w:basedOn w:val="51"/>
    <w:qFormat/>
    <w:uiPriority w:val="0"/>
    <w:rPr>
      <w:rFonts w:ascii="Consolas" w:hAnsi="Consolas"/>
      <w:i/>
      <w:color w:val="5E5E5E"/>
      <w:sz w:val="22"/>
      <w:shd w:val="clear" w:color="auto" w:fill="F1F3F5"/>
    </w:rPr>
  </w:style>
  <w:style w:type="character" w:customStyle="1" w:styleId="69">
    <w:name w:val="AnnotationTok"/>
    <w:basedOn w:val="51"/>
    <w:qFormat/>
    <w:uiPriority w:val="0"/>
    <w:rPr>
      <w:rFonts w:ascii="Consolas" w:hAnsi="Consolas"/>
      <w:color w:val="5E5E5E"/>
      <w:sz w:val="22"/>
      <w:shd w:val="clear" w:color="auto" w:fill="F1F3F5"/>
    </w:rPr>
  </w:style>
  <w:style w:type="character" w:customStyle="1" w:styleId="70">
    <w:name w:val="CommentVarTok"/>
    <w:basedOn w:val="51"/>
    <w:qFormat/>
    <w:uiPriority w:val="0"/>
    <w:rPr>
      <w:rFonts w:ascii="Consolas" w:hAnsi="Consolas"/>
      <w:i/>
      <w:color w:val="5E5E5E"/>
      <w:sz w:val="22"/>
      <w:shd w:val="clear" w:color="auto" w:fill="F1F3F5"/>
    </w:rPr>
  </w:style>
  <w:style w:type="character" w:customStyle="1" w:styleId="71">
    <w:name w:val="OtherTok"/>
    <w:basedOn w:val="51"/>
    <w:qFormat/>
    <w:uiPriority w:val="0"/>
    <w:rPr>
      <w:rFonts w:ascii="Consolas" w:hAnsi="Consolas"/>
      <w:color w:val="003B4F"/>
      <w:sz w:val="22"/>
      <w:shd w:val="clear" w:color="auto" w:fill="F1F3F5"/>
    </w:rPr>
  </w:style>
  <w:style w:type="character" w:customStyle="1" w:styleId="72">
    <w:name w:val="FunctionTok"/>
    <w:basedOn w:val="51"/>
    <w:qFormat/>
    <w:uiPriority w:val="0"/>
    <w:rPr>
      <w:rFonts w:ascii="Consolas" w:hAnsi="Consolas"/>
      <w:color w:val="4758AB"/>
      <w:sz w:val="22"/>
      <w:shd w:val="clear" w:color="auto" w:fill="F1F3F5"/>
    </w:rPr>
  </w:style>
  <w:style w:type="character" w:customStyle="1" w:styleId="73">
    <w:name w:val="VariableTok"/>
    <w:basedOn w:val="51"/>
    <w:qFormat/>
    <w:uiPriority w:val="0"/>
    <w:rPr>
      <w:rFonts w:ascii="Consolas" w:hAnsi="Consolas"/>
      <w:color w:val="111111"/>
      <w:sz w:val="22"/>
      <w:shd w:val="clear" w:color="auto" w:fill="F1F3F5"/>
    </w:rPr>
  </w:style>
  <w:style w:type="character" w:customStyle="1" w:styleId="74">
    <w:name w:val="ControlFlowTok"/>
    <w:basedOn w:val="51"/>
    <w:qFormat/>
    <w:uiPriority w:val="0"/>
    <w:rPr>
      <w:rFonts w:ascii="Consolas" w:hAnsi="Consolas"/>
      <w:b/>
      <w:color w:val="003B4F"/>
      <w:sz w:val="22"/>
      <w:shd w:val="clear" w:color="auto" w:fill="F1F3F5"/>
    </w:rPr>
  </w:style>
  <w:style w:type="character" w:customStyle="1" w:styleId="75">
    <w:name w:val="OperatorTok"/>
    <w:basedOn w:val="51"/>
    <w:qFormat/>
    <w:uiPriority w:val="0"/>
    <w:rPr>
      <w:rFonts w:ascii="Consolas" w:hAnsi="Consolas"/>
      <w:color w:val="5E5E5E"/>
      <w:sz w:val="22"/>
      <w:shd w:val="clear" w:color="auto" w:fill="F1F3F5"/>
    </w:rPr>
  </w:style>
  <w:style w:type="character" w:customStyle="1" w:styleId="76">
    <w:name w:val="BuiltInTok"/>
    <w:basedOn w:val="51"/>
    <w:qFormat/>
    <w:uiPriority w:val="0"/>
    <w:rPr>
      <w:rFonts w:ascii="Consolas" w:hAnsi="Consolas"/>
      <w:color w:val="003B4F"/>
      <w:sz w:val="22"/>
      <w:shd w:val="clear" w:color="auto" w:fill="F1F3F5"/>
    </w:rPr>
  </w:style>
  <w:style w:type="character" w:customStyle="1" w:styleId="77">
    <w:name w:val="ExtensionTok"/>
    <w:basedOn w:val="51"/>
    <w:qFormat/>
    <w:uiPriority w:val="0"/>
    <w:rPr>
      <w:rFonts w:ascii="Consolas" w:hAnsi="Consolas"/>
      <w:color w:val="003B4F"/>
      <w:sz w:val="22"/>
      <w:shd w:val="clear" w:color="auto" w:fill="F1F3F5"/>
    </w:rPr>
  </w:style>
  <w:style w:type="character" w:customStyle="1" w:styleId="78">
    <w:name w:val="PreprocessorTok"/>
    <w:basedOn w:val="51"/>
    <w:qFormat/>
    <w:uiPriority w:val="0"/>
    <w:rPr>
      <w:rFonts w:ascii="Consolas" w:hAnsi="Consolas"/>
      <w:color w:val="AD0000"/>
      <w:sz w:val="22"/>
      <w:shd w:val="clear" w:color="auto" w:fill="F1F3F5"/>
    </w:rPr>
  </w:style>
  <w:style w:type="character" w:customStyle="1" w:styleId="79">
    <w:name w:val="AttributeTok"/>
    <w:basedOn w:val="51"/>
    <w:qFormat/>
    <w:uiPriority w:val="0"/>
    <w:rPr>
      <w:rFonts w:ascii="Consolas" w:hAnsi="Consolas"/>
      <w:color w:val="657422"/>
      <w:sz w:val="22"/>
      <w:shd w:val="clear" w:color="auto" w:fill="F1F3F5"/>
    </w:rPr>
  </w:style>
  <w:style w:type="character" w:customStyle="1" w:styleId="80">
    <w:name w:val="RegionMarkerTok"/>
    <w:basedOn w:val="51"/>
    <w:qFormat/>
    <w:uiPriority w:val="0"/>
    <w:rPr>
      <w:rFonts w:ascii="Consolas" w:hAnsi="Consolas"/>
      <w:color w:val="003B4F"/>
      <w:sz w:val="22"/>
      <w:shd w:val="clear" w:color="auto" w:fill="F1F3F5"/>
    </w:rPr>
  </w:style>
  <w:style w:type="character" w:customStyle="1" w:styleId="81">
    <w:name w:val="InformationTok"/>
    <w:basedOn w:val="51"/>
    <w:qFormat/>
    <w:uiPriority w:val="0"/>
    <w:rPr>
      <w:rFonts w:ascii="Consolas" w:hAnsi="Consolas"/>
      <w:color w:val="5E5E5E"/>
      <w:sz w:val="22"/>
      <w:shd w:val="clear" w:color="auto" w:fill="F1F3F5"/>
    </w:rPr>
  </w:style>
  <w:style w:type="character" w:customStyle="1" w:styleId="82">
    <w:name w:val="WarningTok"/>
    <w:basedOn w:val="51"/>
    <w:qFormat/>
    <w:uiPriority w:val="0"/>
    <w:rPr>
      <w:rFonts w:ascii="Consolas" w:hAnsi="Consolas"/>
      <w:i/>
      <w:color w:val="5E5E5E"/>
      <w:sz w:val="22"/>
      <w:shd w:val="clear" w:color="auto" w:fill="F1F3F5"/>
    </w:rPr>
  </w:style>
  <w:style w:type="character" w:customStyle="1" w:styleId="83">
    <w:name w:val="AlertTok"/>
    <w:basedOn w:val="51"/>
    <w:qFormat/>
    <w:uiPriority w:val="0"/>
    <w:rPr>
      <w:rFonts w:ascii="Consolas" w:hAnsi="Consolas"/>
      <w:color w:val="AD0000"/>
      <w:sz w:val="22"/>
      <w:shd w:val="clear" w:color="auto" w:fill="F1F3F5"/>
    </w:rPr>
  </w:style>
  <w:style w:type="character" w:customStyle="1" w:styleId="84">
    <w:name w:val="ErrorTok"/>
    <w:basedOn w:val="51"/>
    <w:qFormat/>
    <w:uiPriority w:val="0"/>
    <w:rPr>
      <w:rFonts w:ascii="Consolas" w:hAnsi="Consolas"/>
      <w:color w:val="AD0000"/>
      <w:sz w:val="22"/>
      <w:shd w:val="clear" w:color="auto" w:fill="F1F3F5"/>
    </w:rPr>
  </w:style>
  <w:style w:type="character" w:customStyle="1" w:styleId="85">
    <w:name w:val="NormalTok"/>
    <w:basedOn w:val="51"/>
    <w:qFormat/>
    <w:uiPriority w:val="0"/>
    <w:rPr>
      <w:rFonts w:ascii="Consolas" w:hAnsi="Consolas"/>
      <w:color w:val="003B4F"/>
      <w:sz w:val="22"/>
      <w:shd w:val="clear" w:color="auto" w:fill="F1F3F5"/>
    </w:rPr>
  </w:style>
  <w:style w:type="character" w:customStyle="1" w:styleId="86">
    <w:name w:val="Comment Text Char"/>
    <w:basedOn w:val="12"/>
    <w:link w:val="17"/>
    <w:qFormat/>
    <w:uiPriority w:val="0"/>
    <w:rPr>
      <w:sz w:val="20"/>
      <w:szCs w:val="20"/>
    </w:rPr>
  </w:style>
  <w:style w:type="character" w:customStyle="1" w:styleId="87">
    <w:name w:val="Comment Subject Char"/>
    <w:basedOn w:val="86"/>
    <w:link w:val="18"/>
    <w:qFormat/>
    <w:uiPriority w:val="0"/>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5072</Words>
  <Characters>28915</Characters>
  <Lines>590</Lines>
  <Paragraphs>232</Paragraphs>
  <TotalTime>117</TotalTime>
  <ScaleCrop>false</ScaleCrop>
  <LinksUpToDate>false</LinksUpToDate>
  <CharactersWithSpaces>33755</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2026-09-25T17:36:00Z</dcterms:created>
  <dc:creator>F.M. Narbona, S. Acevedo, C. Del Río, A. Siegmund, F. Lobos-Roco</dc:creator>
  <cp:lastModifiedBy>felipe</cp:lastModifiedBy>
  <dcterms:modified xsi:type="dcterms:W3CDTF">2026-09-28T11:25:49Z</dcterms:modified>
  <dc:title>Thermodynamic characterization of the marine boundary layer during fog and dew events in the hyperarid coastal climate of the Atacama Desert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2026-09-25</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KSOProductBuildVer">
    <vt:lpwstr>1033-11.1.0.9505</vt:lpwstr>
  </property>
</Properties>
</file>