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Thermodynamic characterization of the marine boundary layer during fog and dew events in the hyperarid coastal climate of the Ataca Desert</w:t>
      </w:r>
    </w:p>
    <w:p>
      <w:pPr>
        <w:pStyle w:val="Author"/>
      </w:pPr>
      <w:r>
        <w:t xml:space="preserve">F.M. Narbona, F. Lobos-Roco, C. Del Río, S. Acevedo, A. Siegmund</w:t>
      </w:r>
    </w:p>
    <w:p>
      <w:pPr>
        <w:pStyle w:val="Date"/>
      </w:pPr>
      <w:r>
        <w:t xml:space="preserve">2026-08-30</w:t>
      </w:r>
    </w:p>
    <w:bookmarkStart w:id="9" w:name="introduction"/>
    <w:p>
      <w:pPr>
        <w:pStyle w:val="Heading1"/>
      </w:pPr>
      <w:r>
        <w:t xml:space="preserve">Introduction</w:t>
      </w:r>
    </w:p>
    <w:p>
      <w:pPr>
        <w:pStyle w:val="FirstParagraph"/>
      </w:pPr>
      <w:r>
        <w:t xml:space="preserve">In the coastal Atacama Desert, precipitation is almost null</w:t>
      </w:r>
      <w:r>
        <w:t xml:space="preserve"> </w:t>
      </w:r>
      <w:r>
        <w:t xml:space="preserve">(Houston, 2006)</w:t>
      </w:r>
      <w:r>
        <w:t xml:space="preserve">; thus, fog and dew are the main water sources that sustain fragile hyperarid ecosystems such as</w:t>
      </w:r>
      <w:r>
        <w:t xml:space="preserve"> </w:t>
      </w:r>
      <w:r>
        <w:rPr>
          <w:i/>
          <w:iCs/>
        </w:rPr>
        <w:t xml:space="preserve">Tillandsia landbeckii</w:t>
      </w:r>
      <w:r>
        <w:t xml:space="preserve"> </w:t>
      </w:r>
      <w:r>
        <w:t xml:space="preserve">and potentially provide a freshwater supply to local communities</w:t>
      </w:r>
      <w:r>
        <w:t xml:space="preserve"> </w:t>
      </w:r>
      <w:r>
        <w:t xml:space="preserve">(Lobos-Roco et al., 2024; Río et al., 2021)</w:t>
      </w:r>
      <w:r>
        <w:t xml:space="preserve">.</w:t>
      </w:r>
    </w:p>
    <w:p>
      <w:pPr>
        <w:pStyle w:val="BodyText"/>
      </w:pPr>
      <w:r>
        <w:t xml:space="preserve">Fog and dew are condensation processes within the marine boundary layer (MBL), governed by turbulent mixing, advection and thermal stratification</w:t>
      </w:r>
      <w:r>
        <w:t xml:space="preserve"> </w:t>
      </w:r>
      <w:r>
        <w:t xml:space="preserve">(Lobos-Roco et al., 2024; Stull, 1988)</w:t>
      </w:r>
      <w:r>
        <w:t xml:space="preserve">. Fog forms when air saturates at the surface (T_air ≤ T_dew)</w:t>
      </w:r>
      <w:r>
        <w:t xml:space="preserve"> </w:t>
      </w:r>
      <w:r>
        <w:t xml:space="preserve">(Gultepe et al., 2007)</w:t>
      </w:r>
      <w:r>
        <w:t xml:space="preserve">; in northern Chile it results from the advection of marine stratocumulus sustained by the cold Humboldt Current and subsidence from the South Pacific Anticyclone</w:t>
      </w:r>
      <w:r>
        <w:t xml:space="preserve"> </w:t>
      </w:r>
      <w:r>
        <w:t xml:space="preserve">(Cereceda et al., 2002; Cereceda et al., 2008; Rutllant &amp; Montecino, 2002)</w:t>
      </w:r>
      <w:r>
        <w:t xml:space="preserve">. This advection–subsidence interaction generates a strong thermal inversion (Δθ ≈ 20 K) that limits vertical mixing and drives inland moisture transport via the sea breeze, within 500–1200 m a.s.l. and up to 50–60 km inland</w:t>
      </w:r>
      <w:r>
        <w:t xml:space="preserve"> </w:t>
      </w:r>
      <w:r>
        <w:t xml:space="preserve">(Lobos Roco et al., 2018; Lobos-Roco et al., 2024; Río et al., 2021)</w:t>
      </w:r>
      <w:r>
        <w:t xml:space="preserve">. Fog develops under a well-mixed MBL, with low potential-temperature gradients (∂θ/∂z &lt; 3.1×10⁻³ K m⁻¹)</w:t>
      </w:r>
      <w:r>
        <w:t xml:space="preserve"> </w:t>
      </w:r>
      <w:r>
        <w:t xml:space="preserve">(Lobos Roco et al., 2018)</w:t>
      </w:r>
      <w:r>
        <w:t xml:space="preserve"> </w:t>
      </w:r>
      <w:r>
        <w:t xml:space="preserve">and continuous positive moisture advection (Δq/Δt ≈ +0.016 g kg⁻¹ h⁻¹;</w:t>
      </w:r>
      <w:r>
        <w:t xml:space="preserve"> </w:t>
      </w:r>
      <w:r>
        <w:t xml:space="preserve">Lobos-Roco et al. (2024)</w:t>
      </w:r>
      <w:r>
        <w:t xml:space="preserve">). Dew instead forms by nocturnal radiative cooling below the dew point at the surface (T_surf ≤ T_dew), condensing directly on solid surfaces under clear, calm, humid conditions</w:t>
      </w:r>
      <w:r>
        <w:t xml:space="preserve"> </w:t>
      </w:r>
      <w:r>
        <w:t xml:space="preserve">(Monteith, 1957)</w:t>
      </w:r>
      <w:r>
        <w:t xml:space="preserve">, within a more stable layer (∂θ/∂z ≈ 3.8×10⁻³ K m⁻¹) and net downward vapour flux (Δq/Δt ≈ −0.25 g kg⁻¹ h⁻¹)</w:t>
      </w:r>
      <w:r>
        <w:t xml:space="preserve"> </w:t>
      </w:r>
      <w:r>
        <w:t xml:space="preserve">(Lobos-Roco et al., 2024)</w:t>
      </w:r>
      <w:r>
        <w:t xml:space="preserve">. This contrast shows that ∂θ/∂z is a robust discriminator between fog and dew, unlike the moisture gradient, which is limited by MBL humidity homogeneity</w:t>
      </w:r>
      <w:r>
        <w:t xml:space="preserve"> </w:t>
      </w:r>
      <w:r>
        <w:t xml:space="preserve">(Lobos-Roco et al., 2024)</w:t>
      </w:r>
      <w:r>
        <w:t xml:space="preserve">. Existing indicators (visibility, satellite low clouds) validate fog versus non-fog but not fog’s overlap with dew</w:t>
      </w:r>
      <w:r>
        <w:t xml:space="preserve"> </w:t>
      </w:r>
      <w:r>
        <w:t xml:space="preserve">(Keim-Vera et al., 2024; Río et al., 2021)</w:t>
      </w:r>
      <w:r>
        <w:t xml:space="preserve">, a gap this study addresses.</w:t>
      </w:r>
    </w:p>
    <w:p>
      <w:pPr>
        <w:pStyle w:val="BodyText"/>
      </w:pPr>
      <w:r>
        <w:t xml:space="preserve">To measure fog and dew, standardised passive collectors have been developed: the Standard Fog Collector (SFC), which collects fog through a 1 m² polypropylene mesh</w:t>
      </w:r>
      <w:r>
        <w:t xml:space="preserve"> </w:t>
      </w:r>
      <w:r>
        <w:t xml:space="preserve">(Schemenauer &amp; Cereceda, 1994)</w:t>
      </w:r>
      <w:r>
        <w:t xml:space="preserve">, and the Standard Dew Collector (SDC), which collects dew by radiative cooling of a 1 m² condensing plate</w:t>
      </w:r>
      <w:r>
        <w:t xml:space="preserve"> </w:t>
      </w:r>
      <w:r>
        <w:t xml:space="preserve">(Muselli et al., 2002)</w:t>
      </w:r>
      <w:r>
        <w:t xml:space="preserve">. However, fog and dew collectors fail to distinguish between the two phenomena due to an instrumental overlap in their collection periods, which leaves their relative contribution highly uncertain</w:t>
      </w:r>
      <w:r>
        <w:t xml:space="preserve"> </w:t>
      </w:r>
      <w:r>
        <w:t xml:space="preserve">(Lobos-Roco et al., 2024)</w:t>
      </w:r>
      <w:r>
        <w:t xml:space="preserve">.</w:t>
      </w:r>
    </w:p>
    <w:p>
      <w:pPr>
        <w:pStyle w:val="BodyText"/>
      </w:pPr>
      <w:r>
        <w:t xml:space="preserve">In hyperarid regions, where fog and dew constitute the primary water inputs sustaining ecosystems, accurately measuring their dynamics is essential to understanding their contribution to the water and carbon balance of these systems</w:t>
      </w:r>
      <w:r>
        <w:t xml:space="preserve"> </w:t>
      </w:r>
      <w:r>
        <w:t xml:space="preserve">(Lobos-Roco et al., 2024; Wang et al., 2016)</w:t>
      </w:r>
      <w:r>
        <w:t xml:space="preserve">. Both processes supply moisture that biological soil crusts and other surface-dwelling organisms rely on, directly influencing their carbon fixation capacity, which underscores the need for methods that properly constrain the individual contribution of each phenomenon</w:t>
      </w:r>
      <w:r>
        <w:t xml:space="preserve"> </w:t>
      </w:r>
      <w:r>
        <w:t xml:space="preserve">(Chamizo et al., 2021; Li et al., 2025)</w:t>
      </w:r>
      <w:r>
        <w:t xml:space="preserve">. Knowledge of dew remains comparatively limited relative to fog</w:t>
      </w:r>
      <w:r>
        <w:t xml:space="preserve"> </w:t>
      </w:r>
      <w:r>
        <w:t xml:space="preserve">(Li et al., 2025)</w:t>
      </w:r>
      <w:r>
        <w:t xml:space="preserve">, and resolving this ambiguity is important not only to understand hyperarid ecosystem hydrology, but also to develop improved collection technologies and inform water-related public policy in arid regions.</w:t>
      </w:r>
    </w:p>
    <w:p>
      <w:pPr>
        <w:pStyle w:val="BodyText"/>
      </w:pPr>
      <w:r>
        <w:t xml:space="preserve">We hypothesise that dew events are systematically underestimated by standard collectors, and that fog and dew differ markedly in atmospheric thermodynamics and advection. We therefore ask: how do atmospheric thermodynamics and surface–atmosphere coupling differ between fog and dew along the altitudinal transect of the coastal Atacama Desert? We test three falsifiable hypotheses. H1 (occurrence): the true proportion of dew events exceeds that recorded by collectors. H2 (structure): fog forms under a well-mixed marine boundary layer (lower ∂θ/∂z), dew under a more stratified layer (higher ∂θ/∂z), while ∂q/∂z and ∂U/∂z do not discriminate between regimes, as both require a near-saturated, well-mixed vapour column. H3 (dynamics): fog is marked by continuous moisture advection (∂q/∂t &gt; 0), dew by a surface moisture sink (∂q/∂t ≤ 0), reflecting opposite latent heat flux directions.</w:t>
      </w:r>
    </w:p>
    <w:bookmarkEnd w:id="9"/>
    <w:bookmarkStart w:id="43" w:name="references"/>
    <w:p>
      <w:pPr>
        <w:pStyle w:val="Heading1"/>
      </w:pPr>
      <w:r>
        <w:t xml:space="preserve">References</w:t>
      </w:r>
    </w:p>
    <w:bookmarkStart w:id="42" w:name="refs"/>
    <w:bookmarkStart w:id="11" w:name="ref-Cereceda2008"/>
    <w:p>
      <w:pPr>
        <w:pStyle w:val="Bibliography"/>
      </w:pPr>
      <w:r>
        <w:t xml:space="preserve">Cereceda, P., Larrain, H., Osses, P., Farías, M., &amp; Egaña, I. (2008). The spatial and temporal variability of fog and its relation to fog oases in the atacama desert, chile.</w:t>
      </w:r>
      <w:r>
        <w:t xml:space="preserve"> </w:t>
      </w:r>
      <w:r>
        <w:rPr>
          <w:i/>
          <w:iCs/>
        </w:rPr>
        <w:t xml:space="preserve">Atmospheric Research</w:t>
      </w:r>
      <w:r>
        <w:t xml:space="preserve">,</w:t>
      </w:r>
      <w:r>
        <w:t xml:space="preserve"> </w:t>
      </w:r>
      <w:r>
        <w:rPr>
          <w:i/>
          <w:iCs/>
        </w:rPr>
        <w:t xml:space="preserve">87</w:t>
      </w:r>
      <w:r>
        <w:t xml:space="preserve">(3-4), 312–323.</w:t>
      </w:r>
      <w:r>
        <w:t xml:space="preserve"> </w:t>
      </w:r>
      <w:hyperlink r:id="rId10">
        <w:r>
          <w:rPr>
            <w:rStyle w:val="Hyperlink"/>
          </w:rPr>
          <w:t xml:space="preserve">https://doi.org/10.1016/j.atmosres.2007.11.012</w:t>
        </w:r>
      </w:hyperlink>
    </w:p>
    <w:bookmarkEnd w:id="11"/>
    <w:bookmarkStart w:id="13" w:name="ref-Cereceda2002"/>
    <w:p>
      <w:pPr>
        <w:pStyle w:val="Bibliography"/>
      </w:pPr>
      <w:r>
        <w:t xml:space="preserve">Cereceda, P., Osses, P., Larrain, H., Farı́as, M., Lagos, M., Pinto, R., &amp; Schemenauer, R. S. (2002). Advective, orographic and radiation fog in the tarapacá region, chile.</w:t>
      </w:r>
      <w:r>
        <w:t xml:space="preserve"> </w:t>
      </w:r>
      <w:r>
        <w:rPr>
          <w:i/>
          <w:iCs/>
        </w:rPr>
        <w:t xml:space="preserve">Atmospheric Research</w:t>
      </w:r>
      <w:r>
        <w:t xml:space="preserve">,</w:t>
      </w:r>
      <w:r>
        <w:t xml:space="preserve"> </w:t>
      </w:r>
      <w:r>
        <w:rPr>
          <w:i/>
          <w:iCs/>
        </w:rPr>
        <w:t xml:space="preserve">64</w:t>
      </w:r>
      <w:r>
        <w:t xml:space="preserve">(1-4), 261–271.</w:t>
      </w:r>
      <w:r>
        <w:t xml:space="preserve"> </w:t>
      </w:r>
      <w:hyperlink r:id="rId12">
        <w:r>
          <w:rPr>
            <w:rStyle w:val="Hyperlink"/>
          </w:rPr>
          <w:t xml:space="preserve">https://doi.org/10.1016/s0169-8095(02)00097-2</w:t>
        </w:r>
      </w:hyperlink>
    </w:p>
    <w:bookmarkEnd w:id="13"/>
    <w:bookmarkStart w:id="15" w:name="ref-Chamizo2021"/>
    <w:p>
      <w:pPr>
        <w:pStyle w:val="Bibliography"/>
      </w:pPr>
      <w:r>
        <w:t xml:space="preserve">Chamizo, S., Rodríguez-Caballero, E., Moro, M. J., &amp; Cantón, Y. (2021). Non-rainfall water inputs: A key water source for biocrust carbon fixation.</w:t>
      </w:r>
      <w:r>
        <w:t xml:space="preserve"> </w:t>
      </w:r>
      <w:r>
        <w:rPr>
          <w:i/>
          <w:iCs/>
        </w:rPr>
        <w:t xml:space="preserve">Science of The Total Environment</w:t>
      </w:r>
      <w:r>
        <w:t xml:space="preserve">,</w:t>
      </w:r>
      <w:r>
        <w:t xml:space="preserve"> </w:t>
      </w:r>
      <w:r>
        <w:rPr>
          <w:i/>
          <w:iCs/>
        </w:rPr>
        <w:t xml:space="preserve">792</w:t>
      </w:r>
      <w:r>
        <w:t xml:space="preserve">, 148299.</w:t>
      </w:r>
      <w:r>
        <w:t xml:space="preserve"> </w:t>
      </w:r>
      <w:hyperlink r:id="rId14">
        <w:r>
          <w:rPr>
            <w:rStyle w:val="Hyperlink"/>
          </w:rPr>
          <w:t xml:space="preserve">https://doi.org/10.1016/j.scitotenv.2021.148299</w:t>
        </w:r>
      </w:hyperlink>
    </w:p>
    <w:bookmarkEnd w:id="15"/>
    <w:bookmarkStart w:id="17" w:name="ref-Gultepe2007"/>
    <w:p>
      <w:pPr>
        <w:pStyle w:val="Bibliography"/>
      </w:pPr>
      <w:r>
        <w:t xml:space="preserve">Gultepe, I., Tardif, R., Michaelides, S. C., Cermak, J., Bott, A., Bendix, J., Müller, M. D., Pagowski, M., Hansen, B., Ellrod, G., Jacobs, W., Toth, G., &amp; Cober, S. G. (2007). Fog research: A review of past achievements and future perspectives. In</w:t>
      </w:r>
      <w:r>
        <w:t xml:space="preserve"> </w:t>
      </w:r>
      <w:r>
        <w:rPr>
          <w:i/>
          <w:iCs/>
        </w:rPr>
        <w:t xml:space="preserve">Fog and boundary layer clouds: Fog visibility and forecasting</w:t>
      </w:r>
      <w:r>
        <w:t xml:space="preserve"> </w:t>
      </w:r>
      <w:r>
        <w:t xml:space="preserve">(pp. 1121–1159). Birkhäuser Basel.</w:t>
      </w:r>
      <w:r>
        <w:t xml:space="preserve"> </w:t>
      </w:r>
      <w:hyperlink r:id="rId16">
        <w:r>
          <w:rPr>
            <w:rStyle w:val="Hyperlink"/>
          </w:rPr>
          <w:t xml:space="preserve">https://doi.org/10.1007/978-3-7643-8419-7_3</w:t>
        </w:r>
      </w:hyperlink>
    </w:p>
    <w:bookmarkEnd w:id="17"/>
    <w:bookmarkStart w:id="19" w:name="ref-Houston2006"/>
    <w:p>
      <w:pPr>
        <w:pStyle w:val="Bibliography"/>
      </w:pPr>
      <w:r>
        <w:t xml:space="preserve">Houston, J. (2006). Variability of precipitation in the</w:t>
      </w:r>
      <w:r>
        <w:t xml:space="preserve"> </w:t>
      </w:r>
      <w:r>
        <w:t xml:space="preserve">Atacama</w:t>
      </w:r>
      <w:r>
        <w:t xml:space="preserve"> </w:t>
      </w:r>
      <w:r>
        <w:t xml:space="preserve">Desert</w:t>
      </w:r>
      <w:r>
        <w:t xml:space="preserve">: Its causes and hydrological impact.</w:t>
      </w:r>
      <w:r>
        <w:t xml:space="preserve"> </w:t>
      </w:r>
      <w:r>
        <w:rPr>
          <w:i/>
          <w:iCs/>
        </w:rPr>
        <w:t xml:space="preserve">International Journal of Climatology</w:t>
      </w:r>
      <w:r>
        <w:t xml:space="preserve">,</w:t>
      </w:r>
      <w:r>
        <w:t xml:space="preserve"> </w:t>
      </w:r>
      <w:r>
        <w:rPr>
          <w:i/>
          <w:iCs/>
        </w:rPr>
        <w:t xml:space="preserve">26</w:t>
      </w:r>
      <w:r>
        <w:t xml:space="preserve">(15), 2181–2198.</w:t>
      </w:r>
      <w:r>
        <w:t xml:space="preserve"> </w:t>
      </w:r>
      <w:hyperlink r:id="rId18">
        <w:r>
          <w:rPr>
            <w:rStyle w:val="Hyperlink"/>
          </w:rPr>
          <w:t xml:space="preserve">https://doi.org/10.1002/joc.1359</w:t>
        </w:r>
      </w:hyperlink>
    </w:p>
    <w:bookmarkEnd w:id="19"/>
    <w:bookmarkStart w:id="21" w:name="ref-KeimVera2024"/>
    <w:p>
      <w:pPr>
        <w:pStyle w:val="Bibliography"/>
      </w:pPr>
      <w:r>
        <w:t xml:space="preserve">Keim-Vera, K., Lobos-Roco, F., Aguirre, I., Merino, C., &amp; Río, C. del. (2024). Fog types frequency and their collectable water potential in the atacama desert.</w:t>
      </w:r>
      <w:r>
        <w:t xml:space="preserve"> </w:t>
      </w:r>
      <w:r>
        <w:rPr>
          <w:i/>
          <w:iCs/>
        </w:rPr>
        <w:t xml:space="preserve">Atmospheric Research</w:t>
      </w:r>
      <w:r>
        <w:t xml:space="preserve">,</w:t>
      </w:r>
      <w:r>
        <w:t xml:space="preserve"> </w:t>
      </w:r>
      <w:r>
        <w:rPr>
          <w:i/>
          <w:iCs/>
        </w:rPr>
        <w:t xml:space="preserve">312</w:t>
      </w:r>
      <w:r>
        <w:t xml:space="preserve">, 107747.</w:t>
      </w:r>
      <w:r>
        <w:t xml:space="preserve"> </w:t>
      </w:r>
      <w:hyperlink r:id="rId20">
        <w:r>
          <w:rPr>
            <w:rStyle w:val="Hyperlink"/>
          </w:rPr>
          <w:t xml:space="preserve">https://doi.org/10.1016/j.atmosres.2024.107747</w:t>
        </w:r>
      </w:hyperlink>
    </w:p>
    <w:bookmarkEnd w:id="21"/>
    <w:bookmarkStart w:id="23" w:name="ref-Li2025"/>
    <w:p>
      <w:pPr>
        <w:pStyle w:val="Bibliography"/>
      </w:pPr>
      <w:r>
        <w:t xml:space="preserve">Li, H., Han, C., Yang, Y., &amp; Chen, R. (2025). Advances and challenges in dew research on land surface: A review.</w:t>
      </w:r>
      <w:r>
        <w:t xml:space="preserve"> </w:t>
      </w:r>
      <w:r>
        <w:rPr>
          <w:i/>
          <w:iCs/>
        </w:rPr>
        <w:t xml:space="preserve">Hydrology</w:t>
      </w:r>
      <w:r>
        <w:t xml:space="preserve">,</w:t>
      </w:r>
      <w:r>
        <w:t xml:space="preserve"> </w:t>
      </w:r>
      <w:r>
        <w:rPr>
          <w:i/>
          <w:iCs/>
        </w:rPr>
        <w:t xml:space="preserve">12</w:t>
      </w:r>
      <w:r>
        <w:t xml:space="preserve">(12), 320.</w:t>
      </w:r>
      <w:r>
        <w:t xml:space="preserve"> </w:t>
      </w:r>
      <w:hyperlink r:id="rId22">
        <w:r>
          <w:rPr>
            <w:rStyle w:val="Hyperlink"/>
          </w:rPr>
          <w:t xml:space="preserve">https://doi.org/10.3390/hydrology12120320</w:t>
        </w:r>
      </w:hyperlink>
    </w:p>
    <w:bookmarkEnd w:id="23"/>
    <w:bookmarkStart w:id="25" w:name="ref-LobosRoco2018"/>
    <w:p>
      <w:pPr>
        <w:pStyle w:val="Bibliography"/>
      </w:pPr>
      <w:r>
        <w:t xml:space="preserve">Lobos Roco, F., Vilà-Guerau de Arellano, J., &amp; Pedruzo-Bagazgoitia, X. (2018). Characterizing the influence of the marine stratocumulus cloud on the land fog at the atacama desert.</w:t>
      </w:r>
      <w:r>
        <w:t xml:space="preserve"> </w:t>
      </w:r>
      <w:r>
        <w:rPr>
          <w:i/>
          <w:iCs/>
        </w:rPr>
        <w:t xml:space="preserve">Atmospheric Research</w:t>
      </w:r>
      <w:r>
        <w:t xml:space="preserve">,</w:t>
      </w:r>
      <w:r>
        <w:t xml:space="preserve"> </w:t>
      </w:r>
      <w:r>
        <w:rPr>
          <w:i/>
          <w:iCs/>
        </w:rPr>
        <w:t xml:space="preserve">214</w:t>
      </w:r>
      <w:r>
        <w:t xml:space="preserve">, 109–120.</w:t>
      </w:r>
      <w:r>
        <w:t xml:space="preserve"> </w:t>
      </w:r>
      <w:hyperlink r:id="rId24">
        <w:r>
          <w:rPr>
            <w:rStyle w:val="Hyperlink"/>
          </w:rPr>
          <w:t xml:space="preserve">https://doi.org/10.1016/j.atmosres.2018.07.009</w:t>
        </w:r>
      </w:hyperlink>
    </w:p>
    <w:bookmarkEnd w:id="25"/>
    <w:bookmarkStart w:id="27" w:name="ref-LobosRoco2024"/>
    <w:p>
      <w:pPr>
        <w:pStyle w:val="Bibliography"/>
      </w:pPr>
      <w:r>
        <w:t xml:space="preserve">Lobos-Roco, F., Suárez, F., Aguirre-Correa, F., Keim, K., Aguirre, I., Vargas, C., Abarca, F., Ramírez, C., Escobar, R., Osses, P., &amp; Río, C. del. (2024). Understanding inland fog and dew dynamics for assessing potential non-rainfall water use in the atacama.</w:t>
      </w:r>
      <w:r>
        <w:t xml:space="preserve"> </w:t>
      </w:r>
      <w:r>
        <w:rPr>
          <w:i/>
          <w:iCs/>
        </w:rPr>
        <w:t xml:space="preserve">Journal of Arid Environments</w:t>
      </w:r>
      <w:r>
        <w:t xml:space="preserve">,</w:t>
      </w:r>
      <w:r>
        <w:t xml:space="preserve"> </w:t>
      </w:r>
      <w:r>
        <w:rPr>
          <w:i/>
          <w:iCs/>
        </w:rPr>
        <w:t xml:space="preserve">221</w:t>
      </w:r>
      <w:r>
        <w:t xml:space="preserve">, 105125.</w:t>
      </w:r>
      <w:r>
        <w:t xml:space="preserve"> </w:t>
      </w:r>
      <w:hyperlink r:id="rId26">
        <w:r>
          <w:rPr>
            <w:rStyle w:val="Hyperlink"/>
          </w:rPr>
          <w:t xml:space="preserve">https://doi.org/10.1016/j.jaridenv.2024.105125</w:t>
        </w:r>
      </w:hyperlink>
    </w:p>
    <w:bookmarkEnd w:id="27"/>
    <w:bookmarkStart w:id="29" w:name="ref-Monteith1957"/>
    <w:p>
      <w:pPr>
        <w:pStyle w:val="Bibliography"/>
      </w:pPr>
      <w:r>
        <w:t xml:space="preserve">Monteith, J. L. (1957). Dew.</w:t>
      </w:r>
      <w:r>
        <w:t xml:space="preserve"> </w:t>
      </w:r>
      <w:r>
        <w:rPr>
          <w:i/>
          <w:iCs/>
        </w:rPr>
        <w:t xml:space="preserve">Quarterly Journal of the Royal Meteorological Society</w:t>
      </w:r>
      <w:r>
        <w:t xml:space="preserve">,</w:t>
      </w:r>
      <w:r>
        <w:t xml:space="preserve"> </w:t>
      </w:r>
      <w:r>
        <w:rPr>
          <w:i/>
          <w:iCs/>
        </w:rPr>
        <w:t xml:space="preserve">83</w:t>
      </w:r>
      <w:r>
        <w:t xml:space="preserve">(357), 322–341.</w:t>
      </w:r>
      <w:r>
        <w:t xml:space="preserve"> </w:t>
      </w:r>
      <w:hyperlink r:id="rId28">
        <w:r>
          <w:rPr>
            <w:rStyle w:val="Hyperlink"/>
          </w:rPr>
          <w:t xml:space="preserve">https://doi.org/10.1002/qj.49708335706</w:t>
        </w:r>
      </w:hyperlink>
    </w:p>
    <w:bookmarkEnd w:id="29"/>
    <w:bookmarkStart w:id="31" w:name="ref-Muselli2002"/>
    <w:p>
      <w:pPr>
        <w:pStyle w:val="Bibliography"/>
      </w:pPr>
      <w:r>
        <w:t xml:space="preserve">Muselli, M., Beysens, D., Marcillat, J., Milimouk, I., Nilsson, T., &amp; Louche, A. (2002). Dew water collector for potable water in ajaccio (corsica island, france).</w:t>
      </w:r>
      <w:r>
        <w:t xml:space="preserve"> </w:t>
      </w:r>
      <w:r>
        <w:rPr>
          <w:i/>
          <w:iCs/>
        </w:rPr>
        <w:t xml:space="preserve">Atmospheric Research</w:t>
      </w:r>
      <w:r>
        <w:t xml:space="preserve">,</w:t>
      </w:r>
      <w:r>
        <w:t xml:space="preserve"> </w:t>
      </w:r>
      <w:r>
        <w:rPr>
          <w:i/>
          <w:iCs/>
        </w:rPr>
        <w:t xml:space="preserve">64</w:t>
      </w:r>
      <w:r>
        <w:t xml:space="preserve">(1-4), 297–312.</w:t>
      </w:r>
      <w:r>
        <w:t xml:space="preserve"> </w:t>
      </w:r>
      <w:hyperlink r:id="rId30">
        <w:r>
          <w:rPr>
            <w:rStyle w:val="Hyperlink"/>
          </w:rPr>
          <w:t xml:space="preserve">https://doi.org/10.1016/s0169-8095(02)00100-x</w:t>
        </w:r>
      </w:hyperlink>
    </w:p>
    <w:bookmarkEnd w:id="31"/>
    <w:bookmarkStart w:id="33" w:name="ref-delRo2021b"/>
    <w:p>
      <w:pPr>
        <w:pStyle w:val="Bibliography"/>
      </w:pPr>
      <w:r>
        <w:t xml:space="preserve">Río, C. del, Lobos-Roco, F., Latorre, C., Koch, M. A., García, J.-L., Osses, P., Lambert, F., Alfaro, F., &amp; Siegmund, A. (2021). Spatial distribution and interannual variability of coastal fog and low clouds cover in the hyperarid atacama desert and implications for past and present tillandsia landbeckii ecosystems.</w:t>
      </w:r>
      <w:r>
        <w:t xml:space="preserve"> </w:t>
      </w:r>
      <w:r>
        <w:rPr>
          <w:i/>
          <w:iCs/>
        </w:rPr>
        <w:t xml:space="preserve">Plant Systematics and Evolution</w:t>
      </w:r>
      <w:r>
        <w:t xml:space="preserve">,</w:t>
      </w:r>
      <w:r>
        <w:t xml:space="preserve"> </w:t>
      </w:r>
      <w:r>
        <w:rPr>
          <w:i/>
          <w:iCs/>
        </w:rPr>
        <w:t xml:space="preserve">307</w:t>
      </w:r>
      <w:r>
        <w:t xml:space="preserve">(5).</w:t>
      </w:r>
      <w:r>
        <w:t xml:space="preserve"> </w:t>
      </w:r>
      <w:hyperlink r:id="rId32">
        <w:r>
          <w:rPr>
            <w:rStyle w:val="Hyperlink"/>
          </w:rPr>
          <w:t xml:space="preserve">https://doi.org/10.1007/s00606-021-01782-z</w:t>
        </w:r>
      </w:hyperlink>
    </w:p>
    <w:bookmarkEnd w:id="33"/>
    <w:bookmarkStart w:id="35" w:name="ref-RUTLLANT2002"/>
    <w:p>
      <w:pPr>
        <w:pStyle w:val="Bibliography"/>
      </w:pPr>
      <w:r>
        <w:t xml:space="preserve">Rutllant, J., &amp; Montecino, V. (2002). Multiscale upwelling forcing cycles and biological response off north-central chile.</w:t>
      </w:r>
      <w:r>
        <w:t xml:space="preserve"> </w:t>
      </w:r>
      <w:r>
        <w:rPr>
          <w:i/>
          <w:iCs/>
        </w:rPr>
        <w:t xml:space="preserve">Revista Chilena de Historia Natural</w:t>
      </w:r>
      <w:r>
        <w:t xml:space="preserve">,</w:t>
      </w:r>
      <w:r>
        <w:t xml:space="preserve"> </w:t>
      </w:r>
      <w:r>
        <w:rPr>
          <w:i/>
          <w:iCs/>
        </w:rPr>
        <w:t xml:space="preserve">75</w:t>
      </w:r>
      <w:r>
        <w:t xml:space="preserve">(1).</w:t>
      </w:r>
      <w:r>
        <w:t xml:space="preserve"> </w:t>
      </w:r>
      <w:hyperlink r:id="rId34">
        <w:r>
          <w:rPr>
            <w:rStyle w:val="Hyperlink"/>
          </w:rPr>
          <w:t xml:space="preserve">https://doi.org/10.4067/s0716-078x2002000100020</w:t>
        </w:r>
      </w:hyperlink>
    </w:p>
    <w:bookmarkEnd w:id="35"/>
    <w:bookmarkStart w:id="37" w:name="ref-Schemenauer1994"/>
    <w:p>
      <w:pPr>
        <w:pStyle w:val="Bibliography"/>
      </w:pPr>
      <w:r>
        <w:t xml:space="preserve">Schemenauer, R. S., &amp; Cereceda, P. (1994). A proposed standard fog collector for use in high-elevation regions.</w:t>
      </w:r>
      <w:r>
        <w:t xml:space="preserve"> </w:t>
      </w:r>
      <w:r>
        <w:rPr>
          <w:i/>
          <w:iCs/>
        </w:rPr>
        <w:t xml:space="preserve">Journal of Applied Meteorology</w:t>
      </w:r>
      <w:r>
        <w:t xml:space="preserve">,</w:t>
      </w:r>
      <w:r>
        <w:t xml:space="preserve"> </w:t>
      </w:r>
      <w:r>
        <w:rPr>
          <w:i/>
          <w:iCs/>
        </w:rPr>
        <w:t xml:space="preserve">33</w:t>
      </w:r>
      <w:r>
        <w:t xml:space="preserve">(11), 1313–1322.</w:t>
      </w:r>
      <w:r>
        <w:t xml:space="preserve"> </w:t>
      </w:r>
      <w:hyperlink r:id="rId36">
        <w:r>
          <w:rPr>
            <w:rStyle w:val="Hyperlink"/>
          </w:rPr>
          <w:t xml:space="preserve">https://doi.org/10.1175/1520-0450(1994)033&lt;1313:apsfcf&gt;2.0.co;2</w:t>
        </w:r>
      </w:hyperlink>
    </w:p>
    <w:bookmarkEnd w:id="37"/>
    <w:bookmarkStart w:id="39" w:name="ref-Stull1988"/>
    <w:p>
      <w:pPr>
        <w:pStyle w:val="Bibliography"/>
      </w:pPr>
      <w:r>
        <w:t xml:space="preserve">Stull, R. B. (1988).</w:t>
      </w:r>
      <w:r>
        <w:t xml:space="preserve"> </w:t>
      </w:r>
      <w:r>
        <w:rPr>
          <w:i/>
          <w:iCs/>
        </w:rPr>
        <w:t xml:space="preserve">An introduction to boundary layer meteorology</w:t>
      </w:r>
      <w:r>
        <w:t xml:space="preserve">. Kluwer Academic Publishers.</w:t>
      </w:r>
      <w:r>
        <w:t xml:space="preserve"> </w:t>
      </w:r>
      <w:hyperlink r:id="rId38">
        <w:r>
          <w:rPr>
            <w:rStyle w:val="Hyperlink"/>
          </w:rPr>
          <w:t xml:space="preserve">https://doi.org/10.1007/978-94-009-3027-8</w:t>
        </w:r>
      </w:hyperlink>
    </w:p>
    <w:bookmarkEnd w:id="39"/>
    <w:bookmarkStart w:id="41" w:name="ref-Wang2016"/>
    <w:p>
      <w:pPr>
        <w:pStyle w:val="Bibliography"/>
      </w:pPr>
      <w:r>
        <w:t xml:space="preserve">Wang, L., Kaseke, K. F., &amp; Seely, M. K. (2016). Effects of non‐rainfall water inputs on ecosystem functions.</w:t>
      </w:r>
      <w:r>
        <w:t xml:space="preserve"> </w:t>
      </w:r>
      <w:r>
        <w:rPr>
          <w:i/>
          <w:iCs/>
        </w:rPr>
        <w:t xml:space="preserve">WIREs Water</w:t>
      </w:r>
      <w:r>
        <w:t xml:space="preserve">,</w:t>
      </w:r>
      <w:r>
        <w:t xml:space="preserve"> </w:t>
      </w:r>
      <w:r>
        <w:rPr>
          <w:i/>
          <w:iCs/>
        </w:rPr>
        <w:t xml:space="preserve">4</w:t>
      </w:r>
      <w:r>
        <w:t xml:space="preserve">(1).</w:t>
      </w:r>
      <w:r>
        <w:t xml:space="preserve"> </w:t>
      </w:r>
      <w:hyperlink r:id="rId40">
        <w:r>
          <w:rPr>
            <w:rStyle w:val="Hyperlink"/>
          </w:rPr>
          <w:t xml:space="preserve">https://doi.org/10.1002/wat2.1179</w:t>
        </w:r>
      </w:hyperlink>
    </w:p>
    <w:bookmarkEnd w:id="41"/>
    <w:bookmarkEnd w:id="42"/>
    <w:bookmarkEnd w:id="4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8" Target="https://doi.org/10.1002/joc.1359" TargetMode="External" /><Relationship Type="http://schemas.openxmlformats.org/officeDocument/2006/relationships/hyperlink" Id="rId28" Target="https://doi.org/10.1002/qj.49708335706" TargetMode="External" /><Relationship Type="http://schemas.openxmlformats.org/officeDocument/2006/relationships/hyperlink" Id="rId40" Target="https://doi.org/10.1002/wat2.1179" TargetMode="External" /><Relationship Type="http://schemas.openxmlformats.org/officeDocument/2006/relationships/hyperlink" Id="rId16" Target="https://doi.org/10.1007/978-3-7643-8419-7_3" TargetMode="External" /><Relationship Type="http://schemas.openxmlformats.org/officeDocument/2006/relationships/hyperlink" Id="rId38" Target="https://doi.org/10.1007/978-94-009-3027-8" TargetMode="External" /><Relationship Type="http://schemas.openxmlformats.org/officeDocument/2006/relationships/hyperlink" Id="rId32" Target="https://doi.org/10.1007/s00606-021-01782-z" TargetMode="External" /><Relationship Type="http://schemas.openxmlformats.org/officeDocument/2006/relationships/hyperlink" Id="rId10" Target="https://doi.org/10.1016/j.atmosres.2007.11.012" TargetMode="External" /><Relationship Type="http://schemas.openxmlformats.org/officeDocument/2006/relationships/hyperlink" Id="rId24" Target="https://doi.org/10.1016/j.atmosres.2018.07.009" TargetMode="External" /><Relationship Type="http://schemas.openxmlformats.org/officeDocument/2006/relationships/hyperlink" Id="rId20" Target="https://doi.org/10.1016/j.atmosres.2024.107747" TargetMode="External" /><Relationship Type="http://schemas.openxmlformats.org/officeDocument/2006/relationships/hyperlink" Id="rId26" Target="https://doi.org/10.1016/j.jaridenv.2024.105125" TargetMode="External" /><Relationship Type="http://schemas.openxmlformats.org/officeDocument/2006/relationships/hyperlink" Id="rId14" Target="https://doi.org/10.1016/j.scitotenv.2021.148299" TargetMode="External" /><Relationship Type="http://schemas.openxmlformats.org/officeDocument/2006/relationships/hyperlink" Id="rId12" Target="https://doi.org/10.1016/s0169-8095(02)00097-2" TargetMode="External" /><Relationship Type="http://schemas.openxmlformats.org/officeDocument/2006/relationships/hyperlink" Id="rId30" Target="https://doi.org/10.1016/s0169-8095(02)00100-x" TargetMode="External" /><Relationship Type="http://schemas.openxmlformats.org/officeDocument/2006/relationships/hyperlink" Id="rId36" Target="https://doi.org/10.1175/1520-0450(1994)033&lt;1313:apsfcf&gt;2.0.co;2" TargetMode="External" /><Relationship Type="http://schemas.openxmlformats.org/officeDocument/2006/relationships/hyperlink" Id="rId22" Target="https://doi.org/10.3390/hydrology12120320" TargetMode="External" /><Relationship Type="http://schemas.openxmlformats.org/officeDocument/2006/relationships/hyperlink" Id="rId34" Target="https://doi.org/10.4067/s0716-078x2002000100020" TargetMode="External" /></Relationships>
</file>

<file path=word/_rels/footnotes.xml.rels><?xml version="1.0" encoding="UTF-8"?><Relationships xmlns="http://schemas.openxmlformats.org/package/2006/relationships"><Relationship Type="http://schemas.openxmlformats.org/officeDocument/2006/relationships/hyperlink" Id="rId18" Target="https://doi.org/10.1002/joc.1359" TargetMode="External" /><Relationship Type="http://schemas.openxmlformats.org/officeDocument/2006/relationships/hyperlink" Id="rId28" Target="https://doi.org/10.1002/qj.49708335706" TargetMode="External" /><Relationship Type="http://schemas.openxmlformats.org/officeDocument/2006/relationships/hyperlink" Id="rId40" Target="https://doi.org/10.1002/wat2.1179" TargetMode="External" /><Relationship Type="http://schemas.openxmlformats.org/officeDocument/2006/relationships/hyperlink" Id="rId16" Target="https://doi.org/10.1007/978-3-7643-8419-7_3" TargetMode="External" /><Relationship Type="http://schemas.openxmlformats.org/officeDocument/2006/relationships/hyperlink" Id="rId38" Target="https://doi.org/10.1007/978-94-009-3027-8" TargetMode="External" /><Relationship Type="http://schemas.openxmlformats.org/officeDocument/2006/relationships/hyperlink" Id="rId32" Target="https://doi.org/10.1007/s00606-021-01782-z" TargetMode="External" /><Relationship Type="http://schemas.openxmlformats.org/officeDocument/2006/relationships/hyperlink" Id="rId10" Target="https://doi.org/10.1016/j.atmosres.2007.11.012" TargetMode="External" /><Relationship Type="http://schemas.openxmlformats.org/officeDocument/2006/relationships/hyperlink" Id="rId24" Target="https://doi.org/10.1016/j.atmosres.2018.07.009" TargetMode="External" /><Relationship Type="http://schemas.openxmlformats.org/officeDocument/2006/relationships/hyperlink" Id="rId20" Target="https://doi.org/10.1016/j.atmosres.2024.107747" TargetMode="External" /><Relationship Type="http://schemas.openxmlformats.org/officeDocument/2006/relationships/hyperlink" Id="rId26" Target="https://doi.org/10.1016/j.jaridenv.2024.105125" TargetMode="External" /><Relationship Type="http://schemas.openxmlformats.org/officeDocument/2006/relationships/hyperlink" Id="rId14" Target="https://doi.org/10.1016/j.scitotenv.2021.148299" TargetMode="External" /><Relationship Type="http://schemas.openxmlformats.org/officeDocument/2006/relationships/hyperlink" Id="rId12" Target="https://doi.org/10.1016/s0169-8095(02)00097-2" TargetMode="External" /><Relationship Type="http://schemas.openxmlformats.org/officeDocument/2006/relationships/hyperlink" Id="rId30" Target="https://doi.org/10.1016/s0169-8095(02)00100-x" TargetMode="External" /><Relationship Type="http://schemas.openxmlformats.org/officeDocument/2006/relationships/hyperlink" Id="rId36" Target="https://doi.org/10.1175/1520-0450(1994)033&lt;1313:apsfcf&gt;2.0.co;2" TargetMode="External" /><Relationship Type="http://schemas.openxmlformats.org/officeDocument/2006/relationships/hyperlink" Id="rId22" Target="https://doi.org/10.3390/hydrology12120320" TargetMode="External" /><Relationship Type="http://schemas.openxmlformats.org/officeDocument/2006/relationships/hyperlink" Id="rId34" Target="https://doi.org/10.4067/s0716-078x200200010002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Thermodynamic characterization of the marine boundary layer during fog and dew events in the hyperarid coastal climate of the Ataca Desert</dc:title>
  <dc:creator>F.M. Narbona, F. Lobos-Roco, C. Del Río, S. Acevedo, A. Siegmund</dc:creator>
  <cp:keywords/>
  <dcterms:created xsi:type="dcterms:W3CDTF">2026-08-31T03:02:00Z</dcterms:created>
  <dcterms:modified xsi:type="dcterms:W3CDTF">2026-08-31T03:02:00Z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references_v02.bib</vt:lpwstr>
  </property>
  <property fmtid="{D5CDD505-2E9C-101B-9397-08002B2CF9AE}" pid="5" name="by-author">
    <vt:lpwstr/>
  </property>
  <property fmtid="{D5CDD505-2E9C-101B-9397-08002B2CF9AE}" pid="6" name="csl">
    <vt:lpwstr>apa.csl</vt:lpwstr>
  </property>
  <property fmtid="{D5CDD505-2E9C-101B-9397-08002B2CF9AE}" pid="7" name="date">
    <vt:lpwstr>2026-08-30</vt:lpwstr>
  </property>
  <property fmtid="{D5CDD505-2E9C-101B-9397-08002B2CF9AE}" pid="8" name="editor">
    <vt:lpwstr>visual</vt:lpwstr>
  </property>
  <property fmtid="{D5CDD505-2E9C-101B-9397-08002B2CF9AE}" pid="9" name="engine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toc-title">
    <vt:lpwstr>Table of contents</vt:lpwstr>
  </property>
</Properties>
</file>