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4"/>
          <w:szCs w:val="24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2"/>
          <w:szCs w:val="22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Incubadora TIC — Sistema de Gestión para Gimnasios</w:t>
      </w:r>
    </w:p>
    <w:p>
      <w:pPr>
        <w:spacing w:after="0" w:before="240"/>
        <w:jc w:val="center"/>
      </w:pPr>
      <w:r>
        <w:rPr>
          <w:b/>
          <w:bCs/>
          <w:color w:val="2E75B6"/>
          <w:sz w:val="40"/>
          <w:szCs w:val="40"/>
        </w:rPr>
        <w:t xml:space="preserve">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20"/>
          <w:szCs w:val="20"/>
        </w:rPr>
        <w:t xml:space="preserve">GESTIÓN DE SERVICIOS BAJO EL MARCO ITIL</w:t>
      </w:r>
    </w:p>
    <w:p>
      <w:pPr>
        <w:pBdr>
          <w:top w:val="single" w:color="1F4E79" w:sz="8" w:space="8"/>
          <w:bottom w:val="single" w:color="1F4E79" w:sz="8" w:space="8"/>
        </w:pBdr>
        <w:spacing w:after="0" w:before="120"/>
        <w:jc w:val="center"/>
      </w:pPr>
      <w:r>
        <w:rPr>
          <w:b/>
          <w:bCs/>
          <w:color w:val="1F4E79"/>
          <w:sz w:val="34"/>
          <w:szCs w:val="34"/>
        </w:rPr>
        <w:t xml:space="preserve">ESTRATEGIA DEL SERVICIO</w:t>
      </w:r>
    </w:p>
    <w:p>
      <w:pPr>
        <w:spacing w:after="0" w:before="80"/>
        <w:jc w:val="center"/>
      </w:pPr>
      <w:r>
        <w:rPr>
          <w:i/>
          <w:iCs/>
          <w:color w:val="595959"/>
          <w:sz w:val="20"/>
          <w:szCs w:val="20"/>
        </w:rPr>
        <w:t xml:space="preserve">Service Strategy — Políticas, objetivos y creación de valor</w:t>
      </w:r>
    </w:p>
    <w:p>
      <w:pPr>
        <w:spacing w:after="0" w:before="520"/>
        <w:jc w:val="center"/>
      </w:pPr>
      <w:r>
        <w:rPr>
          <w:b/>
          <w:bCs/>
          <w:color w:val="1F4E79"/>
          <w:sz w:val="22"/>
          <w:szCs w:val="22"/>
        </w:rPr>
        <w:t xml:space="preserve">Integrantes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Maximiliano Arriaga Mora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Juan Carlos Pérez Nava</w:t>
      </w:r>
    </w:p>
    <w:p>
      <w:pPr>
        <w:spacing w:after="0" w:before="460"/>
        <w:jc w:val="center"/>
      </w:pPr>
      <w:r>
        <w:rPr>
          <w:color w:val="595959"/>
          <w:sz w:val="20"/>
          <w:szCs w:val="20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 a la Estrategia del Servicio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es la fase del ciclo de vida que representa las políticas y los objetivos de la gestión de servicios. Su propósito es entender los objetivos de la organización y las necesidades del cliente para decidir qué servicios ofrecer, a quién y cómo generar valor de forma sostenible. Define la perspectiva, la posición, los planes y los patrones que guiarán todas las demás fases.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En el caso de GymPro, esta fase fija el rumbo del producto: convertir la necesidad real de los gimnasios pequeños y medianos —digitalizar su operación a bajo costo— en una propuesta de valor clara, en un portafolio de servicios definido y en un modelo financiero viable.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Objetivos principales de la fase: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Comprender los objetivos del negocio (del gimnasio) y las necesidades de sus miembros.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Definir el portafolio de servicios y la propuesta de valor de GymPro.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Asegurar la viabilidad financiera y la gestión de la demanda del servicio.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Establecer relaciones sólidas con los clientes (gimnasios) y el negocio.</w:t>
      </w:r>
    </w:p>
    <w:p>
      <w:pPr>
        <w:pStyle w:val="Heading1"/>
      </w:pPr>
      <w:r>
        <w:t xml:space="preserve">2. GymPro en el contexto de esta fase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es una plataforma SaaS multi-tenant para la gestión integral de gimnasios, compuesta por una API REST (Flask), un panel web (React) y una aplicación móvil (React Native/Expo), desplegada con Docker. Su misión es </w:t>
      </w:r>
      <w:r>
        <w:rPr>
          <w:b/>
          <w:bCs/>
          <w:sz w:val="22"/>
          <w:szCs w:val="22"/>
        </w:rPr>
        <w:t xml:space="preserve">automatizar la gestión operativa de gimnasios, fortalecer la relación con sus miembros y potenciar el crecimiento del negocio mediante datos, personalización y mejora continua</w:t>
      </w:r>
      <w:r>
        <w:rPr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Estratégicamente, GymPro compite por diferenciación (analítica e IA integradas) y por liderazgo en costos (arquitectura de bajo costo que ofrece funcionalidades enterprise a precio de PYME), con la visión de ser la plataforma de referencia en México y Latinoamérica para 2028.</w:t>
      </w:r>
    </w:p>
    <w:p>
      <w:pPr>
        <w:pStyle w:val="Heading1"/>
      </w:pPr>
      <w:r>
        <w:t xml:space="preserve">3. Procesos de la Estrategia del Servicio</w:t>
      </w:r>
    </w:p>
    <w:p>
      <w:pPr>
        <w:pStyle w:val="Heading2"/>
      </w:pPr>
      <w:r>
        <w:t xml:space="preserve">3.1 Gestión Estratégica para Servicios de TI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Evalúa las capacidades y los recursos del proveedor frente al entorno para definir una estrategia (perspectiva, posición, plan y patrón) que cree y mantenga ventaja competitiva.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define su perspectiva (digitalizar al gimnasio PYME hispanohablante), su posición (plataforma asequible con IA y analítica), sus planes (hoja de ruta por sprints y metas TRL) y sus patrones (entregas iterativas con retroalimentación real). El análisis de competidores (Mindbody, Zen Planner, GymMaster, PerfectGym) y el FODA sustentan estas decisiones.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Misión, visión, valores y objetivos específicos por rol (Owner, Entrenador, Miembro, Infraestructura).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Análisis de mercado y posicionamiento estratégico documentado.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KPI estratégicos: adopción ≥ 70 %, disponibilidad ≥ 99.5 %, NPS ≥ 4.0/5.0.</w:t>
      </w:r>
    </w:p>
    <w:p>
      <w:pPr>
        <w:pStyle w:val="Heading2"/>
      </w:pPr>
      <w:r>
        <w:t xml:space="preserve">3.2 Gestión del Portafolio de Servicios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Administra el conjunto completo de servicios a lo largo de su ciclo de vida: el flujo de servicios (en diseño), el catálogo (en operación) y los servicios retirados, asegurando que la inversión genere valor.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El portafolio de GymPro abarca los servicios activos (gestión de membresías, pagos en línea, rutinas y nutrición, analítica e IA, respaldos), los servicios en diseño (nuevas integraciones y módulos por sprint) y los retirados. Cada servicio se justifica por su aporte de valor a un rol concreto.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Catálogo de servicios por rol: Superadmin, Owner, Recepcionista, Entrenador y Miembro.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Módulos en operación: POS, facturación con Stripe, dashboards, predicciones ML, importación con IA (Ollama).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Backlog de sprints como flujo de servicios en diseño.</w:t>
      </w:r>
    </w:p>
    <w:p>
      <w:pPr>
        <w:pStyle w:val="Heading2"/>
      </w:pPr>
      <w:r>
        <w:t xml:space="preserve">3.3 Gestión de Relaciones del Negocio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Establece y mantiene una relación con el cliente basada en la comprensión de sus necesidades, asegurando que el proveedor entregue servicios que aporten valor al negocio.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gestiona la relación con cada gimnasio (cliente) a través del rol Owner y la recepción, recogiendo necesidades reales mediante encuestas de validación de mercado y retroalimentación por sprint. El modelo multi-tenant permite atender a varios gimnasios manteniendo sus datos aislados.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Encuesta de validación aplicada a usuarios reales (miembros, entrenadores, administradores, recepción).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Aislamiento multi-tenant por id_gimnasio que garantiza confidencialidad entre clientes.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Canales de mensajería integrada entrenador–miembro dentro de la plataforma.</w:t>
      </w:r>
    </w:p>
    <w:p>
      <w:pPr>
        <w:pStyle w:val="Heading2"/>
      </w:pPr>
      <w:r>
        <w:t xml:space="preserve">3.4 Gestión Financiera para Servicios de TI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Cuantifica el valor económico de los servicios: presupuesto, contabilidad y cobro (budgeting, accounting &amp; charging), asegurando la viabilidad financiera del proveedor.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adopta un modelo de costos bajo (VPS Hostinger, servicios open-source, IA local con Ollama sin costo de API) que sostiene un precio accesible. La facturación a los miembros se opera con Stripe, y el control de ingresos por tipo de membresía alimenta los reportes financieros del gimnasio.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Integración de cobros con Stripe (facturación de suscripciones y membresías).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Reportes mensuales de ingresos desglosados por tipo de membresía y método de pago (MapReduce sobre pagos).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Arquitectura de bajo costo: IA local (Ollama) y contenedores en un VPS económico.</w:t>
      </w:r>
    </w:p>
    <w:p>
      <w:pPr>
        <w:pStyle w:val="Heading2"/>
      </w:pPr>
      <w:r>
        <w:t xml:space="preserve">3.5 Gestión de la Demanda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Comprende, anticipa e influye en la demanda de los clientes mediante los patrones de actividad del negocio (PBA), para alinear la capacidad con el consumo y evitar sobre o sub-aprovisionamiento.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modela la demanda a partir de los patrones de uso del gimnasio (afluencia, asistencias, renovaciones) y la dimensiona técnicamente con un caché en Redis y modelos de analítica cacheados con TTL. La predicción de cancelaciones permite anticipar la demanda futura de retención.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Caché de resultados analíticos (analytics_cache) con TTL para absorber picos de consultas.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Rate limiting global (300/día, 60/hora) para regular el consumo del servicio.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Modelo de predicción de cancelaciones (Random Forest) como insumo de gestión de la demanda.</w:t>
      </w:r>
    </w:p>
    <w:p>
      <w:pPr>
        <w:pStyle w:val="Heading1"/>
      </w:pPr>
      <w:r>
        <w:t xml:space="preserve">4.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Estrategia del Servicio dota a GymPro de una dirección clara: a quién sirve, con qué propuesta de valor y bajo qué modelo económico. Los cinco procesos —estrategia, portafolio, relaciones, finanzas y demanda— se traducen en decisiones concretas del proyecto (multi-tenant, IA local, Stripe, KPIs), garantizando que cada inversión de desarrollo persiga un valor medible para el gimnasio y sus miembros.</w:t>
      </w:r>
    </w:p>
    <w:p>
      <w:pPr>
        <w:pStyle w:val="Heading1"/>
      </w:pPr>
      <w:r>
        <w:t xml:space="preserve">5.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(Mercado, Riesgos, Normatividad, Portafolio de Servicios).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 (Service Strategy, Design, Transition, Operation y Continual Service Improvement).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GymPro: docker-compose.yml, api/ (Flask), web/ (React), mobile/ (Expo).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6"/>
        <w:szCs w:val="16"/>
      </w:rPr>
      <w:t xml:space="preserve">GymPro · ITIL — Estrategia del Servicio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2026-06-11T03:55:01.280Z</dcterms:created>
  <dcterms:modified xsi:type="dcterms:W3CDTF">2026-06-11T03:55:01.297Z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