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00"/>
        <w:jc w:val="center"/>
      </w:pPr>
      <w:r>
        <w:rPr>
          <w:b/>
          <w:bCs/>
          <w:color w:val="1F4E79"/>
          <w:sz w:val="24"/>
          <w:szCs w:val="24"/>
        </w:rPr>
        <w:t xml:space="preserve">UNIVERSIDAD TECNOLÓGICA DEL VALLE DE TOLUCA</w:t>
      </w:r>
    </w:p>
    <w:p>
      <w:pPr>
        <w:spacing w:after="0" w:before="60"/>
        <w:jc w:val="center"/>
      </w:pPr>
      <w:r>
        <w:rPr>
          <w:sz w:val="22"/>
          <w:szCs w:val="22"/>
        </w:rPr>
        <w:t xml:space="preserve">Ingeniería en Desarrollo y Gestión de Software</w:t>
      </w:r>
    </w:p>
    <w:p>
      <w:pPr>
        <w:spacing w:after="0" w:before="40"/>
        <w:jc w:val="center"/>
      </w:pPr>
      <w:r>
        <w:rPr>
          <w:color w:val="595959"/>
          <w:sz w:val="20"/>
          <w:szCs w:val="20"/>
        </w:rPr>
        <w:t xml:space="preserve">Incubadora TIC — Sistema de Gestión para Gimnasios</w:t>
      </w:r>
    </w:p>
    <w:p>
      <w:pPr>
        <w:spacing w:after="0" w:before="240"/>
        <w:jc w:val="center"/>
      </w:pPr>
      <w:r>
        <w:rPr>
          <w:b/>
          <w:bCs/>
          <w:color w:val="2E75B6"/>
          <w:sz w:val="40"/>
          <w:szCs w:val="40"/>
        </w:rPr>
        <w:t xml:space="preserve">«GymPro»</w:t>
      </w:r>
    </w:p>
    <w:p>
      <w:pPr>
        <w:spacing w:after="0" w:before="240"/>
        <w:jc w:val="center"/>
      </w:pPr>
      <w:r>
        <w:rPr>
          <w:i/>
          <w:iCs/>
          <w:color w:val="595959"/>
          <w:sz w:val="20"/>
          <w:szCs w:val="20"/>
        </w:rPr>
        <w:t xml:space="preserve">GESTIÓN DE SERVICIOS BAJO EL MARCO ITIL</w:t>
      </w:r>
    </w:p>
    <w:p>
      <w:pPr>
        <w:pBdr>
          <w:top w:val="single" w:color="1F4E79" w:sz="8" w:space="8"/>
          <w:bottom w:val="single" w:color="1F4E79" w:sz="8" w:space="8"/>
        </w:pBdr>
        <w:spacing w:after="0" w:before="120"/>
        <w:jc w:val="center"/>
      </w:pPr>
      <w:r>
        <w:rPr>
          <w:b/>
          <w:bCs/>
          <w:color w:val="1F4E79"/>
          <w:sz w:val="34"/>
          <w:szCs w:val="34"/>
        </w:rPr>
        <w:t xml:space="preserve">MEJORA CONTINUA DEL SERVICIO</w:t>
      </w:r>
    </w:p>
    <w:p>
      <w:pPr>
        <w:spacing w:after="0" w:before="80"/>
        <w:jc w:val="center"/>
      </w:pPr>
      <w:r>
        <w:rPr>
          <w:i/>
          <w:iCs/>
          <w:color w:val="595959"/>
          <w:sz w:val="20"/>
          <w:szCs w:val="20"/>
        </w:rPr>
        <w:t xml:space="preserve">Continual Service Improvement — Aprendizaje y mejora a través del valor</w:t>
      </w:r>
    </w:p>
    <w:p>
      <w:pPr>
        <w:spacing w:after="0" w:before="520"/>
        <w:jc w:val="center"/>
      </w:pPr>
      <w:r>
        <w:rPr>
          <w:b/>
          <w:bCs/>
          <w:color w:val="1F4E79"/>
          <w:sz w:val="22"/>
          <w:szCs w:val="22"/>
        </w:rPr>
        <w:t xml:space="preserve">Integrantes</w:t>
      </w:r>
    </w:p>
    <w:p>
      <w:pPr>
        <w:spacing w:after="0" w:before="50"/>
        <w:jc w:val="center"/>
      </w:pPr>
      <w:r>
        <w:rPr>
          <w:sz w:val="22"/>
          <w:szCs w:val="22"/>
        </w:rPr>
        <w:t xml:space="preserve">Maximiliano Arriaga Mora</w:t>
      </w:r>
    </w:p>
    <w:p>
      <w:pPr>
        <w:spacing w:after="0" w:before="50"/>
        <w:jc w:val="center"/>
      </w:pPr>
      <w:r>
        <w:rPr>
          <w:sz w:val="22"/>
          <w:szCs w:val="22"/>
        </w:rPr>
        <w:t xml:space="preserve">Miguel Ángel Hernández Cervantes</w:t>
      </w:r>
    </w:p>
    <w:p>
      <w:pPr>
        <w:spacing w:after="0" w:before="50"/>
        <w:jc w:val="center"/>
      </w:pPr>
      <w:r>
        <w:rPr>
          <w:sz w:val="22"/>
          <w:szCs w:val="22"/>
        </w:rPr>
        <w:t xml:space="preserve">Jesús Francisco Pérez Medina</w:t>
      </w:r>
    </w:p>
    <w:p>
      <w:pPr>
        <w:spacing w:after="0" w:before="50"/>
        <w:jc w:val="center"/>
      </w:pPr>
      <w:r>
        <w:rPr>
          <w:sz w:val="22"/>
          <w:szCs w:val="22"/>
        </w:rPr>
        <w:t xml:space="preserve">Juan Carlos Pérez Nava</w:t>
      </w:r>
    </w:p>
    <w:p>
      <w:pPr>
        <w:spacing w:after="0" w:before="460"/>
        <w:jc w:val="center"/>
      </w:pPr>
      <w:r>
        <w:rPr>
          <w:color w:val="595959"/>
          <w:sz w:val="20"/>
          <w:szCs w:val="20"/>
        </w:rPr>
        <w:t xml:space="preserve">Lerma, Atarasquillo, Estado de México</w:t>
      </w:r>
    </w:p>
    <w:p>
      <w:pPr>
        <w:spacing w:after="0" w:before="40"/>
        <w:jc w:val="center"/>
      </w:pPr>
      <w:r>
        <w:rPr>
          <w:color w:val="595959"/>
          <w:sz w:val="20"/>
          <w:szCs w:val="20"/>
        </w:rPr>
        <w:t xml:space="preserve">Junio 2026</w:t>
      </w:r>
    </w:p>
    <w:p>
      <w:r>
        <w:br w:type="page"/>
      </w:r>
    </w:p>
    <w:p>
      <w:pPr>
        <w:pStyle w:val="Heading1"/>
      </w:pPr>
      <w:r>
        <w:t xml:space="preserve">Índice</w:t>
      </w:r>
    </w:p>
    <w:sdt>
      <w:sdtPr>
        <w:alias w:val="Tabla de Contenido"/>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Introducción a la Mejora Continua del Servicio</w:t>
      </w:r>
    </w:p>
    <w:p>
      <w:pPr>
        <w:spacing w:after="120" w:line="276"/>
        <w:jc w:val="both"/>
      </w:pPr>
      <w:r>
        <w:rPr>
          <w:sz w:val="22"/>
          <w:szCs w:val="22"/>
        </w:rPr>
        <w:t xml:space="preserve">La </w:t>
      </w:r>
      <w:r>
        <w:rPr>
          <w:b/>
          <w:bCs/>
          <w:sz w:val="22"/>
          <w:szCs w:val="22"/>
        </w:rPr>
        <w:t xml:space="preserve">Mejora Continua del Servicio</w:t>
      </w:r>
      <w:r>
        <w:rPr>
          <w:sz w:val="22"/>
          <w:szCs w:val="22"/>
        </w:rPr>
        <w:t xml:space="preserve"> (CSI) representa el aprendizaje y la mejora. Continúa de forma permanente para crear y elevar el valor a través de mejoras y adiciones de funcionalidad, alineando y realineando los servicios de TI con las necesidades cambiantes del negocio. Se apoya en el ciclo de Deming (Planear–Hacer–Verificar–Actuar).</w:t>
      </w:r>
    </w:p>
    <w:p>
      <w:pPr>
        <w:spacing w:after="120" w:line="276"/>
        <w:jc w:val="both"/>
      </w:pPr>
      <w:r>
        <w:rPr>
          <w:sz w:val="22"/>
          <w:szCs w:val="22"/>
        </w:rPr>
        <w:t xml:space="preserve">En GymPro, la mejora continua es además un valor declarado: «el sistema evoluciona con retroalimentación real; cada sprint integra aprendizajes del ciclo anterior», siguiendo el principio ITIL de progreso iterativo con retroalimentación.</w:t>
      </w:r>
    </w:p>
    <w:p>
      <w:pPr>
        <w:spacing w:after="40" w:line="276"/>
        <w:jc w:val="both"/>
      </w:pPr>
      <w:r>
        <w:rPr>
          <w:b/>
          <w:bCs/>
          <w:sz w:val="22"/>
          <w:szCs w:val="22"/>
        </w:rPr>
        <w:t xml:space="preserve">Objetivos principales de la fase:</w:t>
      </w:r>
    </w:p>
    <w:p>
      <w:pPr>
        <w:pStyle w:val="ListParagraph"/>
        <w:numPr>
          <w:ilvl w:val="0"/>
          <w:numId w:val="2"/>
        </w:numPr>
        <w:spacing w:after="50" w:line="264"/>
      </w:pPr>
      <w:r>
        <w:rPr>
          <w:sz w:val="21"/>
          <w:szCs w:val="21"/>
        </w:rPr>
        <w:t xml:space="preserve">Identificar oportunidades de mejora en servicios y procesos.</w:t>
      </w:r>
    </w:p>
    <w:p>
      <w:pPr>
        <w:pStyle w:val="ListParagraph"/>
        <w:numPr>
          <w:ilvl w:val="0"/>
          <w:numId w:val="2"/>
        </w:numPr>
        <w:spacing w:after="50" w:line="264"/>
      </w:pPr>
      <w:r>
        <w:rPr>
          <w:sz w:val="21"/>
          <w:szCs w:val="21"/>
        </w:rPr>
        <w:t xml:space="preserve">Medir el desempeño y compararlo con los objetivos.</w:t>
      </w:r>
    </w:p>
    <w:p>
      <w:pPr>
        <w:pStyle w:val="ListParagraph"/>
        <w:numPr>
          <w:ilvl w:val="0"/>
          <w:numId w:val="2"/>
        </w:numPr>
        <w:spacing w:after="50" w:line="264"/>
      </w:pPr>
      <w:r>
        <w:rPr>
          <w:sz w:val="21"/>
          <w:szCs w:val="21"/>
        </w:rPr>
        <w:t xml:space="preserve">Priorizar e implementar mejoras que aporten valor.</w:t>
      </w:r>
    </w:p>
    <w:p>
      <w:pPr>
        <w:pStyle w:val="ListParagraph"/>
        <w:numPr>
          <w:ilvl w:val="0"/>
          <w:numId w:val="2"/>
        </w:numPr>
        <w:spacing w:after="50" w:line="264"/>
      </w:pPr>
      <w:r>
        <w:rPr>
          <w:sz w:val="21"/>
          <w:szCs w:val="21"/>
        </w:rPr>
        <w:t xml:space="preserve">Institucionalizar el aprendizaje del equipo.</w:t>
      </w:r>
    </w:p>
    <w:p>
      <w:pPr>
        <w:pStyle w:val="Heading1"/>
      </w:pPr>
      <w:r>
        <w:t xml:space="preserve">2. GymPro en el contexto de esta fase</w:t>
      </w:r>
    </w:p>
    <w:p>
      <w:pPr>
        <w:spacing w:after="120" w:line="276"/>
        <w:jc w:val="both"/>
      </w:pPr>
      <w:r>
        <w:rPr>
          <w:sz w:val="22"/>
          <w:szCs w:val="22"/>
        </w:rPr>
        <w:t xml:space="preserve">GymPro aplica CSI tanto al producto como al proceso: las métricas de uso, la analítica y la retroalimentación de los usuarios alimentan el backlog de cada sprint. El registro de mejoras (CSI Register) se materializa en el backlog y en los documentos de sprint, donde cada aprendizaje se convierte en una acción concreta.</w:t>
      </w:r>
    </w:p>
    <w:p>
      <w:pPr>
        <w:spacing w:after="120" w:line="276"/>
        <w:jc w:val="both"/>
      </w:pPr>
      <w:r>
        <w:rPr>
          <w:sz w:val="22"/>
          <w:szCs w:val="22"/>
        </w:rPr>
        <w:t xml:space="preserve">Ejemplos vividos en el proyecto —la migración del motor de IA por latencia, la corrección de raíz de la importación de recetas, el ajuste de zona horaria en el chat— ilustran el ciclo de medir, aprender y mejorar de forma continua.</w:t>
      </w:r>
    </w:p>
    <w:p>
      <w:pPr>
        <w:pStyle w:val="Heading1"/>
      </w:pPr>
      <w:r>
        <w:t xml:space="preserve">3. El Proceso de Mejora en Siete Pasos</w:t>
      </w:r>
    </w:p>
    <w:p>
      <w:pPr>
        <w:pStyle w:val="Heading2"/>
      </w:pPr>
      <w:r>
        <w:t xml:space="preserve">3.1 Paso 1 — Identificar la estrategia de mejora</w:t>
      </w:r>
    </w:p>
    <w:p>
      <w:pPr>
        <w:spacing w:after="120" w:line="276"/>
        <w:jc w:val="both"/>
      </w:pPr>
      <w:r>
        <w:rPr>
          <w:b/>
          <w:bCs/>
          <w:sz w:val="22"/>
          <w:szCs w:val="22"/>
        </w:rPr>
        <w:t xml:space="preserve">Definición (ITIL). </w:t>
      </w:r>
      <w:r>
        <w:rPr>
          <w:sz w:val="22"/>
          <w:szCs w:val="22"/>
        </w:rPr>
        <w:t xml:space="preserve">Definir qué se quiere mejorar a partir de la visión, los objetivos del negocio y los requisitos, estableciendo el alcance de la mejora.</w:t>
      </w:r>
    </w:p>
    <w:p>
      <w:pPr>
        <w:spacing w:after="120" w:line="276"/>
        <w:jc w:val="both"/>
      </w:pPr>
      <w:r>
        <w:rPr>
          <w:b/>
          <w:bCs/>
          <w:sz w:val="22"/>
          <w:szCs w:val="22"/>
        </w:rPr>
        <w:t xml:space="preserve">Aplicación en GymPro. </w:t>
      </w:r>
      <w:r>
        <w:rPr>
          <w:sz w:val="22"/>
          <w:szCs w:val="22"/>
        </w:rPr>
        <w:t xml:space="preserve">GymPro parte de su visión (ser plataforma de referencia) y de sus KPI (adopción, disponibilidad, NPS) para decidir qué mejorar en cada ciclo: por ejemplo, elevar la retención mediante predicción de cancelaciones, o mejorar la experiencia de importación de planes.</w:t>
      </w:r>
    </w:p>
    <w:p>
      <w:pPr>
        <w:spacing w:after="40" w:line="276"/>
        <w:jc w:val="both"/>
      </w:pPr>
      <w:r>
        <w:rPr>
          <w:b/>
          <w:bCs/>
          <w:sz w:val="22"/>
          <w:szCs w:val="22"/>
        </w:rPr>
        <w:t xml:space="preserve">Evidencia / artefactos:</w:t>
      </w:r>
    </w:p>
    <w:p>
      <w:pPr>
        <w:pStyle w:val="ListParagraph"/>
        <w:numPr>
          <w:ilvl w:val="0"/>
          <w:numId w:val="2"/>
        </w:numPr>
        <w:spacing w:after="50" w:line="264"/>
      </w:pPr>
      <w:r>
        <w:rPr>
          <w:sz w:val="21"/>
          <w:szCs w:val="21"/>
        </w:rPr>
        <w:t xml:space="preserve">Visión, objetivos y KPI como guía de las mejoras.</w:t>
      </w:r>
    </w:p>
    <w:p>
      <w:pPr>
        <w:pStyle w:val="ListParagraph"/>
        <w:numPr>
          <w:ilvl w:val="0"/>
          <w:numId w:val="2"/>
        </w:numPr>
        <w:spacing w:after="50" w:line="264"/>
      </w:pPr>
      <w:r>
        <w:rPr>
          <w:sz w:val="21"/>
          <w:szCs w:val="21"/>
        </w:rPr>
        <w:t xml:space="preserve">Retroalimentación de la encuesta de validación como entrada estratégica.</w:t>
      </w:r>
    </w:p>
    <w:p>
      <w:pPr>
        <w:pStyle w:val="Heading2"/>
      </w:pPr>
      <w:r>
        <w:t xml:space="preserve">3.2 Paso 2 — Definir qué se medirá</w:t>
      </w:r>
    </w:p>
    <w:p>
      <w:pPr>
        <w:spacing w:after="120" w:line="276"/>
        <w:jc w:val="both"/>
      </w:pPr>
      <w:r>
        <w:rPr>
          <w:b/>
          <w:bCs/>
          <w:sz w:val="22"/>
          <w:szCs w:val="22"/>
        </w:rPr>
        <w:t xml:space="preserve">Definición (ITIL). </w:t>
      </w:r>
      <w:r>
        <w:rPr>
          <w:sz w:val="22"/>
          <w:szCs w:val="22"/>
        </w:rPr>
        <w:t xml:space="preserve">Identificar las métricas y mediciones necesarias, alineadas con los objetivos; definir el estado ideal de medición.</w:t>
      </w:r>
    </w:p>
    <w:p>
      <w:pPr>
        <w:spacing w:after="120" w:line="276"/>
        <w:jc w:val="both"/>
      </w:pPr>
      <w:r>
        <w:rPr>
          <w:b/>
          <w:bCs/>
          <w:sz w:val="22"/>
          <w:szCs w:val="22"/>
        </w:rPr>
        <w:t xml:space="preserve">Aplicación en GymPro. </w:t>
      </w:r>
      <w:r>
        <w:rPr>
          <w:sz w:val="22"/>
          <w:szCs w:val="22"/>
        </w:rPr>
        <w:t xml:space="preserve">GymPro define métricas alineadas a sus objetivos: tasa de adopción, uptime, NPS, integridad de respaldos, y métricas de modelos (R², AUC, silueta). Estas definiciones determinan qué instrumentar.</w:t>
      </w:r>
    </w:p>
    <w:p>
      <w:pPr>
        <w:spacing w:after="40" w:line="276"/>
        <w:jc w:val="both"/>
      </w:pPr>
      <w:r>
        <w:rPr>
          <w:b/>
          <w:bCs/>
          <w:sz w:val="22"/>
          <w:szCs w:val="22"/>
        </w:rPr>
        <w:t xml:space="preserve">Evidencia / artefactos:</w:t>
      </w:r>
    </w:p>
    <w:p>
      <w:pPr>
        <w:pStyle w:val="ListParagraph"/>
        <w:numPr>
          <w:ilvl w:val="0"/>
          <w:numId w:val="2"/>
        </w:numPr>
        <w:spacing w:after="50" w:line="264"/>
      </w:pPr>
      <w:r>
        <w:rPr>
          <w:sz w:val="21"/>
          <w:szCs w:val="21"/>
        </w:rPr>
        <w:t xml:space="preserve">KPI definidos (adopción ≥ 70 %, uptime ≥ 99.5 %, NPS ≥ 4.0).</w:t>
      </w:r>
    </w:p>
    <w:p>
      <w:pPr>
        <w:pStyle w:val="ListParagraph"/>
        <w:numPr>
          <w:ilvl w:val="0"/>
          <w:numId w:val="2"/>
        </w:numPr>
        <w:spacing w:after="50" w:line="264"/>
      </w:pPr>
      <w:r>
        <w:rPr>
          <w:sz w:val="21"/>
          <w:szCs w:val="21"/>
        </w:rPr>
        <w:t xml:space="preserve">Métricas técnicas de los modelos de IA (R², ROC-AUC, silhouette).</w:t>
      </w:r>
    </w:p>
    <w:p>
      <w:pPr>
        <w:pStyle w:val="Heading2"/>
      </w:pPr>
      <w:r>
        <w:t xml:space="preserve">3.3 Paso 3 — Recopilar los datos</w:t>
      </w:r>
    </w:p>
    <w:p>
      <w:pPr>
        <w:spacing w:after="120" w:line="276"/>
        <w:jc w:val="both"/>
      </w:pPr>
      <w:r>
        <w:rPr>
          <w:b/>
          <w:bCs/>
          <w:sz w:val="22"/>
          <w:szCs w:val="22"/>
        </w:rPr>
        <w:t xml:space="preserve">Definición (ITIL). </w:t>
      </w:r>
      <w:r>
        <w:rPr>
          <w:sz w:val="22"/>
          <w:szCs w:val="22"/>
        </w:rPr>
        <w:t xml:space="preserve">Reunir los datos según lo definido, asegurando su calidad; las herramientas de monitoreo automatizan esta recolección.</w:t>
      </w:r>
    </w:p>
    <w:p>
      <w:pPr>
        <w:spacing w:after="120" w:line="276"/>
        <w:jc w:val="both"/>
      </w:pPr>
      <w:r>
        <w:rPr>
          <w:b/>
          <w:bCs/>
          <w:sz w:val="22"/>
          <w:szCs w:val="22"/>
        </w:rPr>
        <w:t xml:space="preserve">Aplicación en GymPro. </w:t>
      </w:r>
      <w:r>
        <w:rPr>
          <w:sz w:val="22"/>
          <w:szCs w:val="22"/>
        </w:rPr>
        <w:t xml:space="preserve">GymPro recopila datos de forma automatizada: logs, health checks, métricas de uso, asistencias, pagos y progreso físico almacenados en PostgreSQL y MongoDB, además de las respuestas de la encuesta de validación.</w:t>
      </w:r>
    </w:p>
    <w:p>
      <w:pPr>
        <w:spacing w:after="40" w:line="276"/>
        <w:jc w:val="both"/>
      </w:pPr>
      <w:r>
        <w:rPr>
          <w:b/>
          <w:bCs/>
          <w:sz w:val="22"/>
          <w:szCs w:val="22"/>
        </w:rPr>
        <w:t xml:space="preserve">Evidencia / artefactos:</w:t>
      </w:r>
    </w:p>
    <w:p>
      <w:pPr>
        <w:pStyle w:val="ListParagraph"/>
        <w:numPr>
          <w:ilvl w:val="0"/>
          <w:numId w:val="2"/>
        </w:numPr>
        <w:spacing w:after="50" w:line="264"/>
      </w:pPr>
      <w:r>
        <w:rPr>
          <w:sz w:val="21"/>
          <w:szCs w:val="21"/>
        </w:rPr>
        <w:t xml:space="preserve">Colecciones analíticas (asistencias, pagos, progreso_fisico) como fuente de datos.</w:t>
      </w:r>
    </w:p>
    <w:p>
      <w:pPr>
        <w:pStyle w:val="ListParagraph"/>
        <w:numPr>
          <w:ilvl w:val="0"/>
          <w:numId w:val="2"/>
        </w:numPr>
        <w:spacing w:after="50" w:line="264"/>
      </w:pPr>
      <w:r>
        <w:rPr>
          <w:sz w:val="21"/>
          <w:szCs w:val="21"/>
        </w:rPr>
        <w:t xml:space="preserve">Logs y health checks como datos operativos.</w:t>
      </w:r>
    </w:p>
    <w:p>
      <w:pPr>
        <w:pStyle w:val="ListParagraph"/>
        <w:numPr>
          <w:ilvl w:val="0"/>
          <w:numId w:val="2"/>
        </w:numPr>
        <w:spacing w:after="50" w:line="264"/>
      </w:pPr>
      <w:r>
        <w:rPr>
          <w:sz w:val="21"/>
          <w:szCs w:val="21"/>
        </w:rPr>
        <w:t xml:space="preserve">Encuesta de validación de mercado (datos cualitativos y cuantitativos).</w:t>
      </w:r>
    </w:p>
    <w:p>
      <w:pPr>
        <w:pStyle w:val="Heading2"/>
      </w:pPr>
      <w:r>
        <w:t xml:space="preserve">3.4 Paso 4 — Procesar los datos</w:t>
      </w:r>
    </w:p>
    <w:p>
      <w:pPr>
        <w:spacing w:after="120" w:line="276"/>
        <w:jc w:val="both"/>
      </w:pPr>
      <w:r>
        <w:rPr>
          <w:b/>
          <w:bCs/>
          <w:sz w:val="22"/>
          <w:szCs w:val="22"/>
        </w:rPr>
        <w:t xml:space="preserve">Definición (ITIL). </w:t>
      </w:r>
      <w:r>
        <w:rPr>
          <w:sz w:val="22"/>
          <w:szCs w:val="22"/>
        </w:rPr>
        <w:t xml:space="preserve">Transformar los datos crudos en información alineada con los factores críticos de éxito y los KPI, dándoles formato y contexto.</w:t>
      </w:r>
    </w:p>
    <w:p>
      <w:pPr>
        <w:spacing w:after="120" w:line="276"/>
        <w:jc w:val="both"/>
      </w:pPr>
      <w:r>
        <w:rPr>
          <w:b/>
          <w:bCs/>
          <w:sz w:val="22"/>
          <w:szCs w:val="22"/>
        </w:rPr>
        <w:t xml:space="preserve">Aplicación en GymPro. </w:t>
      </w:r>
      <w:r>
        <w:rPr>
          <w:sz w:val="22"/>
          <w:szCs w:val="22"/>
        </w:rPr>
        <w:t xml:space="preserve">GymPro procesa los datos con su pipeline ETL/ELT y con agregaciones tipo MapReduce sobre MongoDB, limpiando, normalizando y consolidando la información antes de analizarla.</w:t>
      </w:r>
    </w:p>
    <w:p>
      <w:pPr>
        <w:spacing w:after="40" w:line="276"/>
        <w:jc w:val="both"/>
      </w:pPr>
      <w:r>
        <w:rPr>
          <w:b/>
          <w:bCs/>
          <w:sz w:val="22"/>
          <w:szCs w:val="22"/>
        </w:rPr>
        <w:t xml:space="preserve">Evidencia / artefactos:</w:t>
      </w:r>
    </w:p>
    <w:p>
      <w:pPr>
        <w:pStyle w:val="ListParagraph"/>
        <w:numPr>
          <w:ilvl w:val="0"/>
          <w:numId w:val="2"/>
        </w:numPr>
        <w:spacing w:after="50" w:line="264"/>
      </w:pPr>
      <w:r>
        <w:rPr>
          <w:sz w:val="21"/>
          <w:szCs w:val="21"/>
        </w:rPr>
        <w:t xml:space="preserve">Pipeline ETL/ELT (parser determinístico + LLM Ollama) y limpieza de datos.</w:t>
      </w:r>
    </w:p>
    <w:p>
      <w:pPr>
        <w:pStyle w:val="ListParagraph"/>
        <w:numPr>
          <w:ilvl w:val="0"/>
          <w:numId w:val="2"/>
        </w:numPr>
        <w:spacing w:after="50" w:line="264"/>
      </w:pPr>
      <w:r>
        <w:rPr>
          <w:sz w:val="21"/>
          <w:szCs w:val="21"/>
        </w:rPr>
        <w:t xml:space="preserve">Agregaciones MapReduce de ingresos y asistencia.</w:t>
      </w:r>
    </w:p>
    <w:p>
      <w:pPr>
        <w:pStyle w:val="ListParagraph"/>
        <w:numPr>
          <w:ilvl w:val="0"/>
          <w:numId w:val="2"/>
        </w:numPr>
        <w:spacing w:after="50" w:line="264"/>
      </w:pPr>
      <w:r>
        <w:rPr>
          <w:sz w:val="21"/>
          <w:szCs w:val="21"/>
        </w:rPr>
        <w:t xml:space="preserve">Caché de resultados procesados con TTL.</w:t>
      </w:r>
    </w:p>
    <w:p>
      <w:pPr>
        <w:pStyle w:val="Heading2"/>
      </w:pPr>
      <w:r>
        <w:t xml:space="preserve">3.5 Paso 5 — Analizar la información y los datos</w:t>
      </w:r>
    </w:p>
    <w:p>
      <w:pPr>
        <w:spacing w:after="120" w:line="276"/>
        <w:jc w:val="both"/>
      </w:pPr>
      <w:r>
        <w:rPr>
          <w:b/>
          <w:bCs/>
          <w:sz w:val="22"/>
          <w:szCs w:val="22"/>
        </w:rPr>
        <w:t xml:space="preserve">Definición (ITIL). </w:t>
      </w:r>
      <w:r>
        <w:rPr>
          <w:sz w:val="22"/>
          <w:szCs w:val="22"/>
        </w:rPr>
        <w:t xml:space="preserve">Convertir la información en conocimiento, identificando tendencias, brechas e impactos respecto a los objetivos.</w:t>
      </w:r>
    </w:p>
    <w:p>
      <w:pPr>
        <w:spacing w:after="120" w:line="276"/>
        <w:jc w:val="both"/>
      </w:pPr>
      <w:r>
        <w:rPr>
          <w:b/>
          <w:bCs/>
          <w:sz w:val="22"/>
          <w:szCs w:val="22"/>
        </w:rPr>
        <w:t xml:space="preserve">Aplicación en GymPro. </w:t>
      </w:r>
      <w:r>
        <w:rPr>
          <w:sz w:val="22"/>
          <w:szCs w:val="22"/>
        </w:rPr>
        <w:t xml:space="preserve">GymPro analiza con modelos de machine learning y visualización: regresión para tendencia de peso, Random Forest para riesgo de cancelación, K-Means para segmentación y NearestNeighbors para recomendación, traduciendo los números en conocimiento accionable.</w:t>
      </w:r>
    </w:p>
    <w:p>
      <w:pPr>
        <w:spacing w:after="40" w:line="276"/>
        <w:jc w:val="both"/>
      </w:pPr>
      <w:r>
        <w:rPr>
          <w:b/>
          <w:bCs/>
          <w:sz w:val="22"/>
          <w:szCs w:val="22"/>
        </w:rPr>
        <w:t xml:space="preserve">Evidencia / artefactos:</w:t>
      </w:r>
    </w:p>
    <w:p>
      <w:pPr>
        <w:pStyle w:val="ListParagraph"/>
        <w:numPr>
          <w:ilvl w:val="0"/>
          <w:numId w:val="2"/>
        </w:numPr>
        <w:spacing w:after="50" w:line="264"/>
      </w:pPr>
      <w:r>
        <w:rPr>
          <w:sz w:val="21"/>
          <w:szCs w:val="21"/>
        </w:rPr>
        <w:t xml:space="preserve">Modelos supervisados y no supervisados sobre los datos del gimnasio.</w:t>
      </w:r>
    </w:p>
    <w:p>
      <w:pPr>
        <w:pStyle w:val="ListParagraph"/>
        <w:numPr>
          <w:ilvl w:val="0"/>
          <w:numId w:val="2"/>
        </w:numPr>
        <w:spacing w:after="50" w:line="264"/>
      </w:pPr>
      <w:r>
        <w:rPr>
          <w:sz w:val="21"/>
          <w:szCs w:val="21"/>
        </w:rPr>
        <w:t xml:space="preserve">Interpretación textual de métricas (p. ej. interpretación del R²).</w:t>
      </w:r>
    </w:p>
    <w:p>
      <w:pPr>
        <w:pStyle w:val="ListParagraph"/>
        <w:numPr>
          <w:ilvl w:val="0"/>
          <w:numId w:val="2"/>
        </w:numPr>
        <w:spacing w:after="50" w:line="264"/>
      </w:pPr>
      <w:r>
        <w:rPr>
          <w:sz w:val="21"/>
          <w:szCs w:val="21"/>
        </w:rPr>
        <w:t xml:space="preserve">Identificación de miembros en riesgo y de segmentos de la base.</w:t>
      </w:r>
    </w:p>
    <w:p>
      <w:pPr>
        <w:pStyle w:val="Heading2"/>
      </w:pPr>
      <w:r>
        <w:t xml:space="preserve">3.6 Paso 6 — Presentar y usar la información</w:t>
      </w:r>
    </w:p>
    <w:p>
      <w:pPr>
        <w:spacing w:after="120" w:line="276"/>
        <w:jc w:val="both"/>
      </w:pPr>
      <w:r>
        <w:rPr>
          <w:b/>
          <w:bCs/>
          <w:sz w:val="22"/>
          <w:szCs w:val="22"/>
        </w:rPr>
        <w:t xml:space="preserve">Definición (ITIL). </w:t>
      </w:r>
      <w:r>
        <w:rPr>
          <w:sz w:val="22"/>
          <w:szCs w:val="22"/>
        </w:rPr>
        <w:t xml:space="preserve">Comunicar el conocimiento a los interesados en un formato y nivel adecuados, para apoyar la toma de decisiones.</w:t>
      </w:r>
    </w:p>
    <w:p>
      <w:pPr>
        <w:spacing w:after="120" w:line="276"/>
        <w:jc w:val="both"/>
      </w:pPr>
      <w:r>
        <w:rPr>
          <w:b/>
          <w:bCs/>
          <w:sz w:val="22"/>
          <w:szCs w:val="22"/>
        </w:rPr>
        <w:t xml:space="preserve">Aplicación en GymPro. </w:t>
      </w:r>
      <w:r>
        <w:rPr>
          <w:sz w:val="22"/>
          <w:szCs w:val="22"/>
        </w:rPr>
        <w:t xml:space="preserve">GymPro presenta el conocimiento en dashboards interactivos (Recharts), reportes automáticos descargables (CSV/PDF) y una app de exploración (Streamlit), adaptando el detalle a cada rol (Owner, entrenador, miembro).</w:t>
      </w:r>
    </w:p>
    <w:p>
      <w:pPr>
        <w:spacing w:after="40" w:line="276"/>
        <w:jc w:val="both"/>
      </w:pPr>
      <w:r>
        <w:rPr>
          <w:b/>
          <w:bCs/>
          <w:sz w:val="22"/>
          <w:szCs w:val="22"/>
        </w:rPr>
        <w:t xml:space="preserve">Evidencia / artefactos:</w:t>
      </w:r>
    </w:p>
    <w:p>
      <w:pPr>
        <w:pStyle w:val="ListParagraph"/>
        <w:numPr>
          <w:ilvl w:val="0"/>
          <w:numId w:val="2"/>
        </w:numPr>
        <w:spacing w:after="50" w:line="264"/>
      </w:pPr>
      <w:r>
        <w:rPr>
          <w:sz w:val="21"/>
          <w:szCs w:val="21"/>
        </w:rPr>
        <w:t xml:space="preserve">Dashboards por rol con gráficos interactivos.</w:t>
      </w:r>
    </w:p>
    <w:p>
      <w:pPr>
        <w:pStyle w:val="ListParagraph"/>
        <w:numPr>
          <w:ilvl w:val="0"/>
          <w:numId w:val="2"/>
        </w:numPr>
        <w:spacing w:after="50" w:line="264"/>
      </w:pPr>
      <w:r>
        <w:rPr>
          <w:sz w:val="21"/>
          <w:szCs w:val="21"/>
        </w:rPr>
        <w:t xml:space="preserve">Reportes automáticos CSV/PDF (mapreduce, kmeans, miembros, cancelaciones).</w:t>
      </w:r>
    </w:p>
    <w:p>
      <w:pPr>
        <w:pStyle w:val="ListParagraph"/>
        <w:numPr>
          <w:ilvl w:val="0"/>
          <w:numId w:val="2"/>
        </w:numPr>
        <w:spacing w:after="50" w:line="264"/>
      </w:pPr>
      <w:r>
        <w:rPr>
          <w:sz w:val="21"/>
          <w:szCs w:val="21"/>
        </w:rPr>
        <w:t xml:space="preserve">Visualización exploratoria con Streamlit.</w:t>
      </w:r>
    </w:p>
    <w:p>
      <w:pPr>
        <w:pStyle w:val="Heading2"/>
      </w:pPr>
      <w:r>
        <w:t xml:space="preserve">3.7 Paso 7 — Implementar la mejora</w:t>
      </w:r>
    </w:p>
    <w:p>
      <w:pPr>
        <w:spacing w:after="120" w:line="276"/>
        <w:jc w:val="both"/>
      </w:pPr>
      <w:r>
        <w:rPr>
          <w:b/>
          <w:bCs/>
          <w:sz w:val="22"/>
          <w:szCs w:val="22"/>
        </w:rPr>
        <w:t xml:space="preserve">Definición (ITIL). </w:t>
      </w:r>
      <w:r>
        <w:rPr>
          <w:sz w:val="22"/>
          <w:szCs w:val="22"/>
        </w:rPr>
        <w:t xml:space="preserve">Usar el conocimiento para corregir, mejorar u optimizar los servicios; la mejora se convierte en la nueva línea base y el ciclo recomienza.</w:t>
      </w:r>
    </w:p>
    <w:p>
      <w:pPr>
        <w:spacing w:after="120" w:line="276"/>
        <w:jc w:val="both"/>
      </w:pPr>
      <w:r>
        <w:rPr>
          <w:b/>
          <w:bCs/>
          <w:sz w:val="22"/>
          <w:szCs w:val="22"/>
        </w:rPr>
        <w:t xml:space="preserve">Aplicación en GymPro. </w:t>
      </w:r>
      <w:r>
        <w:rPr>
          <w:sz w:val="22"/>
          <w:szCs w:val="22"/>
        </w:rPr>
        <w:t xml:space="preserve">GymPro implementa las mejoras en el siguiente sprint y las convierte en la nueva línea base. Ejemplos reales: migrar el motor de IA para reducir latencia, corregir de raíz la importación de recetas y ajustar la zona horaria del chat; cada mejora reinicia el ciclo de los siete pasos.</w:t>
      </w:r>
    </w:p>
    <w:p>
      <w:pPr>
        <w:spacing w:after="40" w:line="276"/>
        <w:jc w:val="both"/>
      </w:pPr>
      <w:r>
        <w:rPr>
          <w:b/>
          <w:bCs/>
          <w:sz w:val="22"/>
          <w:szCs w:val="22"/>
        </w:rPr>
        <w:t xml:space="preserve">Evidencia / artefactos:</w:t>
      </w:r>
    </w:p>
    <w:p>
      <w:pPr>
        <w:pStyle w:val="ListParagraph"/>
        <w:numPr>
          <w:ilvl w:val="0"/>
          <w:numId w:val="2"/>
        </w:numPr>
        <w:spacing w:after="50" w:line="264"/>
      </w:pPr>
      <w:r>
        <w:rPr>
          <w:sz w:val="21"/>
          <w:szCs w:val="21"/>
        </w:rPr>
        <w:t xml:space="preserve">Mejoras integradas por sprint como nueva línea base.</w:t>
      </w:r>
    </w:p>
    <w:p>
      <w:pPr>
        <w:pStyle w:val="ListParagraph"/>
        <w:numPr>
          <w:ilvl w:val="0"/>
          <w:numId w:val="2"/>
        </w:numPr>
        <w:spacing w:after="50" w:line="264"/>
      </w:pPr>
      <w:r>
        <w:rPr>
          <w:sz w:val="21"/>
          <w:szCs w:val="21"/>
        </w:rPr>
        <w:t xml:space="preserve">Correcciones de raíz documentadas (importación, zona horaria).</w:t>
      </w:r>
    </w:p>
    <w:p>
      <w:pPr>
        <w:pStyle w:val="ListParagraph"/>
        <w:numPr>
          <w:ilvl w:val="0"/>
          <w:numId w:val="2"/>
        </w:numPr>
        <w:spacing w:after="50" w:line="264"/>
      </w:pPr>
      <w:r>
        <w:rPr>
          <w:sz w:val="21"/>
          <w:szCs w:val="21"/>
        </w:rPr>
        <w:t xml:space="preserve">Ciclo PHVA (Deming) aplicado de forma iterativa.</w:t>
      </w:r>
    </w:p>
    <w:p>
      <w:pPr>
        <w:pStyle w:val="Heading1"/>
      </w:pPr>
      <w:r>
        <w:t xml:space="preserve">4. Registro de mejoras (CSI Register) — ejemplos</w:t>
      </w:r>
    </w:p>
    <w:p>
      <w:pPr>
        <w:spacing w:after="120" w:line="276"/>
        <w:jc w:val="both"/>
      </w:pPr>
      <w:r>
        <w:rPr>
          <w:sz w:val="22"/>
          <w:szCs w:val="22"/>
        </w:rPr>
        <w:t xml:space="preserve">Muestra del registro de mejora continua de GymPro derivado de mediciones y aprendizajes: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200"/>
        <w:gridCol w:w="3260"/>
      </w:tblGrid>
      <w:tr>
        <w:trPr>
          <w:tblHeader/>
        </w:trPr>
        <w:tc>
          <w:tcPr>
            <w:tcW w:type="dxa" w:w="2900"/>
            <w:tcBorders>
              <w:top w:val="single" w:color="BFBFBF" w:sz="1"/>
              <w:left w:val="single" w:color="BFBFBF" w:sz="1"/>
              <w:bottom w:val="single" w:color="BFBFBF" w:sz="1"/>
              <w:right w:val="single" w:color="BFBFBF" w:sz="1"/>
            </w:tcBorders>
            <w:shd w:fill="1F4E79" w:val="clear"/>
            <w:tcMar>
              <w:top w:type="dxa" w:w="50"/>
              <w:left w:type="dxa" w:w="110"/>
              <w:bottom w:type="dxa" w:w="50"/>
              <w:right w:type="dxa" w:w="110"/>
            </w:tcMar>
          </w:tcPr>
          <w:p>
            <w:r>
              <w:rPr>
                <w:b/>
                <w:bCs/>
                <w:color w:val="FFFFFF"/>
                <w:sz w:val="18"/>
                <w:szCs w:val="18"/>
              </w:rPr>
              <w:t xml:space="preserve">Oportunidad de mejora</w:t>
            </w:r>
          </w:p>
        </w:tc>
        <w:tc>
          <w:tcPr>
            <w:tcW w:type="dxa" w:w="3200"/>
            <w:tcBorders>
              <w:top w:val="single" w:color="BFBFBF" w:sz="1"/>
              <w:left w:val="single" w:color="BFBFBF" w:sz="1"/>
              <w:bottom w:val="single" w:color="BFBFBF" w:sz="1"/>
              <w:right w:val="single" w:color="BFBFBF" w:sz="1"/>
            </w:tcBorders>
            <w:shd w:fill="1F4E79" w:val="clear"/>
            <w:tcMar>
              <w:top w:type="dxa" w:w="50"/>
              <w:left w:type="dxa" w:w="110"/>
              <w:bottom w:type="dxa" w:w="50"/>
              <w:right w:type="dxa" w:w="110"/>
            </w:tcMar>
          </w:tcPr>
          <w:p>
            <w:r>
              <w:rPr>
                <w:b/>
                <w:bCs/>
                <w:color w:val="FFFFFF"/>
                <w:sz w:val="18"/>
                <w:szCs w:val="18"/>
              </w:rPr>
              <w:t xml:space="preserve">Origen (medición/aprendizaje)</w:t>
            </w:r>
          </w:p>
        </w:tc>
        <w:tc>
          <w:tcPr>
            <w:tcW w:type="dxa" w:w="3260"/>
            <w:tcBorders>
              <w:top w:val="single" w:color="BFBFBF" w:sz="1"/>
              <w:left w:val="single" w:color="BFBFBF" w:sz="1"/>
              <w:bottom w:val="single" w:color="BFBFBF" w:sz="1"/>
              <w:right w:val="single" w:color="BFBFBF" w:sz="1"/>
            </w:tcBorders>
            <w:shd w:fill="1F4E79" w:val="clear"/>
            <w:tcMar>
              <w:top w:type="dxa" w:w="50"/>
              <w:left w:type="dxa" w:w="110"/>
              <w:bottom w:type="dxa" w:w="50"/>
              <w:right w:type="dxa" w:w="110"/>
            </w:tcMar>
          </w:tcPr>
          <w:p>
            <w:r>
              <w:rPr>
                <w:b/>
                <w:bCs/>
                <w:color w:val="FFFFFF"/>
                <w:sz w:val="18"/>
                <w:szCs w:val="18"/>
              </w:rPr>
              <w:t xml:space="preserve">Acción / resultado</w:t>
            </w:r>
          </w:p>
        </w:tc>
      </w:tr>
      <w:tr>
        <w:tc>
          <w:tcPr>
            <w:tcW w:type="dxa" w:w="29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tcPr>
          <w:p>
            <w:r>
              <w:rPr>
                <w:sz w:val="18"/>
                <w:szCs w:val="18"/>
              </w:rPr>
              <w:t xml:space="preserve">Reducir latencia de IA</w:t>
            </w:r>
          </w:p>
        </w:tc>
        <w:tc>
          <w:tcPr>
            <w:tcW w:type="dxa" w:w="32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tcPr>
          <w:p>
            <w:r>
              <w:rPr>
                <w:sz w:val="18"/>
                <w:szCs w:val="18"/>
              </w:rPr>
              <w:t xml:space="preserve">Tiempos altos con PySpark/JVM</w:t>
            </w:r>
          </w:p>
        </w:tc>
        <w:tc>
          <w:tcPr>
            <w:tcW w:type="dxa" w:w="326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tcPr>
          <w:p>
            <w:r>
              <w:rPr>
                <w:sz w:val="18"/>
                <w:szCs w:val="18"/>
              </w:rPr>
              <w:t xml:space="preserve">Migración a scikit-learn (&lt; 1 s)</w:t>
            </w:r>
          </w:p>
        </w:tc>
      </w:tr>
      <w:tr>
        <w:tc>
          <w:tcPr>
            <w:tcW w:type="dxa" w:w="2900"/>
            <w:tcBorders>
              <w:top w:val="single" w:color="BFBFBF" w:sz="1"/>
              <w:left w:val="single" w:color="BFBFBF" w:sz="1"/>
              <w:bottom w:val="single" w:color="BFBFBF" w:sz="1"/>
              <w:right w:val="single" w:color="BFBFBF" w:sz="1"/>
            </w:tcBorders>
            <w:shd w:fill="EEF3F9" w:val="clear"/>
            <w:tcMar>
              <w:top w:type="dxa" w:w="50"/>
              <w:left w:type="dxa" w:w="110"/>
              <w:bottom w:type="dxa" w:w="50"/>
              <w:right w:type="dxa" w:w="110"/>
            </w:tcMar>
          </w:tcPr>
          <w:p>
            <w:r>
              <w:rPr>
                <w:sz w:val="18"/>
                <w:szCs w:val="18"/>
              </w:rPr>
              <w:t xml:space="preserve">Importación de recetas</w:t>
            </w:r>
          </w:p>
        </w:tc>
        <w:tc>
          <w:tcPr>
            <w:tcW w:type="dxa" w:w="3200"/>
            <w:tcBorders>
              <w:top w:val="single" w:color="BFBFBF" w:sz="1"/>
              <w:left w:val="single" w:color="BFBFBF" w:sz="1"/>
              <w:bottom w:val="single" w:color="BFBFBF" w:sz="1"/>
              <w:right w:val="single" w:color="BFBFBF" w:sz="1"/>
            </w:tcBorders>
            <w:shd w:fill="EEF3F9" w:val="clear"/>
            <w:tcMar>
              <w:top w:type="dxa" w:w="50"/>
              <w:left w:type="dxa" w:w="110"/>
              <w:bottom w:type="dxa" w:w="50"/>
              <w:right w:type="dxa" w:w="110"/>
            </w:tcMar>
          </w:tcPr>
          <w:p>
            <w:r>
              <w:rPr>
                <w:sz w:val="18"/>
                <w:szCs w:val="18"/>
              </w:rPr>
              <w:t xml:space="preserve">Incidente: no se creaban recetas</w:t>
            </w:r>
          </w:p>
        </w:tc>
        <w:tc>
          <w:tcPr>
            <w:tcW w:type="dxa" w:w="3260"/>
            <w:tcBorders>
              <w:top w:val="single" w:color="BFBFBF" w:sz="1"/>
              <w:left w:val="single" w:color="BFBFBF" w:sz="1"/>
              <w:bottom w:val="single" w:color="BFBFBF" w:sz="1"/>
              <w:right w:val="single" w:color="BFBFBF" w:sz="1"/>
            </w:tcBorders>
            <w:shd w:fill="EEF3F9" w:val="clear"/>
            <w:tcMar>
              <w:top w:type="dxa" w:w="50"/>
              <w:left w:type="dxa" w:w="110"/>
              <w:bottom w:type="dxa" w:w="50"/>
              <w:right w:type="dxa" w:w="110"/>
            </w:tcMar>
          </w:tcPr>
          <w:p>
            <w:r>
              <w:rPr>
                <w:sz w:val="18"/>
                <w:szCs w:val="18"/>
              </w:rPr>
              <w:t xml:space="preserve">Reactivar soft-deleted (causa raíz)</w:t>
            </w:r>
          </w:p>
        </w:tc>
      </w:tr>
      <w:tr>
        <w:tc>
          <w:tcPr>
            <w:tcW w:type="dxa" w:w="29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tcPr>
          <w:p>
            <w:r>
              <w:rPr>
                <w:sz w:val="18"/>
                <w:szCs w:val="18"/>
              </w:rPr>
              <w:t xml:space="preserve">Hora correcta en el chat</w:t>
            </w:r>
          </w:p>
        </w:tc>
        <w:tc>
          <w:tcPr>
            <w:tcW w:type="dxa" w:w="320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tcPr>
          <w:p>
            <w:r>
              <w:rPr>
                <w:sz w:val="18"/>
                <w:szCs w:val="18"/>
              </w:rPr>
              <w:t xml:space="preserve">Hora desfasada 6 h</w:t>
            </w:r>
          </w:p>
        </w:tc>
        <w:tc>
          <w:tcPr>
            <w:tcW w:type="dxa" w:w="3260"/>
            <w:tcBorders>
              <w:top w:val="single" w:color="BFBFBF" w:sz="1"/>
              <w:left w:val="single" w:color="BFBFBF" w:sz="1"/>
              <w:bottom w:val="single" w:color="BFBFBF" w:sz="1"/>
              <w:right w:val="single" w:color="BFBFBF" w:sz="1"/>
            </w:tcBorders>
            <w:shd w:fill="FFFFFF" w:val="clear"/>
            <w:tcMar>
              <w:top w:type="dxa" w:w="50"/>
              <w:left w:type="dxa" w:w="110"/>
              <w:bottom w:type="dxa" w:w="50"/>
              <w:right w:type="dxa" w:w="110"/>
            </w:tcMar>
          </w:tcPr>
          <w:p>
            <w:r>
              <w:rPr>
                <w:sz w:val="18"/>
                <w:szCs w:val="18"/>
              </w:rPr>
              <w:t xml:space="preserve">Serializar datetimes como UTC</w:t>
            </w:r>
          </w:p>
        </w:tc>
      </w:tr>
      <w:tr>
        <w:tc>
          <w:tcPr>
            <w:tcW w:type="dxa" w:w="2900"/>
            <w:tcBorders>
              <w:top w:val="single" w:color="BFBFBF" w:sz="1"/>
              <w:left w:val="single" w:color="BFBFBF" w:sz="1"/>
              <w:bottom w:val="single" w:color="BFBFBF" w:sz="1"/>
              <w:right w:val="single" w:color="BFBFBF" w:sz="1"/>
            </w:tcBorders>
            <w:shd w:fill="EEF3F9" w:val="clear"/>
            <w:tcMar>
              <w:top w:type="dxa" w:w="50"/>
              <w:left w:type="dxa" w:w="110"/>
              <w:bottom w:type="dxa" w:w="50"/>
              <w:right w:type="dxa" w:w="110"/>
            </w:tcMar>
          </w:tcPr>
          <w:p>
            <w:r>
              <w:rPr>
                <w:sz w:val="18"/>
                <w:szCs w:val="18"/>
              </w:rPr>
              <w:t xml:space="preserve">Retención de miembros</w:t>
            </w:r>
          </w:p>
        </w:tc>
        <w:tc>
          <w:tcPr>
            <w:tcW w:type="dxa" w:w="3200"/>
            <w:tcBorders>
              <w:top w:val="single" w:color="BFBFBF" w:sz="1"/>
              <w:left w:val="single" w:color="BFBFBF" w:sz="1"/>
              <w:bottom w:val="single" w:color="BFBFBF" w:sz="1"/>
              <w:right w:val="single" w:color="BFBFBF" w:sz="1"/>
            </w:tcBorders>
            <w:shd w:fill="EEF3F9" w:val="clear"/>
            <w:tcMar>
              <w:top w:type="dxa" w:w="50"/>
              <w:left w:type="dxa" w:w="110"/>
              <w:bottom w:type="dxa" w:w="50"/>
              <w:right w:type="dxa" w:w="110"/>
            </w:tcMar>
          </w:tcPr>
          <w:p>
            <w:r>
              <w:rPr>
                <w:sz w:val="18"/>
                <w:szCs w:val="18"/>
              </w:rPr>
              <w:t xml:space="preserve">Bajas no anticipadas</w:t>
            </w:r>
          </w:p>
        </w:tc>
        <w:tc>
          <w:tcPr>
            <w:tcW w:type="dxa" w:w="3260"/>
            <w:tcBorders>
              <w:top w:val="single" w:color="BFBFBF" w:sz="1"/>
              <w:left w:val="single" w:color="BFBFBF" w:sz="1"/>
              <w:bottom w:val="single" w:color="BFBFBF" w:sz="1"/>
              <w:right w:val="single" w:color="BFBFBF" w:sz="1"/>
            </w:tcBorders>
            <w:shd w:fill="EEF3F9" w:val="clear"/>
            <w:tcMar>
              <w:top w:type="dxa" w:w="50"/>
              <w:left w:type="dxa" w:w="110"/>
              <w:bottom w:type="dxa" w:w="50"/>
              <w:right w:type="dxa" w:w="110"/>
            </w:tcMar>
          </w:tcPr>
          <w:p>
            <w:r>
              <w:rPr>
                <w:sz w:val="18"/>
                <w:szCs w:val="18"/>
              </w:rPr>
              <w:t xml:space="preserve">Modelo de predicción de cancelaciones</w:t>
            </w:r>
          </w:p>
        </w:tc>
      </w:tr>
    </w:tbl>
    <w:p>
      <w:pPr>
        <w:pStyle w:val="Heading1"/>
      </w:pPr>
      <w:r>
        <w:t xml:space="preserve">5. Conclusión</w:t>
      </w:r>
    </w:p>
    <w:p>
      <w:pPr>
        <w:spacing w:after="120" w:line="276"/>
        <w:jc w:val="both"/>
      </w:pPr>
      <w:r>
        <w:rPr>
          <w:sz w:val="22"/>
          <w:szCs w:val="22"/>
        </w:rPr>
        <w:t xml:space="preserve">La Mejora Continua del Servicio cierra y reinicia el ciclo de vida ITIL en GymPro: mide, aprende y mejora de forma permanente. Integrada como un valor del proyecto y operada con el método de los siete pasos y el ciclo de Deming, convierte cada dato y cada incidente en una oportunidad para elevar el valor entregado al gimnasio y a sus miembros.</w:t>
      </w:r>
    </w:p>
    <w:p>
      <w:pPr>
        <w:pStyle w:val="Heading1"/>
      </w:pPr>
      <w:r>
        <w:t xml:space="preserve">6. Fuentes y Referencias</w:t>
      </w:r>
    </w:p>
    <w:p>
      <w:pPr>
        <w:pStyle w:val="ListParagraph"/>
        <w:numPr>
          <w:ilvl w:val="0"/>
          <w:numId w:val="2"/>
        </w:numPr>
        <w:spacing w:after="50" w:line="264"/>
      </w:pPr>
      <w:r>
        <w:rPr>
          <w:sz w:val="21"/>
          <w:szCs w:val="21"/>
        </w:rPr>
        <w:t xml:space="preserve">Manual de Fundamentos de ITIL (v5.3r7) — material base del curso.</w:t>
      </w:r>
    </w:p>
    <w:p>
      <w:pPr>
        <w:pStyle w:val="ListParagraph"/>
        <w:numPr>
          <w:ilvl w:val="0"/>
          <w:numId w:val="2"/>
        </w:numPr>
        <w:spacing w:after="50" w:line="264"/>
      </w:pPr>
      <w:r>
        <w:rPr>
          <w:sz w:val="21"/>
          <w:szCs w:val="21"/>
        </w:rPr>
        <w:t xml:space="preserve">GymPro — Documento Integral de Análisis Estratégico (Mercado, Riesgos, Normatividad, Portafolio de Servicios).</w:t>
      </w:r>
    </w:p>
    <w:p>
      <w:pPr>
        <w:pStyle w:val="ListParagraph"/>
        <w:numPr>
          <w:ilvl w:val="0"/>
          <w:numId w:val="2"/>
        </w:numPr>
        <w:spacing w:after="50" w:line="264"/>
      </w:pPr>
      <w:r>
        <w:rPr>
          <w:sz w:val="21"/>
          <w:szCs w:val="21"/>
        </w:rPr>
        <w:t xml:space="preserve">AXELOS, ITIL Service Lifecycle (Service Strategy, Design, Transition, Operation y Continual Service Improvement).</w:t>
      </w:r>
    </w:p>
    <w:p>
      <w:pPr>
        <w:pStyle w:val="ListParagraph"/>
        <w:numPr>
          <w:ilvl w:val="0"/>
          <w:numId w:val="2"/>
        </w:numPr>
        <w:spacing w:after="50" w:line="264"/>
      </w:pPr>
      <w:r>
        <w:rPr>
          <w:sz w:val="21"/>
          <w:szCs w:val="21"/>
        </w:rPr>
        <w:t xml:space="preserve">Repositorio del proyecto GymPro: docker-compose.yml, api/ (Flask), web/ (React), mobile/ (Expo).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Página </w:t>
    </w:r>
    <w:r>
      <w:rPr>
        <w:color w:val="595959"/>
        <w:sz w:val="16"/>
        <w:szCs w:val="16"/>
      </w:rPr>
      <w:fldChar w:fldCharType="begin"/>
      <w:instrText xml:space="preserve">PAGE</w:instrText>
      <w:fldChar w:fldCharType="separate"/>
      <w:fldChar w:fldCharType="end"/>
    </w:r>
    <w:r>
      <w:rPr>
        <w:color w:val="595959"/>
        <w:sz w:val="16"/>
        <w:szCs w:val="16"/>
      </w:rPr>
      <w:t xml:space="preserve"> de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2"/>
      </w:pBdr>
      <w:jc w:val="right"/>
    </w:pPr>
    <w:r>
      <w:rPr>
        <w:color w:val="595959"/>
        <w:sz w:val="16"/>
        <w:szCs w:val="16"/>
      </w:rPr>
      <w:t xml:space="preserve">GymPro · ITIL — Mejora Continua del Servicio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40" w:before="260"/>
      <w:outlineLvl w:val="0"/>
    </w:pPr>
    <w:rPr>
      <w:rFonts w:ascii="Arial" w:cs="Arial" w:eastAsia="Arial" w:hAnsi="Arial"/>
      <w:b/>
      <w:bCs/>
      <w:color w:val="1F4E79"/>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2026-06-11T03:55:01.654Z</dcterms:created>
  <dcterms:modified xsi:type="dcterms:W3CDTF">2026-06-11T03:55:01.654Z</dcterms:modified>
</cp:coreProperties>
</file>

<file path=docProps/custom.xml><?xml version="1.0" encoding="utf-8"?>
<Properties xmlns="http://schemas.openxmlformats.org/officeDocument/2006/custom-properties" xmlns:vt="http://schemas.openxmlformats.org/officeDocument/2006/docPropsVTypes"/>
</file>