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1. Estrategia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1.4  Gestión Financiera para Servicios de TI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Financiera para Servicios de TI»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representa las políticas y los objetivos de la gestión de servicios; busca entender los objetivos organizacionales y las necesidades del cliente para decidir qué servicios ofrecer y cómo crear valor.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Cuantifica el valor económico de los servicios mediante presupuesto, contabilidad y cobro (budgeting, accounting &amp; charging), asegurando la viabilidad financiera del proveedor.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adopta un modelo de costos bajo (VPS, servicios open-source, IA local con Ollama sin costo de API) que sostiene un precio accesible. La facturación a los miembros se opera con Stripe, y el control de ingresos por tipo de membresía alimenta los reportes financieros del gimnasio.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Integración de cobros con Stripe (facturación de suscripciones y membresías).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Reportes mensuales de ingresos por tipo de membresía y método de pago (MapReduce sobre pagos).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Arquitectura de bajo costo: IA local (Ollama) y contenedores en un VPS económico.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Financiera para Servicios de TI» aporta valor a GymPro al </w:t>
      </w:r>
      <w:r>
        <w:rPr>
          <w:sz w:val="22"/>
          <w:szCs w:val="22"/>
        </w:rPr>
        <w:t xml:space="preserve">asegurar que el servicio sea económicamente sostenible tanto para el proveedor como para el gimnasio.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1.4 Gestión Financiera para Servicios de 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2026-06-20T03:31:05.837Z</dcterms:created>
  <dcterms:modified xsi:type="dcterms:W3CDTF">2026-06-20T03:31:05.837Z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