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2.7  Gestión de la Seguridad de la Información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la Seguridad de la Información»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Alinea la seguridad de TI con la del negocio y asegura la confidencialidad, integridad y disponibilidad de la información conforme a las políticas acordadas.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seguridad en GymPro es un principio de diseño: autenticación JWT con expiración de 8 horas, autorización por rol, aislamiento multi-tenant, límites de tamaño de subida, rate limiting y cifrado en tránsito (TLS), en cumplimiento con la LFPDPPP para datos personales y de salud.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JWT con claims de rol e id_gimnasio; decorador require_role para autorización.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Validación de datos sensibles (algoritmo de Luhn para tarjetas).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MAX_CONTENT_LENGTH y rate limiting como controles anti-abuso.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la Seguridad de la Información» aporta valor a GymPro al </w:t>
      </w:r>
      <w:r>
        <w:rPr>
          <w:sz w:val="22"/>
          <w:szCs w:val="22"/>
        </w:rPr>
        <w:t xml:space="preserve">proteger los datos personales y de salud de los usuarios desde el diseño.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2.7 Gestión de la Seguridad de la Información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2026-06-20T03:31:06.130Z</dcterms:created>
  <dcterms:modified xsi:type="dcterms:W3CDTF">2026-06-20T03:31:06.130Z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