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3.2  Gestión de Cambios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Cambios»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Controla el ciclo de vida de todos los cambios para que se realicen con el mínimo riesgo y de forma evaluada, autorizada y registrada.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Todo cambio en GymPro pasa por control de versiones (Git): ramas, revisión y registro de qué se modificó, por qué y dónde. Los cambios de esquema en PostgreSQL se gestionan con migraciones Alembic versionadas, evitando alteraciones manuales no rastreables.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Historial de commits como registro de cambios (RFC informal).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Migraciones Alembic versionadas para cambios de base de datos.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Revisión de código antes de integrar a la rama principal.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Cambios» aporta valor a GymPro al </w:t>
      </w:r>
      <w:r>
        <w:rPr>
          <w:sz w:val="22"/>
          <w:szCs w:val="22"/>
        </w:rPr>
        <w:t xml:space="preserve">controlar cada cambio para minimizar el riesgo y mantener la trazabilidad.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3.2 Gestión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2026-06-20T03:31:06.264Z</dcterms:created>
  <dcterms:modified xsi:type="dcterms:W3CDTF">2026-06-20T03:31:06.264Z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