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700"/>
        <w:jc w:val="center"/>
      </w:pPr>
      <w:r>
        <w:rPr>
          <w:b/>
          <w:bCs/>
          <w:color w:val="1F4E79"/>
          <w:sz w:val="23"/>
          <w:szCs w:val="23"/>
        </w:rPr>
        <w:t xml:space="preserve">UNIVERSIDAD TECNOLÓGICA DEL VALLE DE TOLUCA</w:t>
      </w:r>
    </w:p>
    <w:p>
      <w:pPr>
        <w:spacing w:after="0" w:before="60"/>
        <w:jc w:val="center"/>
      </w:pPr>
      <w:r>
        <w:rPr>
          <w:sz w:val="21"/>
          <w:szCs w:val="21"/>
        </w:rPr>
        <w:t xml:space="preserve">Ingeniería en Desarrollo y Gestión de Software</w:t>
      </w:r>
    </w:p>
    <w:p>
      <w:pPr>
        <w:spacing w:after="0" w:before="40"/>
        <w:jc w:val="center"/>
      </w:pPr>
      <w:r>
        <w:rPr>
          <w:color w:val="595959"/>
          <w:sz w:val="20"/>
          <w:szCs w:val="20"/>
        </w:rPr>
        <w:t xml:space="preserve">Sistema de Gestión para Gimnasios — «GymPro»</w:t>
      </w:r>
    </w:p>
    <w:p>
      <w:pPr>
        <w:spacing w:after="0" w:before="240"/>
        <w:jc w:val="center"/>
      </w:pPr>
      <w:r>
        <w:rPr>
          <w:i/>
          <w:iCs/>
          <w:color w:val="595959"/>
          <w:sz w:val="19"/>
          <w:szCs w:val="19"/>
        </w:rPr>
        <w:t xml:space="preserve">GESTIÓN DE SERVICIOS BAJO EL MARCO ITIL</w:t>
      </w:r>
    </w:p>
    <w:p>
      <w:pPr>
        <w:spacing w:after="0" w:before="60"/>
        <w:jc w:val="center"/>
      </w:pPr>
      <w:r>
        <w:rPr>
          <w:color w:val="2E75B6"/>
          <w:sz w:val="20"/>
          <w:szCs w:val="20"/>
        </w:rPr>
        <w:t xml:space="preserve">Fase 3. Transición del Servicio</w:t>
      </w:r>
    </w:p>
    <w:p>
      <w:pPr>
        <w:pBdr>
          <w:top w:val="single" w:color="1F4E79" w:sz="8" w:space="8"/>
          <w:bottom w:val="single" w:color="1F4E79" w:sz="8" w:space="8"/>
        </w:pBdr>
        <w:spacing w:after="0" w:before="200"/>
        <w:jc w:val="center"/>
      </w:pPr>
      <w:r>
        <w:rPr>
          <w:b/>
          <w:bCs/>
          <w:color w:val="1F4E79"/>
          <w:sz w:val="30"/>
          <w:szCs w:val="30"/>
        </w:rPr>
        <w:t xml:space="preserve">3.6  Evaluación del Cambio</w:t>
      </w:r>
    </w:p>
    <w:p>
      <w:pPr>
        <w:spacing w:after="0" w:before="80"/>
        <w:jc w:val="center"/>
      </w:pPr>
      <w:r>
        <w:rPr>
          <w:i/>
          <w:iCs/>
          <w:color w:val="595959"/>
          <w:sz w:val="19"/>
          <w:szCs w:val="19"/>
        </w:rPr>
        <w:t xml:space="preserve">Proceso del ciclo de vida del servicio</w:t>
      </w:r>
    </w:p>
    <w:p>
      <w:pPr>
        <w:spacing w:after="0" w:before="460"/>
        <w:jc w:val="center"/>
      </w:pPr>
      <w:r>
        <w:rPr>
          <w:b/>
          <w:bCs/>
          <w:color w:val="1F4E79"/>
          <w:sz w:val="21"/>
          <w:szCs w:val="21"/>
        </w:rPr>
        <w:t xml:space="preserve">Integrantes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Maximiliano Arriaga Mora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Miguel Ángel Hernández Cervantes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Jesús Francisco Pérez Medina</w:t>
      </w:r>
    </w:p>
    <w:p>
      <w:pPr>
        <w:spacing w:after="0" w:before="50"/>
        <w:jc w:val="center"/>
      </w:pPr>
      <w:r>
        <w:rPr>
          <w:sz w:val="21"/>
          <w:szCs w:val="21"/>
        </w:rPr>
        <w:t xml:space="preserve">Juan Carlos Pérez Nava</w:t>
      </w:r>
    </w:p>
    <w:p>
      <w:pPr>
        <w:spacing w:after="0" w:before="420"/>
        <w:jc w:val="center"/>
      </w:pPr>
      <w:r>
        <w:rPr>
          <w:color w:val="595959"/>
          <w:sz w:val="19"/>
          <w:szCs w:val="19"/>
        </w:rPr>
        <w:t xml:space="preserve">Lerma, Atarasquillo, Estado de México</w:t>
      </w:r>
    </w:p>
    <w:p>
      <w:pPr>
        <w:spacing w:after="0" w:before="40"/>
        <w:jc w:val="center"/>
      </w:pPr>
      <w:r>
        <w:rPr>
          <w:color w:val="595959"/>
          <w:sz w:val="19"/>
          <w:szCs w:val="19"/>
        </w:rPr>
        <w:t xml:space="preserve">Junio 2026</w:t>
      </w:r>
    </w:p>
    <w:p>
      <w:r>
        <w:br w:type="page"/>
      </w:r>
    </w:p>
    <w:p>
      <w:pPr>
        <w:pStyle w:val="Heading1"/>
      </w:pPr>
      <w:r>
        <w:t xml:space="preserve">Índice</w:t>
      </w:r>
    </w:p>
    <w:sdt>
      <w:sdtPr>
        <w:alias w:val="Tabla de Contenido"/>
      </w:sdtPr>
      <w:sdtContent>
        <w:p>
          <w:r>
            <w:fldChar w:fldCharType="begin" w:dirty="true"/>
            <w:instrText xml:space="preserve">TOC \h \o "1-1"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Introducción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Este documento desarrolla </w:t>
      </w:r>
      <w:r>
        <w:rPr>
          <w:b/>
          <w:bCs/>
          <w:sz w:val="22"/>
          <w:szCs w:val="22"/>
        </w:rPr>
        <w:t xml:space="preserve">el proceso «Evaluación del Cambio»</w:t>
      </w:r>
      <w:r>
        <w:rPr>
          <w:sz w:val="22"/>
          <w:szCs w:val="22"/>
        </w:rPr>
        <w:t xml:space="preserve">, correspondiente a la fase de </w:t>
      </w:r>
      <w:r>
        <w:rPr>
          <w:b/>
          <w:bCs/>
          <w:sz w:val="22"/>
          <w:szCs w:val="22"/>
        </w:rPr>
        <w:t xml:space="preserve">Transición del Servicio</w:t>
      </w:r>
      <w:r>
        <w:rPr>
          <w:sz w:val="22"/>
          <w:szCs w:val="22"/>
        </w:rPr>
        <w:t xml:space="preserve"> del ciclo de vida del servicio bajo el marco ITIL, aplicado al proyecto GymPro.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fase de </w:t>
      </w:r>
      <w:r>
        <w:rPr>
          <w:b/>
          <w:bCs/>
          <w:sz w:val="22"/>
          <w:szCs w:val="22"/>
        </w:rPr>
        <w:t xml:space="preserve">Transición del Servicio</w:t>
      </w:r>
      <w:r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hace la transición de servicios nuevos y modificados a operaciones, gestionando el cambio y la transformación con el mínimo riesgo.</w:t>
      </w:r>
    </w:p>
    <w:p>
      <w:pPr>
        <w:pStyle w:val="Heading1"/>
      </w:pPr>
      <w:r>
        <w:t xml:space="preserve">2. Definición según el marco ITIL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Evalúa de forma estructurada el desempeño esperado y real de un cambio significativo antes de autorizar su avance, valorando riesgos y beneficios.</w:t>
      </w:r>
    </w:p>
    <w:p>
      <w:pPr>
        <w:pStyle w:val="Heading1"/>
      </w:pPr>
      <w:r>
        <w:t xml:space="preserve">3. Aplicación en GymPro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Cada cambio relevante en GymPro se evalúa por su impacto (rendimiento, seguridad, experiencia) y su reversibilidad. Por ejemplo, la migración del motor de IA de PySpark a scikit-learn se evaluó por latencia, portabilidad y costo antes de adoptarse.</w:t>
      </w:r>
    </w:p>
    <w:p>
      <w:pPr>
        <w:pStyle w:val="Heading1"/>
      </w:pPr>
      <w:r>
        <w:t xml:space="preserve">4. Evidencia y artefactos en el proyecto</w:t>
      </w:r>
    </w:p>
    <w:p>
      <w:pPr>
        <w:spacing w:after="60" w:line="276"/>
        <w:jc w:val="both"/>
      </w:pPr>
      <w:r>
        <w:rPr>
          <w:sz w:val="22"/>
          <w:szCs w:val="22"/>
        </w:rPr>
        <w:t xml:space="preserve">En el sistema GymPro, </w:t>
      </w:r>
      <w:r>
        <w:rPr>
          <w:b/>
          <w:bCs/>
          <w:sz w:val="22"/>
          <w:szCs w:val="22"/>
        </w:rPr>
        <w:t xml:space="preserve">este proceso</w:t>
      </w:r>
      <w:r>
        <w:rPr>
          <w:sz w:val="22"/>
          <w:szCs w:val="22"/>
        </w:rPr>
        <w:t xml:space="preserve"> se materializa en los siguientes elementos concretos: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Evaluación de impacto y reversibilidad por cambio significativo.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Decisión documentada de migrar el stack de IA (menor latencia, sin JVM).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Criterios de aceptación como umbral de avance.</w:t>
      </w:r>
    </w:p>
    <w:p>
      <w:pPr>
        <w:pStyle w:val="Heading1"/>
      </w:pPr>
      <w:r>
        <w:t xml:space="preserve">5. Conclusión</w:t>
      </w:r>
    </w:p>
    <w:p>
      <w:pPr>
        <w:spacing w:after="120" w:line="276"/>
        <w:jc w:val="both"/>
      </w:pPr>
      <w:r>
        <w:rPr>
          <w:sz w:val="22"/>
          <w:szCs w:val="22"/>
        </w:rPr>
        <w:t xml:space="preserve">La gestión «Evaluación del Cambio» aporta valor a GymPro al </w:t>
      </w:r>
      <w:r>
        <w:rPr>
          <w:sz w:val="22"/>
          <w:szCs w:val="22"/>
        </w:rPr>
        <w:t xml:space="preserve">decidir con criterio si un cambio significativo debe avanzar.</w:t>
      </w:r>
    </w:p>
    <w:p>
      <w:pPr>
        <w:pStyle w:val="Heading1"/>
      </w:pPr>
      <w:r>
        <w:t xml:space="preserve">6. Fuentes y referencias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Manual de Fundamentos de ITIL (v5.3r7) — material base del curso.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GymPro — Documento Integral de Análisis Estratégico (Estrategia de Servicio).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AXELOS, ITIL Service Lifecycle.</w:t>
      </w:r>
    </w:p>
    <w:p>
      <w:pPr>
        <w:pStyle w:val="ListParagraph"/>
        <w:numPr>
          <w:ilvl w:val="0"/>
          <w:numId w:val="2"/>
        </w:numPr>
        <w:spacing w:after="50" w:line="264"/>
      </w:pPr>
      <w:r>
        <w:rPr>
          <w:sz w:val="21"/>
          <w:szCs w:val="21"/>
        </w:rPr>
        <w:t xml:space="preserve">Repositorio del proyecto GymPro (api/, web/, mobile/, docker-compose.yml).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Página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color w:val="595959"/>
        <w:sz w:val="16"/>
        <w:szCs w:val="16"/>
      </w:rPr>
      <w:t xml:space="preserve"> de </w:t>
    </w:r>
    <w:r>
      <w:rPr>
        <w:color w:val="595959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BFBF" w:sz="4" w:space="2"/>
      </w:pBdr>
      <w:jc w:val="right"/>
    </w:pPr>
    <w:r>
      <w:rPr>
        <w:color w:val="595959"/>
        <w:sz w:val="15"/>
        <w:szCs w:val="15"/>
      </w:rPr>
      <w:t xml:space="preserve">GymPro · ITIL · 3.6 Evaluación del Cambio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20" w:before="240"/>
      <w:outlineLvl w:val="0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2026-06-20T03:31:06.414Z</dcterms:created>
  <dcterms:modified xsi:type="dcterms:W3CDTF">2026-06-20T03:31:06.414Z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