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3"/>
          <w:szCs w:val="23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1"/>
          <w:szCs w:val="21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Sistema de Gestión para Gimnasios — 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19"/>
          <w:szCs w:val="19"/>
        </w:rPr>
        <w:t xml:space="preserve">GESTIÓN DE SERVICIOS BAJO EL MARCO ITIL</w:t>
      </w:r>
    </w:p>
    <w:p>
      <w:pPr>
        <w:spacing w:after="0" w:before="60"/>
        <w:jc w:val="center"/>
      </w:pPr>
      <w:r>
        <w:rPr>
          <w:color w:val="2E75B6"/>
          <w:sz w:val="20"/>
          <w:szCs w:val="20"/>
        </w:rPr>
        <w:t xml:space="preserve">Fase 4. Operación del Servicio</w:t>
      </w:r>
    </w:p>
    <w:p>
      <w:pPr>
        <w:pBdr>
          <w:top w:val="single" w:color="1F4E79" w:sz="8" w:space="8"/>
          <w:bottom w:val="single" w:color="1F4E79" w:sz="8" w:space="8"/>
        </w:pBdr>
        <w:spacing w:after="0" w:before="200"/>
        <w:jc w:val="center"/>
      </w:pPr>
      <w:r>
        <w:rPr>
          <w:b/>
          <w:bCs/>
          <w:color w:val="1F4E79"/>
          <w:sz w:val="30"/>
          <w:szCs w:val="30"/>
        </w:rPr>
        <w:t xml:space="preserve">4.7  Gestión Técnica</w:t>
      </w:r>
    </w:p>
    <w:p>
      <w:pPr>
        <w:spacing w:after="0" w:before="80"/>
        <w:jc w:val="center"/>
      </w:pPr>
      <w:r>
        <w:rPr>
          <w:i/>
          <w:iCs/>
          <w:color w:val="595959"/>
          <w:sz w:val="19"/>
          <w:szCs w:val="19"/>
        </w:rPr>
        <w:t xml:space="preserve">Función de la fase de Operación del Servicio</w:t>
      </w:r>
    </w:p>
    <w:p>
      <w:pPr>
        <w:spacing w:after="0" w:before="460"/>
        <w:jc w:val="center"/>
      </w:pPr>
      <w:r>
        <w:rPr>
          <w:b/>
          <w:bCs/>
          <w:color w:val="1F4E79"/>
          <w:sz w:val="21"/>
          <w:szCs w:val="21"/>
        </w:rPr>
        <w:t xml:space="preserve">Integrantes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Maximiliano Arriaga Mora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Juan Carlos Pérez Nava</w:t>
      </w:r>
    </w:p>
    <w:p>
      <w:pPr>
        <w:spacing w:after="0" w:before="420"/>
        <w:jc w:val="center"/>
      </w:pPr>
      <w:r>
        <w:rPr>
          <w:color w:val="595959"/>
          <w:sz w:val="19"/>
          <w:szCs w:val="19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19"/>
          <w:szCs w:val="19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desarrolla </w:t>
      </w:r>
      <w:r>
        <w:rPr>
          <w:b/>
          <w:bCs/>
          <w:sz w:val="22"/>
          <w:szCs w:val="22"/>
        </w:rPr>
        <w:t xml:space="preserve">la función «Gestión Técnica»</w:t>
      </w:r>
      <w:r>
        <w:rPr>
          <w:sz w:val="22"/>
          <w:szCs w:val="22"/>
        </w:rPr>
        <w:t xml:space="preserve">, correspondiente a la fase de </w:t>
      </w:r>
      <w:r>
        <w:rPr>
          <w:b/>
          <w:bCs/>
          <w:sz w:val="22"/>
          <w:szCs w:val="22"/>
        </w:rPr>
        <w:t xml:space="preserve">Operación del Servicio</w:t>
      </w:r>
      <w:r>
        <w:rPr>
          <w:sz w:val="22"/>
          <w:szCs w:val="22"/>
        </w:rPr>
        <w:t xml:space="preserve"> del ciclo de vida del servicio bajo el marco ITIL, aplicado al proyecto GymPro.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fase de </w:t>
      </w:r>
      <w:r>
        <w:rPr>
          <w:b/>
          <w:bCs/>
          <w:sz w:val="22"/>
          <w:szCs w:val="22"/>
        </w:rPr>
        <w:t xml:space="preserve">Operación del Servicio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coordina y ejecuta las actividades y procesos necesarios para lograr la efectividad y la eficiencia en la gestión, el soporte y la entrega de los servicios en los niveles acordados.</w:t>
      </w:r>
    </w:p>
    <w:p>
      <w:pPr>
        <w:pStyle w:val="Heading1"/>
      </w:pPr>
      <w:r>
        <w:t xml:space="preserve">2. Definición según el marco ITIL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Provee el conocimiento técnico y los recursos para diseñar, probar, operar y mejorar la infraestructura de TI.</w:t>
      </w:r>
    </w:p>
    <w:p>
      <w:pPr>
        <w:pStyle w:val="Heading1"/>
      </w:pPr>
      <w:r>
        <w:t xml:space="preserve">3. Aplicación en GymPro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Gestión Técnica de GymPro es el equipo de desarrollo/DevOps que mantiene la infraestructura: contenedores, bases de datos, redes y despliegues. Su conocimiento queda plasmado en la infraestructura como código y la documentación.</w:t>
      </w:r>
    </w:p>
    <w:p>
      <w:pPr>
        <w:pStyle w:val="Heading1"/>
      </w:pPr>
      <w:r>
        <w:t xml:space="preserve">4. Evidencia y artefactos en el proyecto</w:t>
      </w:r>
    </w:p>
    <w:p>
      <w:pPr>
        <w:spacing w:after="60" w:line="276"/>
        <w:jc w:val="both"/>
      </w:pPr>
      <w:r>
        <w:rPr>
          <w:sz w:val="22"/>
          <w:szCs w:val="22"/>
        </w:rPr>
        <w:t xml:space="preserve">En el sistema GymPro, </w:t>
      </w:r>
      <w:r>
        <w:rPr>
          <w:b/>
          <w:bCs/>
          <w:sz w:val="22"/>
          <w:szCs w:val="22"/>
        </w:rPr>
        <w:t xml:space="preserve">esta función</w:t>
      </w:r>
      <w:r>
        <w:rPr>
          <w:sz w:val="22"/>
          <w:szCs w:val="22"/>
        </w:rPr>
        <w:t xml:space="preserve"> se materializa en los siguientes elementos concretos: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Administración de PostgreSQL, MongoDB, Redis y Ollama en contenedores.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Infraestructura como código (docker-compose) mantenida por el equipo.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Gestión de despliegues y health checks.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función «Gestión Técnica» aporta valor a GymPro al </w:t>
      </w:r>
      <w:r>
        <w:rPr>
          <w:sz w:val="22"/>
          <w:szCs w:val="22"/>
        </w:rPr>
        <w:t xml:space="preserve">aportar el conocimiento técnico que sostiene la infraestructura del servicio.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(Estrategia de Servicio).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 (api/, web/, mobile/, docker-compose.yml).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GymPro · ITIL · 4.7 Gestión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2026-06-20T03:31:06.687Z</dcterms:created>
  <dcterms:modified xsi:type="dcterms:W3CDTF">2026-06-20T03:31:06.687Z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