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  <w:jc w:val="center"/>
      </w:pPr>
      <w:r>
        <w:rPr>
          <w:b/>
          <w:bCs/>
          <w:color w:val="1F4E79"/>
          <w:sz w:val="23"/>
          <w:szCs w:val="23"/>
        </w:rPr>
        <w:t xml:space="preserve">UNIVERSIDAD TECNOLÓGICA DEL VALLE DE TOLUCA</w:t>
      </w:r>
    </w:p>
    <w:p>
      <w:pPr>
        <w:spacing w:after="0" w:before="60"/>
        <w:jc w:val="center"/>
      </w:pPr>
      <w:r>
        <w:rPr>
          <w:sz w:val="21"/>
          <w:szCs w:val="21"/>
        </w:rPr>
        <w:t xml:space="preserve">Ingeniería en Desarrollo y Gestión de Software</w:t>
      </w:r>
    </w:p>
    <w:p>
      <w:pPr>
        <w:spacing w:after="0" w:before="40"/>
        <w:jc w:val="center"/>
      </w:pPr>
      <w:r>
        <w:rPr>
          <w:color w:val="595959"/>
          <w:sz w:val="20"/>
          <w:szCs w:val="20"/>
        </w:rPr>
        <w:t xml:space="preserve">Sistema de Gestión para Gimnasios — «GymPro»</w:t>
      </w:r>
    </w:p>
    <w:p>
      <w:pPr>
        <w:spacing w:after="0" w:before="240"/>
        <w:jc w:val="center"/>
      </w:pPr>
      <w:r>
        <w:rPr>
          <w:i/>
          <w:iCs/>
          <w:color w:val="595959"/>
          <w:sz w:val="19"/>
          <w:szCs w:val="19"/>
        </w:rPr>
        <w:t xml:space="preserve">GESTIÓN DE SERVICIOS BAJO EL MARCO ITIL</w:t>
      </w:r>
    </w:p>
    <w:p>
      <w:pPr>
        <w:spacing w:after="0" w:before="60"/>
        <w:jc w:val="center"/>
      </w:pPr>
      <w:r>
        <w:rPr>
          <w:color w:val="2E75B6"/>
          <w:sz w:val="20"/>
          <w:szCs w:val="20"/>
        </w:rPr>
        <w:t xml:space="preserve">Fase 1. Estrategia del Servicio</w:t>
      </w:r>
    </w:p>
    <w:p>
      <w:pPr>
        <w:pBdr>
          <w:top w:val="single" w:color="1F4E79" w:sz="8" w:space="8"/>
          <w:bottom w:val="single" w:color="1F4E79" w:sz="8" w:space="8"/>
        </w:pBdr>
        <w:spacing w:after="0" w:before="200"/>
        <w:jc w:val="center"/>
      </w:pPr>
      <w:r>
        <w:rPr>
          <w:b/>
          <w:bCs/>
          <w:color w:val="1F4E79"/>
          <w:sz w:val="30"/>
          <w:szCs w:val="30"/>
        </w:rPr>
        <w:t xml:space="preserve">1.5  Gestión de la Demanda</w:t>
      </w:r>
    </w:p>
    <w:p>
      <w:pPr>
        <w:spacing w:after="0" w:before="80"/>
        <w:jc w:val="center"/>
      </w:pPr>
      <w:r>
        <w:rPr>
          <w:i/>
          <w:iCs/>
          <w:color w:val="595959"/>
          <w:sz w:val="19"/>
          <w:szCs w:val="19"/>
        </w:rPr>
        <w:t xml:space="preserve">Proceso del ciclo de vida del servicio</w:t>
      </w:r>
    </w:p>
    <w:p>
      <w:pPr>
        <w:spacing w:after="0" w:before="460"/>
        <w:jc w:val="center"/>
      </w:pPr>
      <w:r>
        <w:rPr>
          <w:b/>
          <w:bCs/>
          <w:color w:val="1F4E79"/>
          <w:sz w:val="21"/>
          <w:szCs w:val="21"/>
        </w:rPr>
        <w:t xml:space="preserve">Integrantes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Maximiliano Arriaga Mora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Miguel Ángel Hernández Cervantes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Jesús Francisco Pérez Medina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Juan Carlos Pérez Nava</w:t>
      </w:r>
    </w:p>
    <w:p>
      <w:pPr>
        <w:spacing w:after="0" w:before="420"/>
        <w:jc w:val="center"/>
      </w:pPr>
      <w:r>
        <w:rPr>
          <w:color w:val="595959"/>
          <w:sz w:val="19"/>
          <w:szCs w:val="19"/>
        </w:rPr>
        <w:t xml:space="preserve">Lerma, Atarasquillo, Estado de México</w:t>
      </w:r>
    </w:p>
    <w:p>
      <w:pPr>
        <w:spacing w:after="0" w:before="40"/>
        <w:jc w:val="center"/>
      </w:pPr>
      <w:r>
        <w:rPr>
          <w:color w:val="595959"/>
          <w:sz w:val="19"/>
          <w:szCs w:val="19"/>
        </w:rPr>
        <w:t xml:space="preserve">Junio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Este documento desarrolla </w:t>
      </w:r>
      <w:r>
        <w:rPr>
          <w:b/>
          <w:bCs/>
          <w:sz w:val="22"/>
          <w:szCs w:val="22"/>
        </w:rPr>
        <w:t xml:space="preserve">el proceso «Gestión de la Demanda»</w:t>
      </w:r>
      <w:r>
        <w:rPr>
          <w:sz w:val="22"/>
          <w:szCs w:val="22"/>
        </w:rPr>
        <w:t xml:space="preserve">, correspondiente a la fase de </w:t>
      </w:r>
      <w:r>
        <w:rPr>
          <w:b/>
          <w:bCs/>
          <w:sz w:val="22"/>
          <w:szCs w:val="22"/>
        </w:rPr>
        <w:t xml:space="preserve">Estrategia del Servicio</w:t>
      </w:r>
      <w:r>
        <w:rPr>
          <w:sz w:val="22"/>
          <w:szCs w:val="22"/>
        </w:rPr>
        <w:t xml:space="preserve"> del ciclo de vida del servicio bajo el marco ITIL, aplicado al proyecto GymPro.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fase de </w:t>
      </w:r>
      <w:r>
        <w:rPr>
          <w:b/>
          <w:bCs/>
          <w:sz w:val="22"/>
          <w:szCs w:val="22"/>
        </w:rPr>
        <w:t xml:space="preserve">Estrategia del Servicio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representa las políticas y los objetivos de la gestión de servicios; busca entender los objetivos organizacionales y las necesidades del cliente para decidir qué servicios ofrecer y cómo crear valor.</w:t>
      </w:r>
    </w:p>
    <w:p>
      <w:pPr>
        <w:pStyle w:val="Heading1"/>
      </w:pPr>
      <w:r>
        <w:t xml:space="preserve">2. Definición según el marco ITIL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Comprende, anticipa e influye en la demanda de los clientes mediante los patrones de actividad del negocio (PBA), para alinear la capacidad con el consumo y evitar el sobre o sub-aprovisionamiento.</w:t>
      </w:r>
    </w:p>
    <w:p>
      <w:pPr>
        <w:pStyle w:val="Heading1"/>
      </w:pPr>
      <w:r>
        <w:t xml:space="preserve">3. Aplicación en GymPro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GymPro modela la demanda a partir de los patrones de uso del gimnasio (afluencia, asistencias, renovaciones) y la dimensiona técnicamente con caché en Redis y modelos de analítica cacheados con TTL. La predicción de cancelaciones permite anticipar la demanda futura de retención.</w:t>
      </w:r>
    </w:p>
    <w:p>
      <w:pPr>
        <w:pStyle w:val="Heading1"/>
      </w:pPr>
      <w:r>
        <w:t xml:space="preserve">4. Evidencia y artefactos en el proyecto</w:t>
      </w:r>
    </w:p>
    <w:p>
      <w:pPr>
        <w:spacing w:after="60" w:line="276"/>
        <w:jc w:val="both"/>
      </w:pPr>
      <w:r>
        <w:rPr>
          <w:sz w:val="22"/>
          <w:szCs w:val="22"/>
        </w:rPr>
        <w:t xml:space="preserve">En el sistema GymPro, </w:t>
      </w:r>
      <w:r>
        <w:rPr>
          <w:b/>
          <w:bCs/>
          <w:sz w:val="22"/>
          <w:szCs w:val="22"/>
        </w:rPr>
        <w:t xml:space="preserve">este proceso</w:t>
      </w:r>
      <w:r>
        <w:rPr>
          <w:sz w:val="22"/>
          <w:szCs w:val="22"/>
        </w:rPr>
        <w:t xml:space="preserve"> se materializa en los siguientes elementos concretos: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Caché de resultados analíticos (analytics_cache) con TTL para absorber picos de consultas.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Rate limiting global (300/día, 60/hora) para regular el consumo del servicio.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Modelo de predicción de cancelaciones (Random Forest) como insumo de gestión de la demanda.</w:t>
      </w:r>
    </w:p>
    <w:p>
      <w:pPr>
        <w:pStyle w:val="Heading1"/>
      </w:pPr>
      <w:r>
        <w:t xml:space="preserve">5. Conclusión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gestión «Gestión de la Demanda» aporta valor a GymPro al </w:t>
      </w:r>
      <w:r>
        <w:rPr>
          <w:sz w:val="22"/>
          <w:szCs w:val="22"/>
        </w:rPr>
        <w:t xml:space="preserve">anticipar el consumo del servicio y dimensionar la capacidad de forma costo-efectiva.</w:t>
      </w:r>
    </w:p>
    <w:p>
      <w:pPr>
        <w:pStyle w:val="Heading1"/>
      </w:pPr>
      <w:r>
        <w:t xml:space="preserve">6. Fuentes y referencias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Manual de Fundamentos de ITIL (v5.3r7) — material base del curso.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GymPro — Documento Integral de Análisis Estratégico (Estrategia de Servicio).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AXELOS, ITIL Service Lifecycle.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Repositorio del proyecto GymPro (api/, web/, mobile/, docker-compose.yml).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595959"/>
        <w:sz w:val="15"/>
        <w:szCs w:val="15"/>
      </w:rPr>
      <w:t xml:space="preserve">GymPro · ITIL · 1.5 Gestión de la Demanda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2026-06-20T03:31:05.889Z</dcterms:created>
  <dcterms:modified xsi:type="dcterms:W3CDTF">2026-06-20T03:31:05.889Z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